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AF1DD"/>
  <w:body>
    <w:p w14:paraId="3EB31C76">
      <w:pPr>
        <w:pStyle w:val="20"/>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4"/>
        <w:tblW w:w="93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22"/>
        <w:gridCol w:w="2497"/>
        <w:gridCol w:w="2212"/>
        <w:gridCol w:w="3104"/>
      </w:tblGrid>
      <w:tr w14:paraId="2F69B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6D92A4C2">
            <w:pPr>
              <w:adjustRightInd w:val="0"/>
              <w:snapToGrid w:val="0"/>
              <w:jc w:val="center"/>
              <w:rPr>
                <w:sz w:val="24"/>
              </w:rPr>
            </w:pPr>
            <w:r>
              <w:rPr>
                <w:rFonts w:hAnsi="宋体"/>
                <w:sz w:val="24"/>
              </w:rPr>
              <w:t>建设项目名称</w:t>
            </w:r>
          </w:p>
        </w:tc>
        <w:tc>
          <w:tcPr>
            <w:tcW w:w="7813" w:type="dxa"/>
            <w:gridSpan w:val="3"/>
            <w:vAlign w:val="center"/>
          </w:tcPr>
          <w:p w14:paraId="7A4FD5F1">
            <w:pPr>
              <w:adjustRightInd w:val="0"/>
              <w:snapToGrid w:val="0"/>
              <w:jc w:val="center"/>
              <w:rPr>
                <w:sz w:val="24"/>
              </w:rPr>
            </w:pPr>
            <w:r>
              <w:rPr>
                <w:rFonts w:hint="eastAsia" w:hAnsi="宋体"/>
                <w:sz w:val="24"/>
              </w:rPr>
              <w:t>年产12000万只全降解礼品的生产项目</w:t>
            </w:r>
          </w:p>
        </w:tc>
      </w:tr>
      <w:tr w14:paraId="2166D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7BF03E75">
            <w:pPr>
              <w:adjustRightInd w:val="0"/>
              <w:snapToGrid w:val="0"/>
              <w:jc w:val="center"/>
              <w:rPr>
                <w:sz w:val="24"/>
              </w:rPr>
            </w:pPr>
            <w:r>
              <w:rPr>
                <w:rFonts w:hAnsi="宋体"/>
                <w:sz w:val="24"/>
              </w:rPr>
              <w:t>项目代码</w:t>
            </w:r>
          </w:p>
        </w:tc>
        <w:tc>
          <w:tcPr>
            <w:tcW w:w="7813" w:type="dxa"/>
            <w:gridSpan w:val="3"/>
            <w:vAlign w:val="center"/>
          </w:tcPr>
          <w:p w14:paraId="5C21999C">
            <w:pPr>
              <w:adjustRightInd w:val="0"/>
              <w:snapToGrid w:val="0"/>
              <w:jc w:val="center"/>
              <w:rPr>
                <w:sz w:val="24"/>
              </w:rPr>
            </w:pPr>
            <w:r>
              <w:rPr>
                <w:rFonts w:hint="eastAsia"/>
                <w:spacing w:val="-10"/>
                <w:sz w:val="24"/>
              </w:rPr>
              <w:t>2202-500102-04-01-693776</w:t>
            </w:r>
          </w:p>
        </w:tc>
      </w:tr>
      <w:tr w14:paraId="4EC10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63464DB4">
            <w:pPr>
              <w:adjustRightInd w:val="0"/>
              <w:snapToGrid w:val="0"/>
              <w:jc w:val="center"/>
              <w:rPr>
                <w:sz w:val="24"/>
              </w:rPr>
            </w:pPr>
            <w:r>
              <w:rPr>
                <w:rFonts w:hAnsi="宋体"/>
                <w:sz w:val="24"/>
              </w:rPr>
              <w:t>建设单位联系人</w:t>
            </w:r>
          </w:p>
        </w:tc>
        <w:tc>
          <w:tcPr>
            <w:tcW w:w="2497" w:type="dxa"/>
            <w:vAlign w:val="center"/>
          </w:tcPr>
          <w:p w14:paraId="34F66F76">
            <w:pPr>
              <w:adjustRightInd w:val="0"/>
              <w:snapToGrid w:val="0"/>
              <w:jc w:val="center"/>
              <w:rPr>
                <w:sz w:val="24"/>
              </w:rPr>
            </w:pPr>
            <w:r>
              <w:rPr>
                <w:rFonts w:hint="eastAsia"/>
                <w:sz w:val="24"/>
              </w:rPr>
              <w:t>***</w:t>
            </w:r>
          </w:p>
        </w:tc>
        <w:tc>
          <w:tcPr>
            <w:tcW w:w="2212" w:type="dxa"/>
            <w:vAlign w:val="center"/>
          </w:tcPr>
          <w:p w14:paraId="4B7F18A4">
            <w:pPr>
              <w:adjustRightInd w:val="0"/>
              <w:snapToGrid w:val="0"/>
              <w:jc w:val="center"/>
              <w:rPr>
                <w:sz w:val="24"/>
              </w:rPr>
            </w:pPr>
            <w:r>
              <w:rPr>
                <w:rFonts w:hAnsi="宋体"/>
                <w:sz w:val="24"/>
              </w:rPr>
              <w:t>联系方式</w:t>
            </w:r>
          </w:p>
        </w:tc>
        <w:tc>
          <w:tcPr>
            <w:tcW w:w="3104" w:type="dxa"/>
            <w:vAlign w:val="center"/>
          </w:tcPr>
          <w:p w14:paraId="2AF1937D">
            <w:pPr>
              <w:adjustRightInd w:val="0"/>
              <w:snapToGrid w:val="0"/>
              <w:jc w:val="center"/>
              <w:rPr>
                <w:sz w:val="24"/>
              </w:rPr>
            </w:pPr>
            <w:r>
              <w:rPr>
                <w:rFonts w:hint="eastAsia"/>
                <w:sz w:val="24"/>
              </w:rPr>
              <w:t>******</w:t>
            </w:r>
          </w:p>
        </w:tc>
      </w:tr>
      <w:tr w14:paraId="22E65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3ED9177B">
            <w:pPr>
              <w:adjustRightInd w:val="0"/>
              <w:snapToGrid w:val="0"/>
              <w:jc w:val="center"/>
              <w:rPr>
                <w:sz w:val="24"/>
              </w:rPr>
            </w:pPr>
            <w:r>
              <w:rPr>
                <w:rFonts w:hAnsi="宋体"/>
                <w:sz w:val="24"/>
              </w:rPr>
              <w:t>建设地点</w:t>
            </w:r>
          </w:p>
        </w:tc>
        <w:tc>
          <w:tcPr>
            <w:tcW w:w="7813" w:type="dxa"/>
            <w:gridSpan w:val="3"/>
            <w:vAlign w:val="center"/>
          </w:tcPr>
          <w:p w14:paraId="03B9BB2F">
            <w:pPr>
              <w:adjustRightInd w:val="0"/>
              <w:snapToGrid w:val="0"/>
              <w:jc w:val="center"/>
              <w:rPr>
                <w:sz w:val="24"/>
              </w:rPr>
            </w:pPr>
            <w:r>
              <w:rPr>
                <w:rFonts w:hint="eastAsia"/>
                <w:sz w:val="24"/>
              </w:rPr>
              <w:t>重庆市涪陵区鹤凤大道33号</w:t>
            </w:r>
          </w:p>
        </w:tc>
      </w:tr>
      <w:tr w14:paraId="10EDB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1E9E590E">
            <w:pPr>
              <w:adjustRightInd w:val="0"/>
              <w:snapToGrid w:val="0"/>
              <w:jc w:val="center"/>
              <w:rPr>
                <w:sz w:val="24"/>
              </w:rPr>
            </w:pPr>
            <w:r>
              <w:rPr>
                <w:rFonts w:hAnsi="宋体"/>
                <w:sz w:val="24"/>
              </w:rPr>
              <w:t>地理坐标</w:t>
            </w:r>
          </w:p>
        </w:tc>
        <w:tc>
          <w:tcPr>
            <w:tcW w:w="7813" w:type="dxa"/>
            <w:gridSpan w:val="3"/>
            <w:vAlign w:val="center"/>
          </w:tcPr>
          <w:p w14:paraId="0132D483">
            <w:pPr>
              <w:jc w:val="center"/>
              <w:rPr>
                <w:sz w:val="24"/>
              </w:rPr>
            </w:pPr>
            <w:r>
              <w:rPr>
                <w:rFonts w:hAnsi="宋体"/>
                <w:sz w:val="24"/>
              </w:rPr>
              <w:t>（</w:t>
            </w:r>
            <w:r>
              <w:rPr>
                <w:rFonts w:hint="eastAsia"/>
                <w:sz w:val="24"/>
                <w:u w:val="single"/>
              </w:rPr>
              <w:t>E</w:t>
            </w:r>
            <w:r>
              <w:rPr>
                <w:sz w:val="24"/>
                <w:u w:val="single"/>
              </w:rPr>
              <w:t>10</w:t>
            </w:r>
            <w:r>
              <w:rPr>
                <w:rFonts w:hint="eastAsia"/>
                <w:sz w:val="24"/>
                <w:u w:val="single"/>
              </w:rPr>
              <w:t>7</w:t>
            </w:r>
            <w:r>
              <w:rPr>
                <w:rFonts w:hAnsi="宋体"/>
                <w:sz w:val="24"/>
              </w:rPr>
              <w:t>度</w:t>
            </w:r>
            <w:r>
              <w:rPr>
                <w:rFonts w:hint="eastAsia"/>
                <w:sz w:val="24"/>
                <w:u w:val="single"/>
              </w:rPr>
              <w:t>14</w:t>
            </w:r>
            <w:r>
              <w:rPr>
                <w:rFonts w:hAnsi="宋体"/>
                <w:sz w:val="24"/>
              </w:rPr>
              <w:t>分</w:t>
            </w:r>
            <w:r>
              <w:rPr>
                <w:sz w:val="24"/>
                <w:u w:val="single"/>
              </w:rPr>
              <w:t xml:space="preserve"> </w:t>
            </w:r>
            <w:r>
              <w:rPr>
                <w:rFonts w:hint="eastAsia"/>
                <w:sz w:val="24"/>
                <w:u w:val="single"/>
              </w:rPr>
              <w:t>30.973</w:t>
            </w:r>
            <w:r>
              <w:rPr>
                <w:sz w:val="24"/>
                <w:u w:val="single"/>
              </w:rPr>
              <w:t xml:space="preserve"> </w:t>
            </w:r>
            <w:r>
              <w:rPr>
                <w:rFonts w:hAnsi="宋体"/>
                <w:sz w:val="24"/>
              </w:rPr>
              <w:t>秒，</w:t>
            </w:r>
            <w:r>
              <w:rPr>
                <w:rFonts w:hint="eastAsia"/>
                <w:sz w:val="24"/>
                <w:u w:val="single"/>
              </w:rPr>
              <w:t>N</w:t>
            </w:r>
            <w:r>
              <w:rPr>
                <w:sz w:val="24"/>
                <w:u w:val="single"/>
              </w:rPr>
              <w:t>2</w:t>
            </w:r>
            <w:r>
              <w:rPr>
                <w:rFonts w:hint="eastAsia"/>
                <w:sz w:val="24"/>
                <w:u w:val="single"/>
              </w:rPr>
              <w:t>9</w:t>
            </w:r>
            <w:r>
              <w:rPr>
                <w:rFonts w:hAnsi="宋体"/>
                <w:sz w:val="24"/>
              </w:rPr>
              <w:t>度</w:t>
            </w:r>
            <w:r>
              <w:rPr>
                <w:rFonts w:hint="eastAsia"/>
                <w:sz w:val="24"/>
                <w:u w:val="single"/>
              </w:rPr>
              <w:t>44</w:t>
            </w:r>
            <w:r>
              <w:rPr>
                <w:rFonts w:hAnsi="宋体"/>
                <w:sz w:val="24"/>
              </w:rPr>
              <w:t>分</w:t>
            </w:r>
            <w:r>
              <w:rPr>
                <w:rFonts w:hint="eastAsia"/>
                <w:sz w:val="24"/>
                <w:u w:val="single"/>
              </w:rPr>
              <w:t>35.706</w:t>
            </w:r>
            <w:r>
              <w:rPr>
                <w:rFonts w:hAnsi="宋体"/>
                <w:sz w:val="24"/>
              </w:rPr>
              <w:t>秒）</w:t>
            </w:r>
          </w:p>
        </w:tc>
      </w:tr>
      <w:tr w14:paraId="0729B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22" w:type="dxa"/>
            <w:tcMar>
              <w:top w:w="16" w:type="dxa"/>
              <w:left w:w="16" w:type="dxa"/>
              <w:right w:w="16" w:type="dxa"/>
            </w:tcMar>
            <w:vAlign w:val="center"/>
          </w:tcPr>
          <w:p w14:paraId="07F3981C">
            <w:pPr>
              <w:adjustRightInd w:val="0"/>
              <w:snapToGrid w:val="0"/>
              <w:jc w:val="center"/>
              <w:rPr>
                <w:sz w:val="24"/>
              </w:rPr>
            </w:pPr>
            <w:r>
              <w:rPr>
                <w:rFonts w:hAnsi="宋体"/>
                <w:sz w:val="24"/>
              </w:rPr>
              <w:t>国民经济</w:t>
            </w:r>
          </w:p>
          <w:p w14:paraId="2A47C100">
            <w:pPr>
              <w:adjustRightInd w:val="0"/>
              <w:snapToGrid w:val="0"/>
              <w:jc w:val="center"/>
              <w:rPr>
                <w:sz w:val="24"/>
              </w:rPr>
            </w:pPr>
            <w:r>
              <w:rPr>
                <w:rFonts w:hAnsi="宋体"/>
                <w:sz w:val="24"/>
              </w:rPr>
              <w:t>行业类别</w:t>
            </w:r>
          </w:p>
        </w:tc>
        <w:tc>
          <w:tcPr>
            <w:tcW w:w="2497" w:type="dxa"/>
            <w:vAlign w:val="center"/>
          </w:tcPr>
          <w:p w14:paraId="46C41A88">
            <w:pPr>
              <w:adjustRightInd w:val="0"/>
              <w:snapToGrid w:val="0"/>
              <w:jc w:val="center"/>
              <w:rPr>
                <w:sz w:val="24"/>
              </w:rPr>
            </w:pPr>
            <w:r>
              <w:rPr>
                <w:rFonts w:hint="eastAsia"/>
                <w:sz w:val="24"/>
              </w:rPr>
              <w:t>C2459其他玩具制造</w:t>
            </w:r>
          </w:p>
        </w:tc>
        <w:tc>
          <w:tcPr>
            <w:tcW w:w="2212" w:type="dxa"/>
            <w:vAlign w:val="center"/>
          </w:tcPr>
          <w:p w14:paraId="34548040">
            <w:pPr>
              <w:adjustRightInd w:val="0"/>
              <w:snapToGrid w:val="0"/>
              <w:jc w:val="center"/>
              <w:rPr>
                <w:sz w:val="24"/>
              </w:rPr>
            </w:pPr>
            <w:bookmarkStart w:id="0" w:name="_Hlk49843745"/>
            <w:r>
              <w:rPr>
                <w:rFonts w:hAnsi="宋体"/>
                <w:sz w:val="24"/>
              </w:rPr>
              <w:t>建设项目</w:t>
            </w:r>
          </w:p>
          <w:p w14:paraId="47BE915D">
            <w:pPr>
              <w:adjustRightInd w:val="0"/>
              <w:snapToGrid w:val="0"/>
              <w:jc w:val="center"/>
              <w:rPr>
                <w:sz w:val="24"/>
              </w:rPr>
            </w:pPr>
            <w:r>
              <w:rPr>
                <w:rFonts w:hAnsi="宋体"/>
                <w:sz w:val="24"/>
              </w:rPr>
              <w:t>行业类别</w:t>
            </w:r>
            <w:bookmarkEnd w:id="0"/>
          </w:p>
        </w:tc>
        <w:tc>
          <w:tcPr>
            <w:tcW w:w="3104" w:type="dxa"/>
            <w:vAlign w:val="center"/>
          </w:tcPr>
          <w:p w14:paraId="6CA04E39">
            <w:pPr>
              <w:adjustRightInd w:val="0"/>
              <w:snapToGrid w:val="0"/>
              <w:rPr>
                <w:sz w:val="24"/>
              </w:rPr>
            </w:pPr>
            <w:r>
              <w:rPr>
                <w:rFonts w:hint="eastAsia" w:hAnsi="宋体"/>
                <w:sz w:val="24"/>
              </w:rPr>
              <w:t>二十一、文教、工美、体育和娱乐用品制造业24</w:t>
            </w:r>
            <w:r>
              <w:rPr>
                <w:rFonts w:hAnsi="宋体"/>
                <w:sz w:val="24"/>
              </w:rPr>
              <w:t>（</w:t>
            </w:r>
            <w:r>
              <w:rPr>
                <w:rFonts w:hint="eastAsia" w:hAnsi="宋体"/>
                <w:sz w:val="24"/>
              </w:rPr>
              <w:t>玩具制造245</w:t>
            </w:r>
            <w:r>
              <w:rPr>
                <w:rFonts w:hAnsi="宋体"/>
                <w:sz w:val="24"/>
              </w:rPr>
              <w:t>）</w:t>
            </w:r>
          </w:p>
        </w:tc>
      </w:tr>
      <w:tr w14:paraId="5C90C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22" w:type="dxa"/>
            <w:tcMar>
              <w:top w:w="16" w:type="dxa"/>
              <w:left w:w="16" w:type="dxa"/>
              <w:right w:w="16" w:type="dxa"/>
            </w:tcMar>
            <w:vAlign w:val="center"/>
          </w:tcPr>
          <w:p w14:paraId="22534C92">
            <w:pPr>
              <w:adjustRightInd w:val="0"/>
              <w:snapToGrid w:val="0"/>
              <w:jc w:val="center"/>
              <w:rPr>
                <w:sz w:val="24"/>
              </w:rPr>
            </w:pPr>
            <w:r>
              <w:rPr>
                <w:rFonts w:hAnsi="宋体"/>
                <w:sz w:val="24"/>
              </w:rPr>
              <w:t>建设性质</w:t>
            </w:r>
          </w:p>
        </w:tc>
        <w:tc>
          <w:tcPr>
            <w:tcW w:w="2497" w:type="dxa"/>
            <w:vAlign w:val="center"/>
          </w:tcPr>
          <w:p w14:paraId="6912E7CD">
            <w:pPr>
              <w:jc w:val="left"/>
              <w:rPr>
                <w:sz w:val="24"/>
              </w:rPr>
            </w:pPr>
            <w:r>
              <w:rPr>
                <w:sz w:val="24"/>
              </w:rPr>
              <w:t>√</w:t>
            </w:r>
            <w:r>
              <w:rPr>
                <w:rFonts w:hAnsi="宋体"/>
                <w:sz w:val="24"/>
              </w:rPr>
              <w:t>新建（迁建）</w:t>
            </w:r>
          </w:p>
          <w:p w14:paraId="4CFE69F8">
            <w:pPr>
              <w:jc w:val="left"/>
              <w:rPr>
                <w:sz w:val="24"/>
              </w:rPr>
            </w:pPr>
            <w:r>
              <w:rPr>
                <w:sz w:val="24"/>
              </w:rPr>
              <w:t>□</w:t>
            </w:r>
            <w:r>
              <w:rPr>
                <w:rFonts w:hAnsi="宋体"/>
                <w:sz w:val="24"/>
              </w:rPr>
              <w:t>改建</w:t>
            </w:r>
          </w:p>
          <w:p w14:paraId="52571459">
            <w:pPr>
              <w:jc w:val="left"/>
              <w:rPr>
                <w:sz w:val="24"/>
              </w:rPr>
            </w:pPr>
            <w:r>
              <w:rPr>
                <w:sz w:val="24"/>
              </w:rPr>
              <w:t>□</w:t>
            </w:r>
            <w:r>
              <w:rPr>
                <w:rFonts w:hAnsi="宋体"/>
                <w:sz w:val="24"/>
              </w:rPr>
              <w:t>扩建</w:t>
            </w:r>
          </w:p>
          <w:p w14:paraId="680E00CC">
            <w:pPr>
              <w:jc w:val="left"/>
              <w:rPr>
                <w:sz w:val="24"/>
              </w:rPr>
            </w:pPr>
            <w:r>
              <w:rPr>
                <w:sz w:val="24"/>
              </w:rPr>
              <w:t>□</w:t>
            </w:r>
            <w:r>
              <w:rPr>
                <w:rFonts w:hAnsi="宋体"/>
                <w:sz w:val="24"/>
              </w:rPr>
              <w:t>技术改造</w:t>
            </w:r>
          </w:p>
        </w:tc>
        <w:tc>
          <w:tcPr>
            <w:tcW w:w="2212" w:type="dxa"/>
            <w:vAlign w:val="center"/>
          </w:tcPr>
          <w:p w14:paraId="6735CBC4">
            <w:pPr>
              <w:adjustRightInd w:val="0"/>
              <w:snapToGrid w:val="0"/>
              <w:jc w:val="center"/>
              <w:rPr>
                <w:sz w:val="24"/>
              </w:rPr>
            </w:pPr>
            <w:r>
              <w:rPr>
                <w:rFonts w:hAnsi="宋体"/>
                <w:sz w:val="24"/>
              </w:rPr>
              <w:t>建设项目</w:t>
            </w:r>
          </w:p>
          <w:p w14:paraId="176B19EA">
            <w:pPr>
              <w:adjustRightInd w:val="0"/>
              <w:snapToGrid w:val="0"/>
              <w:jc w:val="center"/>
              <w:rPr>
                <w:sz w:val="24"/>
              </w:rPr>
            </w:pPr>
            <w:r>
              <w:rPr>
                <w:rFonts w:hAnsi="宋体"/>
                <w:sz w:val="24"/>
              </w:rPr>
              <w:t>申报情形</w:t>
            </w:r>
          </w:p>
        </w:tc>
        <w:tc>
          <w:tcPr>
            <w:tcW w:w="3104" w:type="dxa"/>
            <w:vAlign w:val="center"/>
          </w:tcPr>
          <w:p w14:paraId="1DBFD1C4">
            <w:pPr>
              <w:jc w:val="left"/>
              <w:rPr>
                <w:sz w:val="24"/>
              </w:rPr>
            </w:pPr>
            <w:r>
              <w:rPr>
                <w:sz w:val="24"/>
              </w:rPr>
              <w:t>√</w:t>
            </w:r>
            <w:r>
              <w:rPr>
                <w:rFonts w:hAnsi="宋体"/>
                <w:sz w:val="24"/>
              </w:rPr>
              <w:t>首次申报项目</w:t>
            </w:r>
            <w:r>
              <w:rPr>
                <w:sz w:val="24"/>
              </w:rPr>
              <w:t xml:space="preserve">             </w:t>
            </w:r>
          </w:p>
          <w:p w14:paraId="4BF798A4">
            <w:pPr>
              <w:jc w:val="left"/>
              <w:rPr>
                <w:sz w:val="24"/>
              </w:rPr>
            </w:pPr>
            <w:r>
              <w:rPr>
                <w:sz w:val="24"/>
              </w:rPr>
              <w:t>□</w:t>
            </w:r>
            <w:r>
              <w:rPr>
                <w:rFonts w:hAnsi="宋体"/>
                <w:sz w:val="24"/>
              </w:rPr>
              <w:t>不予批准后再次申报项目</w:t>
            </w:r>
          </w:p>
          <w:p w14:paraId="4755274B">
            <w:pPr>
              <w:jc w:val="left"/>
              <w:rPr>
                <w:sz w:val="24"/>
              </w:rPr>
            </w:pPr>
            <w:r>
              <w:rPr>
                <w:sz w:val="24"/>
              </w:rPr>
              <w:sym w:font="Wingdings 2" w:char="00A3"/>
            </w:r>
            <w:r>
              <w:rPr>
                <w:rFonts w:hAnsi="宋体"/>
                <w:sz w:val="24"/>
              </w:rPr>
              <w:t>超五年重新审核项目</w:t>
            </w:r>
            <w:r>
              <w:rPr>
                <w:sz w:val="24"/>
              </w:rPr>
              <w:t xml:space="preserve">     </w:t>
            </w:r>
          </w:p>
          <w:p w14:paraId="4A2D3CC8">
            <w:pPr>
              <w:jc w:val="left"/>
              <w:rPr>
                <w:sz w:val="24"/>
              </w:rPr>
            </w:pPr>
            <w:r>
              <w:rPr>
                <w:sz w:val="24"/>
              </w:rPr>
              <w:t>□</w:t>
            </w:r>
            <w:r>
              <w:rPr>
                <w:rFonts w:hAnsi="宋体"/>
                <w:sz w:val="24"/>
              </w:rPr>
              <w:t>重大变动重新报批项目</w:t>
            </w:r>
          </w:p>
        </w:tc>
      </w:tr>
      <w:tr w14:paraId="2DF75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22" w:type="dxa"/>
            <w:tcMar>
              <w:top w:w="16" w:type="dxa"/>
              <w:left w:w="16" w:type="dxa"/>
              <w:right w:w="16" w:type="dxa"/>
            </w:tcMar>
            <w:vAlign w:val="center"/>
          </w:tcPr>
          <w:p w14:paraId="1F643851">
            <w:pPr>
              <w:adjustRightInd w:val="0"/>
              <w:snapToGrid w:val="0"/>
              <w:jc w:val="center"/>
              <w:rPr>
                <w:sz w:val="24"/>
              </w:rPr>
            </w:pPr>
            <w:r>
              <w:rPr>
                <w:rFonts w:hAnsi="宋体"/>
                <w:sz w:val="24"/>
              </w:rPr>
              <w:t>项目审批（核准</w:t>
            </w:r>
            <w:r>
              <w:rPr>
                <w:sz w:val="24"/>
              </w:rPr>
              <w:t>/</w:t>
            </w:r>
            <w:r>
              <w:rPr>
                <w:rFonts w:hAnsi="宋体"/>
                <w:sz w:val="24"/>
              </w:rPr>
              <w:t>备案）部门（选填）</w:t>
            </w:r>
          </w:p>
        </w:tc>
        <w:tc>
          <w:tcPr>
            <w:tcW w:w="2497" w:type="dxa"/>
            <w:vAlign w:val="center"/>
          </w:tcPr>
          <w:p w14:paraId="18EA66D2">
            <w:pPr>
              <w:adjustRightInd w:val="0"/>
              <w:snapToGrid w:val="0"/>
              <w:jc w:val="center"/>
              <w:rPr>
                <w:sz w:val="24"/>
              </w:rPr>
            </w:pPr>
            <w:r>
              <w:rPr>
                <w:rFonts w:hint="eastAsia"/>
                <w:sz w:val="24"/>
              </w:rPr>
              <w:t>重庆市涪陵区发展和改革委员会</w:t>
            </w:r>
          </w:p>
        </w:tc>
        <w:tc>
          <w:tcPr>
            <w:tcW w:w="2212" w:type="dxa"/>
            <w:vAlign w:val="center"/>
          </w:tcPr>
          <w:p w14:paraId="108D56F2">
            <w:pPr>
              <w:adjustRightInd w:val="0"/>
              <w:snapToGrid w:val="0"/>
              <w:jc w:val="center"/>
              <w:rPr>
                <w:sz w:val="24"/>
              </w:rPr>
            </w:pPr>
            <w:r>
              <w:rPr>
                <w:rFonts w:hAnsi="宋体"/>
                <w:sz w:val="24"/>
              </w:rPr>
              <w:t>项目审批（核准</w:t>
            </w:r>
            <w:r>
              <w:rPr>
                <w:sz w:val="24"/>
              </w:rPr>
              <w:t>/</w:t>
            </w:r>
          </w:p>
          <w:p w14:paraId="09D95BA1">
            <w:pPr>
              <w:adjustRightInd w:val="0"/>
              <w:snapToGrid w:val="0"/>
              <w:jc w:val="center"/>
              <w:rPr>
                <w:sz w:val="24"/>
              </w:rPr>
            </w:pPr>
            <w:r>
              <w:rPr>
                <w:rFonts w:hAnsi="宋体"/>
                <w:sz w:val="24"/>
              </w:rPr>
              <w:t>备案）文号（选填）</w:t>
            </w:r>
          </w:p>
        </w:tc>
        <w:tc>
          <w:tcPr>
            <w:tcW w:w="3104" w:type="dxa"/>
            <w:vAlign w:val="center"/>
          </w:tcPr>
          <w:p w14:paraId="360AD1B2">
            <w:pPr>
              <w:adjustRightInd w:val="0"/>
              <w:snapToGrid w:val="0"/>
              <w:jc w:val="center"/>
              <w:rPr>
                <w:sz w:val="24"/>
              </w:rPr>
            </w:pPr>
            <w:r>
              <w:rPr>
                <w:rFonts w:hint="eastAsia"/>
                <w:spacing w:val="-10"/>
                <w:sz w:val="24"/>
              </w:rPr>
              <w:t>2202-500102-04-01-693776</w:t>
            </w:r>
          </w:p>
        </w:tc>
      </w:tr>
      <w:tr w14:paraId="03B77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5E0222B8">
            <w:pPr>
              <w:adjustRightInd w:val="0"/>
              <w:snapToGrid w:val="0"/>
              <w:jc w:val="center"/>
              <w:rPr>
                <w:sz w:val="24"/>
              </w:rPr>
            </w:pPr>
            <w:r>
              <w:rPr>
                <w:rFonts w:hAnsi="宋体"/>
                <w:sz w:val="24"/>
              </w:rPr>
              <w:t>总投资（万元）</w:t>
            </w:r>
          </w:p>
        </w:tc>
        <w:tc>
          <w:tcPr>
            <w:tcW w:w="2497" w:type="dxa"/>
            <w:vAlign w:val="center"/>
          </w:tcPr>
          <w:p w14:paraId="597BC23C">
            <w:pPr>
              <w:adjustRightInd w:val="0"/>
              <w:snapToGrid w:val="0"/>
              <w:jc w:val="center"/>
              <w:rPr>
                <w:sz w:val="24"/>
              </w:rPr>
            </w:pPr>
            <w:r>
              <w:rPr>
                <w:rFonts w:hint="eastAsia"/>
                <w:sz w:val="24"/>
              </w:rPr>
              <w:t>20000</w:t>
            </w:r>
          </w:p>
        </w:tc>
        <w:tc>
          <w:tcPr>
            <w:tcW w:w="2212" w:type="dxa"/>
            <w:tcMar>
              <w:top w:w="16" w:type="dxa"/>
              <w:left w:w="16" w:type="dxa"/>
              <w:right w:w="16" w:type="dxa"/>
            </w:tcMar>
            <w:vAlign w:val="center"/>
          </w:tcPr>
          <w:p w14:paraId="3DB26548">
            <w:pPr>
              <w:adjustRightInd w:val="0"/>
              <w:snapToGrid w:val="0"/>
              <w:jc w:val="center"/>
              <w:rPr>
                <w:sz w:val="24"/>
              </w:rPr>
            </w:pPr>
            <w:r>
              <w:rPr>
                <w:rFonts w:hAnsi="宋体"/>
                <w:sz w:val="24"/>
              </w:rPr>
              <w:t>环保投资（万元）</w:t>
            </w:r>
          </w:p>
        </w:tc>
        <w:tc>
          <w:tcPr>
            <w:tcW w:w="3104" w:type="dxa"/>
            <w:vAlign w:val="center"/>
          </w:tcPr>
          <w:p w14:paraId="405D12FB">
            <w:pPr>
              <w:adjustRightInd w:val="0"/>
              <w:snapToGrid w:val="0"/>
              <w:jc w:val="center"/>
              <w:rPr>
                <w:sz w:val="24"/>
              </w:rPr>
            </w:pPr>
            <w:r>
              <w:rPr>
                <w:rFonts w:hint="eastAsia"/>
                <w:sz w:val="24"/>
              </w:rPr>
              <w:t>40</w:t>
            </w:r>
          </w:p>
        </w:tc>
      </w:tr>
      <w:tr w14:paraId="52BBD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30DDAA07">
            <w:pPr>
              <w:adjustRightInd w:val="0"/>
              <w:snapToGrid w:val="0"/>
              <w:jc w:val="center"/>
              <w:rPr>
                <w:sz w:val="24"/>
              </w:rPr>
            </w:pPr>
            <w:r>
              <w:rPr>
                <w:rFonts w:hAnsi="宋体"/>
                <w:sz w:val="24"/>
              </w:rPr>
              <w:t>环保投资占比（</w:t>
            </w:r>
            <w:r>
              <w:rPr>
                <w:sz w:val="24"/>
              </w:rPr>
              <w:t>%</w:t>
            </w:r>
            <w:r>
              <w:rPr>
                <w:rFonts w:hAnsi="宋体"/>
                <w:sz w:val="24"/>
              </w:rPr>
              <w:t>）</w:t>
            </w:r>
          </w:p>
        </w:tc>
        <w:tc>
          <w:tcPr>
            <w:tcW w:w="2497" w:type="dxa"/>
            <w:vAlign w:val="center"/>
          </w:tcPr>
          <w:p w14:paraId="0C51549A">
            <w:pPr>
              <w:adjustRightInd w:val="0"/>
              <w:snapToGrid w:val="0"/>
              <w:jc w:val="center"/>
              <w:rPr>
                <w:sz w:val="24"/>
              </w:rPr>
            </w:pPr>
            <w:r>
              <w:rPr>
                <w:rFonts w:hint="eastAsia"/>
                <w:sz w:val="24"/>
              </w:rPr>
              <w:t>0.2</w:t>
            </w:r>
          </w:p>
        </w:tc>
        <w:tc>
          <w:tcPr>
            <w:tcW w:w="2212" w:type="dxa"/>
            <w:tcMar>
              <w:top w:w="16" w:type="dxa"/>
              <w:left w:w="16" w:type="dxa"/>
              <w:right w:w="16" w:type="dxa"/>
            </w:tcMar>
            <w:vAlign w:val="center"/>
          </w:tcPr>
          <w:p w14:paraId="7064D1FB">
            <w:pPr>
              <w:adjustRightInd w:val="0"/>
              <w:snapToGrid w:val="0"/>
              <w:jc w:val="center"/>
              <w:rPr>
                <w:sz w:val="24"/>
              </w:rPr>
            </w:pPr>
            <w:r>
              <w:rPr>
                <w:rFonts w:hAnsi="宋体"/>
                <w:sz w:val="24"/>
              </w:rPr>
              <w:t>施工工期</w:t>
            </w:r>
          </w:p>
        </w:tc>
        <w:tc>
          <w:tcPr>
            <w:tcW w:w="3104" w:type="dxa"/>
            <w:vAlign w:val="center"/>
          </w:tcPr>
          <w:p w14:paraId="5E762AFB">
            <w:pPr>
              <w:adjustRightInd w:val="0"/>
              <w:snapToGrid w:val="0"/>
              <w:jc w:val="center"/>
              <w:rPr>
                <w:sz w:val="24"/>
              </w:rPr>
            </w:pPr>
            <w:r>
              <w:rPr>
                <w:rFonts w:hint="eastAsia"/>
                <w:sz w:val="24"/>
              </w:rPr>
              <w:t>10个月</w:t>
            </w:r>
          </w:p>
        </w:tc>
      </w:tr>
      <w:tr w14:paraId="7D26E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22" w:type="dxa"/>
            <w:tcMar>
              <w:top w:w="16" w:type="dxa"/>
              <w:left w:w="16" w:type="dxa"/>
              <w:right w:w="16" w:type="dxa"/>
            </w:tcMar>
            <w:vAlign w:val="center"/>
          </w:tcPr>
          <w:p w14:paraId="72E04B82">
            <w:pPr>
              <w:adjustRightInd w:val="0"/>
              <w:snapToGrid w:val="0"/>
              <w:jc w:val="center"/>
              <w:rPr>
                <w:sz w:val="24"/>
              </w:rPr>
            </w:pPr>
            <w:r>
              <w:rPr>
                <w:rFonts w:hAnsi="宋体"/>
                <w:sz w:val="24"/>
              </w:rPr>
              <w:t>是否开工建设</w:t>
            </w:r>
          </w:p>
        </w:tc>
        <w:tc>
          <w:tcPr>
            <w:tcW w:w="2497" w:type="dxa"/>
            <w:vAlign w:val="center"/>
          </w:tcPr>
          <w:p w14:paraId="70DB8A93">
            <w:pPr>
              <w:adjustRightInd w:val="0"/>
              <w:snapToGrid w:val="0"/>
              <w:rPr>
                <w:sz w:val="24"/>
              </w:rPr>
            </w:pPr>
            <w:r>
              <w:rPr>
                <w:sz w:val="24"/>
              </w:rPr>
              <w:t>√</w:t>
            </w:r>
            <w:r>
              <w:rPr>
                <w:rFonts w:hAnsi="宋体"/>
                <w:sz w:val="24"/>
              </w:rPr>
              <w:t>否</w:t>
            </w:r>
          </w:p>
          <w:p w14:paraId="1D0EB021">
            <w:pPr>
              <w:adjustRightInd w:val="0"/>
              <w:snapToGrid w:val="0"/>
              <w:rPr>
                <w:sz w:val="24"/>
              </w:rPr>
            </w:pPr>
            <w:r>
              <w:rPr>
                <w:rFonts w:hAnsi="宋体"/>
                <w:sz w:val="24"/>
              </w:rPr>
              <w:t>是：</w:t>
            </w:r>
            <w:r>
              <w:rPr>
                <w:sz w:val="24"/>
                <w:u w:val="single"/>
              </w:rPr>
              <w:t xml:space="preserve">          </w:t>
            </w:r>
          </w:p>
        </w:tc>
        <w:tc>
          <w:tcPr>
            <w:tcW w:w="2212" w:type="dxa"/>
            <w:tcMar>
              <w:top w:w="16" w:type="dxa"/>
              <w:left w:w="16" w:type="dxa"/>
              <w:right w:w="16" w:type="dxa"/>
            </w:tcMar>
            <w:vAlign w:val="center"/>
          </w:tcPr>
          <w:p w14:paraId="02750088">
            <w:pPr>
              <w:adjustRightInd w:val="0"/>
              <w:snapToGrid w:val="0"/>
              <w:jc w:val="center"/>
              <w:rPr>
                <w:spacing w:val="-6"/>
                <w:sz w:val="24"/>
              </w:rPr>
            </w:pPr>
            <w:r>
              <w:rPr>
                <w:rFonts w:hAnsi="宋体"/>
                <w:spacing w:val="-6"/>
                <w:sz w:val="24"/>
              </w:rPr>
              <w:t>用地（用海）</w:t>
            </w:r>
          </w:p>
          <w:p w14:paraId="66C91D2D">
            <w:pPr>
              <w:adjustRightInd w:val="0"/>
              <w:snapToGrid w:val="0"/>
              <w:jc w:val="center"/>
              <w:rPr>
                <w:sz w:val="24"/>
              </w:rPr>
            </w:pPr>
            <w:r>
              <w:rPr>
                <w:rFonts w:hAnsi="宋体"/>
                <w:spacing w:val="-6"/>
                <w:sz w:val="24"/>
              </w:rPr>
              <w:t>面积（</w:t>
            </w:r>
            <w:r>
              <w:rPr>
                <w:spacing w:val="-6"/>
                <w:sz w:val="24"/>
              </w:rPr>
              <w:t>m</w:t>
            </w:r>
            <w:r>
              <w:rPr>
                <w:spacing w:val="-6"/>
                <w:sz w:val="24"/>
                <w:vertAlign w:val="superscript"/>
              </w:rPr>
              <w:t>2</w:t>
            </w:r>
            <w:r>
              <w:rPr>
                <w:rFonts w:hAnsi="宋体"/>
                <w:spacing w:val="-6"/>
                <w:sz w:val="24"/>
              </w:rPr>
              <w:t>）</w:t>
            </w:r>
          </w:p>
        </w:tc>
        <w:tc>
          <w:tcPr>
            <w:tcW w:w="3104" w:type="dxa"/>
            <w:vAlign w:val="center"/>
          </w:tcPr>
          <w:p w14:paraId="6520432F">
            <w:pPr>
              <w:adjustRightInd w:val="0"/>
              <w:snapToGrid w:val="0"/>
              <w:jc w:val="center"/>
              <w:rPr>
                <w:sz w:val="24"/>
              </w:rPr>
            </w:pPr>
            <w:r>
              <w:rPr>
                <w:rFonts w:hint="eastAsia"/>
                <w:sz w:val="24"/>
              </w:rPr>
              <w:t>68769</w:t>
            </w:r>
          </w:p>
        </w:tc>
      </w:tr>
      <w:tr w14:paraId="23558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22" w:type="dxa"/>
            <w:vAlign w:val="center"/>
          </w:tcPr>
          <w:p w14:paraId="23F00E01">
            <w:pPr>
              <w:autoSpaceDE w:val="0"/>
              <w:autoSpaceDN w:val="0"/>
              <w:adjustRightInd w:val="0"/>
              <w:snapToGrid w:val="0"/>
              <w:jc w:val="center"/>
              <w:rPr>
                <w:kern w:val="0"/>
                <w:sz w:val="24"/>
              </w:rPr>
            </w:pPr>
            <w:r>
              <w:rPr>
                <w:rFonts w:hAnsi="宋体"/>
                <w:kern w:val="0"/>
                <w:sz w:val="24"/>
              </w:rPr>
              <w:t>专项评价设置情况</w:t>
            </w:r>
          </w:p>
        </w:tc>
        <w:tc>
          <w:tcPr>
            <w:tcW w:w="7813" w:type="dxa"/>
            <w:gridSpan w:val="3"/>
            <w:vAlign w:val="center"/>
          </w:tcPr>
          <w:p w14:paraId="67A23C45">
            <w:pPr>
              <w:spacing w:line="360" w:lineRule="auto"/>
              <w:ind w:firstLine="480" w:firstLineChars="200"/>
              <w:jc w:val="left"/>
              <w:rPr>
                <w:sz w:val="24"/>
                <w:szCs w:val="36"/>
              </w:rPr>
            </w:pPr>
            <w:r>
              <w:rPr>
                <w:rFonts w:hint="eastAsia"/>
                <w:sz w:val="24"/>
              </w:rPr>
              <w:t>对照</w:t>
            </w:r>
            <w:r>
              <w:rPr>
                <w:sz w:val="24"/>
              </w:rPr>
              <w:t>《</w:t>
            </w:r>
            <w:r>
              <w:rPr>
                <w:rFonts w:hint="eastAsia"/>
                <w:sz w:val="24"/>
              </w:rPr>
              <w:t>建设项目环境影响报告表编制技术指南（污染影响类）（试行）</w:t>
            </w:r>
            <w:r>
              <w:rPr>
                <w:sz w:val="24"/>
              </w:rPr>
              <w:t>》</w:t>
            </w:r>
            <w:r>
              <w:rPr>
                <w:rFonts w:hint="eastAsia"/>
                <w:sz w:val="24"/>
              </w:rPr>
              <w:t>中“表1专项评价设置原则表”，本项目土壤、声环境不开展专项评价，同时，本项目厂界外500m范围内不涉及地下水集中式饮用水水源和热水、矿泉水、温泉等特殊地下水资源，因此，不开展地下水专项评价。大气、地表水、环境风险、生态、海洋是否开展专项评价情况见表</w:t>
            </w:r>
            <w:r>
              <w:rPr>
                <w:rFonts w:hint="eastAsia"/>
                <w:sz w:val="24"/>
                <w:szCs w:val="36"/>
              </w:rPr>
              <w:t>1。</w:t>
            </w:r>
          </w:p>
          <w:p w14:paraId="3133B034">
            <w:pPr>
              <w:spacing w:line="360" w:lineRule="exact"/>
              <w:jc w:val="center"/>
              <w:rPr>
                <w:b/>
                <w:szCs w:val="36"/>
              </w:rPr>
            </w:pPr>
            <w:r>
              <w:rPr>
                <w:rFonts w:hint="eastAsia"/>
                <w:b/>
              </w:rPr>
              <w:t>表</w:t>
            </w:r>
            <w:r>
              <w:rPr>
                <w:rFonts w:hint="eastAsia"/>
                <w:b/>
                <w:szCs w:val="36"/>
              </w:rPr>
              <w:t>1  专项评价设置原则对照表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400"/>
              <w:gridCol w:w="3164"/>
            </w:tblGrid>
            <w:tr w14:paraId="434E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74" w:type="pct"/>
                  <w:vAlign w:val="center"/>
                </w:tcPr>
                <w:p w14:paraId="2E7F5270">
                  <w:pPr>
                    <w:spacing w:line="320" w:lineRule="exact"/>
                    <w:jc w:val="center"/>
                    <w:rPr>
                      <w:szCs w:val="36"/>
                    </w:rPr>
                  </w:pPr>
                  <w:r>
                    <w:rPr>
                      <w:rFonts w:hint="eastAsia"/>
                      <w:szCs w:val="36"/>
                    </w:rPr>
                    <w:t>专项评价类别</w:t>
                  </w:r>
                </w:p>
              </w:tc>
              <w:tc>
                <w:tcPr>
                  <w:tcW w:w="2241" w:type="pct"/>
                  <w:vAlign w:val="center"/>
                </w:tcPr>
                <w:p w14:paraId="557E482C">
                  <w:pPr>
                    <w:spacing w:line="320" w:lineRule="exact"/>
                    <w:jc w:val="center"/>
                    <w:rPr>
                      <w:szCs w:val="36"/>
                    </w:rPr>
                  </w:pPr>
                  <w:r>
                    <w:rPr>
                      <w:rFonts w:hint="eastAsia"/>
                      <w:szCs w:val="36"/>
                    </w:rPr>
                    <w:t>设置原则</w:t>
                  </w:r>
                </w:p>
              </w:tc>
              <w:tc>
                <w:tcPr>
                  <w:tcW w:w="2085" w:type="pct"/>
                  <w:vAlign w:val="center"/>
                </w:tcPr>
                <w:p w14:paraId="162DD197">
                  <w:pPr>
                    <w:spacing w:line="320" w:lineRule="exact"/>
                    <w:jc w:val="center"/>
                    <w:rPr>
                      <w:szCs w:val="36"/>
                    </w:rPr>
                  </w:pPr>
                  <w:r>
                    <w:rPr>
                      <w:rFonts w:hint="eastAsia"/>
                      <w:szCs w:val="36"/>
                    </w:rPr>
                    <w:t>本项目情况</w:t>
                  </w:r>
                </w:p>
              </w:tc>
            </w:tr>
            <w:tr w14:paraId="4281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3E94FEC1">
                  <w:pPr>
                    <w:spacing w:line="320" w:lineRule="exact"/>
                    <w:jc w:val="center"/>
                    <w:rPr>
                      <w:szCs w:val="36"/>
                    </w:rPr>
                  </w:pPr>
                  <w:r>
                    <w:rPr>
                      <w:rFonts w:hint="eastAsia"/>
                      <w:szCs w:val="36"/>
                    </w:rPr>
                    <w:t>大气</w:t>
                  </w:r>
                </w:p>
              </w:tc>
              <w:tc>
                <w:tcPr>
                  <w:tcW w:w="2241" w:type="pct"/>
                  <w:vAlign w:val="center"/>
                </w:tcPr>
                <w:p w14:paraId="4BE141E9">
                  <w:pPr>
                    <w:spacing w:line="320" w:lineRule="exact"/>
                    <w:rPr>
                      <w:szCs w:val="36"/>
                    </w:rPr>
                  </w:pPr>
                  <w:r>
                    <w:rPr>
                      <w:rFonts w:hint="eastAsia"/>
                      <w:szCs w:val="36"/>
                    </w:rPr>
                    <w:t>排放废气含有毒有害污染物</w:t>
                  </w:r>
                  <w:r>
                    <w:rPr>
                      <w:rFonts w:hint="eastAsia"/>
                      <w:szCs w:val="36"/>
                      <w:vertAlign w:val="superscript"/>
                    </w:rPr>
                    <w:t>1</w:t>
                  </w:r>
                  <w:r>
                    <w:rPr>
                      <w:rFonts w:hint="eastAsia"/>
                      <w:szCs w:val="36"/>
                    </w:rPr>
                    <w:t>、二噁英、苯并[a]芘、氰化物、氯气且厂界外500米范围内有环境空气保护目标</w:t>
                  </w:r>
                  <w:r>
                    <w:rPr>
                      <w:rFonts w:hint="eastAsia"/>
                      <w:szCs w:val="36"/>
                      <w:vertAlign w:val="superscript"/>
                    </w:rPr>
                    <w:t>2</w:t>
                  </w:r>
                  <w:r>
                    <w:rPr>
                      <w:rFonts w:hint="eastAsia"/>
                      <w:szCs w:val="36"/>
                    </w:rPr>
                    <w:t>的建设项目</w:t>
                  </w:r>
                </w:p>
              </w:tc>
              <w:tc>
                <w:tcPr>
                  <w:tcW w:w="2085" w:type="pct"/>
                  <w:vAlign w:val="center"/>
                </w:tcPr>
                <w:p w14:paraId="7C026310">
                  <w:pPr>
                    <w:spacing w:line="320" w:lineRule="exact"/>
                    <w:rPr>
                      <w:szCs w:val="36"/>
                    </w:rPr>
                  </w:pPr>
                  <w:r>
                    <w:rPr>
                      <w:rFonts w:hint="eastAsia"/>
                      <w:szCs w:val="36"/>
                    </w:rPr>
                    <w:t>本项目运营期废气污染物主要为非甲烷总烃，不属于指南指出的有毒有害污染物，无</w:t>
                  </w:r>
                  <w:r>
                    <w:rPr>
                      <w:rFonts w:hint="eastAsia"/>
                      <w:b/>
                      <w:szCs w:val="36"/>
                    </w:rPr>
                    <w:t>需开展大气专项评价。</w:t>
                  </w:r>
                </w:p>
              </w:tc>
            </w:tr>
            <w:tr w14:paraId="7F97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776F3F22">
                  <w:pPr>
                    <w:spacing w:line="320" w:lineRule="exact"/>
                    <w:jc w:val="center"/>
                    <w:rPr>
                      <w:szCs w:val="36"/>
                    </w:rPr>
                  </w:pPr>
                  <w:r>
                    <w:rPr>
                      <w:rFonts w:hint="eastAsia"/>
                      <w:szCs w:val="36"/>
                    </w:rPr>
                    <w:t>地表水</w:t>
                  </w:r>
                </w:p>
              </w:tc>
              <w:tc>
                <w:tcPr>
                  <w:tcW w:w="2241" w:type="pct"/>
                  <w:vAlign w:val="center"/>
                </w:tcPr>
                <w:p w14:paraId="1ED5A70A">
                  <w:pPr>
                    <w:spacing w:line="320" w:lineRule="exact"/>
                    <w:rPr>
                      <w:szCs w:val="36"/>
                    </w:rPr>
                  </w:pPr>
                  <w:r>
                    <w:rPr>
                      <w:rFonts w:hint="eastAsia"/>
                      <w:szCs w:val="36"/>
                    </w:rPr>
                    <w:t>新增工业废水直排建设项目（槽罐车外送污水处理厂的除外）；新增废水直排的污水集中处理厂</w:t>
                  </w:r>
                </w:p>
              </w:tc>
              <w:tc>
                <w:tcPr>
                  <w:tcW w:w="2085" w:type="pct"/>
                  <w:vAlign w:val="center"/>
                </w:tcPr>
                <w:p w14:paraId="26CA7A35">
                  <w:pPr>
                    <w:spacing w:line="320" w:lineRule="exact"/>
                    <w:rPr>
                      <w:szCs w:val="36"/>
                    </w:rPr>
                  </w:pPr>
                  <w:r>
                    <w:rPr>
                      <w:kern w:val="0"/>
                      <w:szCs w:val="21"/>
                    </w:rPr>
                    <w:t>项目废水经生化池处理达标后，排入</w:t>
                  </w:r>
                  <w:r>
                    <w:rPr>
                      <w:rFonts w:hint="eastAsia"/>
                      <w:kern w:val="0"/>
                      <w:szCs w:val="21"/>
                    </w:rPr>
                    <w:t>李渡大耍</w:t>
                  </w:r>
                  <w:r>
                    <w:rPr>
                      <w:kern w:val="0"/>
                      <w:szCs w:val="21"/>
                    </w:rPr>
                    <w:t>坝污水处理厂处理，属间接排放，</w:t>
                  </w:r>
                  <w:r>
                    <w:rPr>
                      <w:b/>
                      <w:bCs/>
                      <w:kern w:val="0"/>
                      <w:szCs w:val="21"/>
                    </w:rPr>
                    <w:t>无需开展地表水专项评价。</w:t>
                  </w:r>
                </w:p>
              </w:tc>
            </w:tr>
            <w:tr w14:paraId="57CB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7C277258">
                  <w:pPr>
                    <w:spacing w:line="320" w:lineRule="exact"/>
                    <w:jc w:val="center"/>
                    <w:rPr>
                      <w:szCs w:val="36"/>
                    </w:rPr>
                  </w:pPr>
                  <w:r>
                    <w:rPr>
                      <w:rFonts w:hint="eastAsia"/>
                      <w:szCs w:val="36"/>
                    </w:rPr>
                    <w:t>环境风险</w:t>
                  </w:r>
                </w:p>
              </w:tc>
              <w:tc>
                <w:tcPr>
                  <w:tcW w:w="2241" w:type="pct"/>
                  <w:vAlign w:val="center"/>
                </w:tcPr>
                <w:p w14:paraId="22D9E04A">
                  <w:pPr>
                    <w:spacing w:line="320" w:lineRule="exact"/>
                    <w:rPr>
                      <w:szCs w:val="36"/>
                    </w:rPr>
                  </w:pPr>
                  <w:r>
                    <w:rPr>
                      <w:rFonts w:hint="eastAsia"/>
                      <w:szCs w:val="36"/>
                    </w:rPr>
                    <w:t>有毒有害和易燃易爆危险物质存储量超过临界量</w:t>
                  </w:r>
                  <w:r>
                    <w:rPr>
                      <w:rFonts w:hint="eastAsia"/>
                      <w:szCs w:val="36"/>
                      <w:vertAlign w:val="superscript"/>
                    </w:rPr>
                    <w:t>3</w:t>
                  </w:r>
                  <w:r>
                    <w:rPr>
                      <w:rFonts w:hint="eastAsia"/>
                      <w:szCs w:val="36"/>
                    </w:rPr>
                    <w:t>的建设项目</w:t>
                  </w:r>
                </w:p>
              </w:tc>
              <w:tc>
                <w:tcPr>
                  <w:tcW w:w="2085" w:type="pct"/>
                  <w:vAlign w:val="center"/>
                </w:tcPr>
                <w:p w14:paraId="58BC1679">
                  <w:pPr>
                    <w:spacing w:line="320" w:lineRule="exact"/>
                    <w:rPr>
                      <w:szCs w:val="36"/>
                    </w:rPr>
                  </w:pPr>
                  <w:r>
                    <w:rPr>
                      <w:rFonts w:hint="eastAsia"/>
                      <w:szCs w:val="36"/>
                    </w:rPr>
                    <w:t>本项目有毒有害和易燃易爆危险物质存储量均未超过临界量，</w:t>
                  </w:r>
                  <w:r>
                    <w:rPr>
                      <w:rFonts w:hint="eastAsia"/>
                      <w:b/>
                      <w:szCs w:val="36"/>
                    </w:rPr>
                    <w:t>无需开展环境风险专项评价。</w:t>
                  </w:r>
                </w:p>
              </w:tc>
            </w:tr>
            <w:tr w14:paraId="7F2C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6110E9D9">
                  <w:pPr>
                    <w:spacing w:line="320" w:lineRule="exact"/>
                    <w:jc w:val="center"/>
                    <w:rPr>
                      <w:szCs w:val="36"/>
                    </w:rPr>
                  </w:pPr>
                  <w:r>
                    <w:rPr>
                      <w:rFonts w:hint="eastAsia"/>
                      <w:szCs w:val="36"/>
                    </w:rPr>
                    <w:t>生态</w:t>
                  </w:r>
                </w:p>
              </w:tc>
              <w:tc>
                <w:tcPr>
                  <w:tcW w:w="2241" w:type="pct"/>
                  <w:vAlign w:val="center"/>
                </w:tcPr>
                <w:p w14:paraId="683642A5">
                  <w:pPr>
                    <w:spacing w:line="320" w:lineRule="exact"/>
                    <w:rPr>
                      <w:szCs w:val="36"/>
                    </w:rPr>
                  </w:pPr>
                  <w:r>
                    <w:rPr>
                      <w:rFonts w:hint="eastAsia"/>
                      <w:szCs w:val="36"/>
                    </w:rPr>
                    <w:t>取水口下游</w:t>
                  </w:r>
                  <w:r>
                    <w:rPr>
                      <w:szCs w:val="36"/>
                    </w:rPr>
                    <w:t>500</w:t>
                  </w:r>
                  <w:r>
                    <w:rPr>
                      <w:rFonts w:hint="eastAsia"/>
                      <w:szCs w:val="36"/>
                    </w:rPr>
                    <w:t>米范围内有重要水生生物的自然产卵场、索饵场、越冬场和洄游通道的新增河道取水的污染类建设项目</w:t>
                  </w:r>
                </w:p>
              </w:tc>
              <w:tc>
                <w:tcPr>
                  <w:tcW w:w="2085" w:type="pct"/>
                  <w:vAlign w:val="center"/>
                </w:tcPr>
                <w:p w14:paraId="5FF4D94B">
                  <w:pPr>
                    <w:spacing w:line="320" w:lineRule="exact"/>
                    <w:rPr>
                      <w:szCs w:val="36"/>
                    </w:rPr>
                  </w:pPr>
                  <w:r>
                    <w:rPr>
                      <w:rFonts w:hint="eastAsia"/>
                      <w:szCs w:val="36"/>
                    </w:rPr>
                    <w:t>本项目不涉及取水，</w:t>
                  </w:r>
                  <w:r>
                    <w:rPr>
                      <w:rFonts w:hint="eastAsia"/>
                      <w:b/>
                      <w:szCs w:val="36"/>
                    </w:rPr>
                    <w:t>无需开展生态专项评价。</w:t>
                  </w:r>
                </w:p>
              </w:tc>
            </w:tr>
            <w:tr w14:paraId="7B35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pct"/>
                  <w:vAlign w:val="center"/>
                </w:tcPr>
                <w:p w14:paraId="0C1437CF">
                  <w:pPr>
                    <w:spacing w:line="320" w:lineRule="exact"/>
                    <w:jc w:val="center"/>
                    <w:rPr>
                      <w:szCs w:val="36"/>
                    </w:rPr>
                  </w:pPr>
                  <w:r>
                    <w:rPr>
                      <w:rFonts w:hint="eastAsia"/>
                      <w:szCs w:val="36"/>
                    </w:rPr>
                    <w:t>海洋</w:t>
                  </w:r>
                </w:p>
              </w:tc>
              <w:tc>
                <w:tcPr>
                  <w:tcW w:w="2241" w:type="pct"/>
                  <w:vAlign w:val="center"/>
                </w:tcPr>
                <w:p w14:paraId="24073183">
                  <w:pPr>
                    <w:spacing w:line="320" w:lineRule="exact"/>
                    <w:rPr>
                      <w:szCs w:val="36"/>
                    </w:rPr>
                  </w:pPr>
                  <w:r>
                    <w:rPr>
                      <w:rFonts w:hint="eastAsia" w:ascii="宋体" w:hAnsi="宋体" w:cs="宋体"/>
                      <w:kern w:val="0"/>
                      <w:szCs w:val="21"/>
                    </w:rPr>
                    <w:t>直接向海排放污染物的海洋工程建设项目</w:t>
                  </w:r>
                </w:p>
              </w:tc>
              <w:tc>
                <w:tcPr>
                  <w:tcW w:w="2085" w:type="pct"/>
                  <w:vAlign w:val="center"/>
                </w:tcPr>
                <w:p w14:paraId="0594EF15">
                  <w:pPr>
                    <w:spacing w:line="320" w:lineRule="exact"/>
                    <w:rPr>
                      <w:szCs w:val="36"/>
                    </w:rPr>
                  </w:pPr>
                  <w:r>
                    <w:rPr>
                      <w:rFonts w:hint="eastAsia"/>
                      <w:szCs w:val="36"/>
                    </w:rPr>
                    <w:t>本项目不属于海洋工程建设项目，</w:t>
                  </w:r>
                  <w:r>
                    <w:rPr>
                      <w:rFonts w:hint="eastAsia"/>
                      <w:b/>
                      <w:szCs w:val="36"/>
                    </w:rPr>
                    <w:t>无需开展海洋专项评价。</w:t>
                  </w:r>
                </w:p>
              </w:tc>
            </w:tr>
            <w:tr w14:paraId="5C50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5EFDA8F1">
                  <w:pPr>
                    <w:spacing w:line="340" w:lineRule="exact"/>
                    <w:rPr>
                      <w:szCs w:val="36"/>
                    </w:rPr>
                  </w:pPr>
                  <w:r>
                    <w:rPr>
                      <w:rFonts w:hint="eastAsia"/>
                      <w:szCs w:val="36"/>
                    </w:rPr>
                    <w:t>注：1. 废气中含有毒有害污染物指纳入《有毒有害大气污染物名录》的污染物（不包括无排放标准的污染物）。</w:t>
                  </w:r>
                </w:p>
                <w:p w14:paraId="7DC85590">
                  <w:pPr>
                    <w:spacing w:line="340" w:lineRule="exact"/>
                    <w:rPr>
                      <w:szCs w:val="36"/>
                    </w:rPr>
                  </w:pPr>
                  <w:r>
                    <w:rPr>
                      <w:rFonts w:hint="eastAsia"/>
                      <w:szCs w:val="36"/>
                    </w:rPr>
                    <w:t>2. 环境空气保护目标指自然保护区、风景名胜区、居住区、文化区和农村地区中人群较集中的区域。</w:t>
                  </w:r>
                </w:p>
                <w:p w14:paraId="5003C7B0">
                  <w:pPr>
                    <w:spacing w:line="340" w:lineRule="exact"/>
                    <w:rPr>
                      <w:szCs w:val="36"/>
                    </w:rPr>
                  </w:pPr>
                  <w:r>
                    <w:rPr>
                      <w:rFonts w:hint="eastAsia"/>
                      <w:szCs w:val="36"/>
                    </w:rPr>
                    <w:t>3. 临界量及其计算方法可参考《建设项目环境风险评价技术导则》（HJ169）附录B、附录C。</w:t>
                  </w:r>
                </w:p>
              </w:tc>
            </w:tr>
          </w:tbl>
          <w:p w14:paraId="4CDC469E">
            <w:pPr>
              <w:autoSpaceDE w:val="0"/>
              <w:autoSpaceDN w:val="0"/>
              <w:adjustRightInd w:val="0"/>
              <w:snapToGrid w:val="0"/>
              <w:jc w:val="center"/>
              <w:rPr>
                <w:kern w:val="0"/>
                <w:sz w:val="24"/>
              </w:rPr>
            </w:pPr>
          </w:p>
        </w:tc>
      </w:tr>
      <w:tr w14:paraId="28659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2" w:type="dxa"/>
            <w:vAlign w:val="center"/>
          </w:tcPr>
          <w:p w14:paraId="5A1C8739">
            <w:pPr>
              <w:autoSpaceDE w:val="0"/>
              <w:autoSpaceDN w:val="0"/>
              <w:adjustRightInd w:val="0"/>
              <w:snapToGrid w:val="0"/>
              <w:jc w:val="center"/>
              <w:rPr>
                <w:kern w:val="0"/>
                <w:sz w:val="24"/>
              </w:rPr>
            </w:pPr>
            <w:r>
              <w:rPr>
                <w:rFonts w:hAnsi="宋体"/>
                <w:sz w:val="24"/>
              </w:rPr>
              <w:t>规划情况</w:t>
            </w:r>
          </w:p>
        </w:tc>
        <w:tc>
          <w:tcPr>
            <w:tcW w:w="7813" w:type="dxa"/>
            <w:gridSpan w:val="3"/>
            <w:vAlign w:val="center"/>
          </w:tcPr>
          <w:p w14:paraId="2A1DD86C">
            <w:pPr>
              <w:autoSpaceDE w:val="0"/>
              <w:autoSpaceDN w:val="0"/>
              <w:adjustRightInd w:val="0"/>
              <w:snapToGrid w:val="0"/>
              <w:spacing w:line="400" w:lineRule="exact"/>
              <w:jc w:val="left"/>
              <w:rPr>
                <w:kern w:val="0"/>
                <w:sz w:val="24"/>
              </w:rPr>
            </w:pPr>
            <w:r>
              <w:rPr>
                <w:rFonts w:hAnsi="宋体"/>
                <w:sz w:val="24"/>
              </w:rPr>
              <w:t>文件名称：</w:t>
            </w:r>
            <w:r>
              <w:rPr>
                <w:rFonts w:hAnsi="宋体"/>
                <w:kern w:val="0"/>
                <w:sz w:val="24"/>
              </w:rPr>
              <w:t>《重庆涪陵工业园区李渡组团规划》</w:t>
            </w:r>
          </w:p>
          <w:p w14:paraId="25BA9042">
            <w:pPr>
              <w:autoSpaceDE w:val="0"/>
              <w:autoSpaceDN w:val="0"/>
              <w:adjustRightInd w:val="0"/>
              <w:snapToGrid w:val="0"/>
              <w:spacing w:line="400" w:lineRule="exact"/>
              <w:jc w:val="left"/>
              <w:rPr>
                <w:sz w:val="24"/>
              </w:rPr>
            </w:pPr>
            <w:r>
              <w:rPr>
                <w:rFonts w:hAnsi="宋体"/>
                <w:sz w:val="24"/>
              </w:rPr>
              <w:t>召集审查机关：</w:t>
            </w:r>
            <w:r>
              <w:rPr>
                <w:rFonts w:hint="eastAsia" w:hAnsi="宋体"/>
                <w:sz w:val="24"/>
              </w:rPr>
              <w:t>原</w:t>
            </w:r>
            <w:r>
              <w:rPr>
                <w:rFonts w:hAnsi="宋体"/>
                <w:sz w:val="24"/>
              </w:rPr>
              <w:t>重庆市规划局</w:t>
            </w:r>
          </w:p>
          <w:p w14:paraId="65F0CDE8">
            <w:pPr>
              <w:autoSpaceDE w:val="0"/>
              <w:autoSpaceDN w:val="0"/>
              <w:adjustRightInd w:val="0"/>
              <w:snapToGrid w:val="0"/>
              <w:spacing w:line="400" w:lineRule="exact"/>
              <w:jc w:val="left"/>
              <w:rPr>
                <w:kern w:val="0"/>
                <w:sz w:val="24"/>
              </w:rPr>
            </w:pPr>
            <w:r>
              <w:rPr>
                <w:rFonts w:hAnsi="宋体"/>
                <w:sz w:val="24"/>
              </w:rPr>
              <w:t>文号：渝规函</w:t>
            </w:r>
            <w:r>
              <w:rPr>
                <w:sz w:val="24"/>
              </w:rPr>
              <w:t>[2003]349</w:t>
            </w:r>
            <w:r>
              <w:rPr>
                <w:rFonts w:hAnsi="宋体"/>
                <w:sz w:val="24"/>
              </w:rPr>
              <w:t>号</w:t>
            </w:r>
          </w:p>
        </w:tc>
      </w:tr>
      <w:tr w14:paraId="4A2C3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522" w:type="dxa"/>
            <w:vAlign w:val="center"/>
          </w:tcPr>
          <w:p w14:paraId="2C549F3D">
            <w:pPr>
              <w:adjustRightInd w:val="0"/>
              <w:snapToGrid w:val="0"/>
              <w:jc w:val="center"/>
              <w:rPr>
                <w:kern w:val="0"/>
                <w:sz w:val="24"/>
              </w:rPr>
            </w:pPr>
            <w:r>
              <w:rPr>
                <w:rFonts w:hAnsi="宋体"/>
                <w:sz w:val="24"/>
              </w:rPr>
              <w:t>规划环境影响评价情况</w:t>
            </w:r>
          </w:p>
        </w:tc>
        <w:tc>
          <w:tcPr>
            <w:tcW w:w="7813" w:type="dxa"/>
            <w:gridSpan w:val="3"/>
            <w:vAlign w:val="center"/>
          </w:tcPr>
          <w:p w14:paraId="62C664FB">
            <w:pPr>
              <w:autoSpaceDE w:val="0"/>
              <w:autoSpaceDN w:val="0"/>
              <w:adjustRightInd w:val="0"/>
              <w:snapToGrid w:val="0"/>
              <w:spacing w:line="400" w:lineRule="exact"/>
              <w:jc w:val="left"/>
              <w:rPr>
                <w:sz w:val="24"/>
              </w:rPr>
            </w:pPr>
            <w:r>
              <w:rPr>
                <w:rFonts w:hAnsi="宋体"/>
                <w:sz w:val="24"/>
              </w:rPr>
              <w:t>文件名称：《重庆涪陵工业园区李渡组团规划环境影响报告书》</w:t>
            </w:r>
          </w:p>
          <w:p w14:paraId="41E25EF6">
            <w:pPr>
              <w:autoSpaceDE w:val="0"/>
              <w:autoSpaceDN w:val="0"/>
              <w:adjustRightInd w:val="0"/>
              <w:snapToGrid w:val="0"/>
              <w:spacing w:line="400" w:lineRule="exact"/>
              <w:jc w:val="left"/>
              <w:rPr>
                <w:sz w:val="24"/>
              </w:rPr>
            </w:pPr>
            <w:r>
              <w:rPr>
                <w:rFonts w:hAnsi="宋体"/>
                <w:sz w:val="24"/>
              </w:rPr>
              <w:t>召集审查机关：重庆市生态环境局（原重庆市环境保护局）</w:t>
            </w:r>
          </w:p>
          <w:p w14:paraId="79D830B6">
            <w:pPr>
              <w:spacing w:line="400" w:lineRule="exact"/>
              <w:jc w:val="left"/>
              <w:rPr>
                <w:sz w:val="24"/>
              </w:rPr>
            </w:pPr>
            <w:r>
              <w:rPr>
                <w:rFonts w:hAnsi="宋体"/>
                <w:sz w:val="24"/>
              </w:rPr>
              <w:t>审查文件名称及文号：《重庆市环境保护局关于重庆涪陵工业园区李渡组团规划环境影响报告书审查意见的函》（渝环函</w:t>
            </w:r>
            <w:r>
              <w:rPr>
                <w:sz w:val="24"/>
              </w:rPr>
              <w:t>[2016]816</w:t>
            </w:r>
            <w:r>
              <w:rPr>
                <w:rFonts w:hAnsi="宋体"/>
                <w:sz w:val="24"/>
              </w:rPr>
              <w:t>号）</w:t>
            </w:r>
          </w:p>
        </w:tc>
      </w:tr>
      <w:tr w14:paraId="5BBE9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2" w:type="dxa"/>
            <w:vAlign w:val="center"/>
          </w:tcPr>
          <w:p w14:paraId="6ED12417">
            <w:pPr>
              <w:autoSpaceDE w:val="0"/>
              <w:autoSpaceDN w:val="0"/>
              <w:adjustRightInd w:val="0"/>
              <w:snapToGrid w:val="0"/>
              <w:jc w:val="center"/>
              <w:rPr>
                <w:kern w:val="0"/>
                <w:sz w:val="24"/>
              </w:rPr>
            </w:pPr>
            <w:r>
              <w:rPr>
                <w:rFonts w:hAnsi="宋体"/>
                <w:kern w:val="0"/>
                <w:sz w:val="24"/>
              </w:rPr>
              <w:t>规划及规划环境影响评价符合性分析</w:t>
            </w:r>
          </w:p>
        </w:tc>
        <w:tc>
          <w:tcPr>
            <w:tcW w:w="7813" w:type="dxa"/>
            <w:gridSpan w:val="3"/>
            <w:vAlign w:val="center"/>
          </w:tcPr>
          <w:p w14:paraId="70BD578E">
            <w:pPr>
              <w:pStyle w:val="21"/>
              <w:spacing w:before="0" w:after="0" w:line="360" w:lineRule="auto"/>
              <w:jc w:val="left"/>
              <w:rPr>
                <w:rFonts w:ascii="Times New Roman" w:hAnsi="Times New Roman" w:eastAsiaTheme="minorEastAsia"/>
                <w:kern w:val="2"/>
                <w:sz w:val="24"/>
                <w:szCs w:val="24"/>
              </w:rPr>
            </w:pPr>
            <w:r>
              <w:rPr>
                <w:rFonts w:hint="eastAsia" w:ascii="Times New Roman" w:hAnsi="Times New Roman" w:eastAsiaTheme="minorEastAsia"/>
                <w:kern w:val="2"/>
                <w:sz w:val="24"/>
                <w:szCs w:val="24"/>
              </w:rPr>
              <w:t>1.1 规划及规划环境影响评价符合性分析</w:t>
            </w:r>
          </w:p>
          <w:p w14:paraId="76CFD729">
            <w:pPr>
              <w:pStyle w:val="21"/>
              <w:spacing w:before="0" w:after="0" w:line="360" w:lineRule="auto"/>
              <w:jc w:val="left"/>
              <w:rPr>
                <w:rFonts w:ascii="Times New Roman" w:hAnsi="Times New Roman" w:eastAsiaTheme="minorEastAsia"/>
                <w:kern w:val="2"/>
                <w:sz w:val="24"/>
                <w:szCs w:val="24"/>
              </w:rPr>
            </w:pPr>
            <w:r>
              <w:rPr>
                <w:rFonts w:ascii="Times New Roman" w:hAnsi="Times New Roman" w:eastAsiaTheme="minorEastAsia"/>
                <w:kern w:val="2"/>
                <w:sz w:val="24"/>
                <w:szCs w:val="24"/>
              </w:rPr>
              <w:t>1.1</w:t>
            </w:r>
            <w:r>
              <w:rPr>
                <w:rFonts w:hint="eastAsia" w:ascii="Times New Roman" w:hAnsi="Times New Roman" w:eastAsiaTheme="minorEastAsia"/>
                <w:kern w:val="2"/>
                <w:sz w:val="24"/>
                <w:szCs w:val="24"/>
              </w:rPr>
              <w:t>.1</w:t>
            </w:r>
            <w:r>
              <w:rPr>
                <w:rFonts w:ascii="Times New Roman" w:hAnsiTheme="minorEastAsia" w:eastAsiaTheme="minorEastAsia"/>
                <w:kern w:val="2"/>
                <w:sz w:val="24"/>
                <w:szCs w:val="24"/>
              </w:rPr>
              <w:t>与《重庆涪陵工业园区李渡组团规划》及相关规划符合性分析</w:t>
            </w:r>
          </w:p>
          <w:p w14:paraId="4ED594D3">
            <w:pPr>
              <w:pStyle w:val="6"/>
              <w:spacing w:line="360" w:lineRule="auto"/>
              <w:ind w:firstLine="480" w:firstLineChars="200"/>
            </w:pPr>
            <w:r>
              <w:rPr>
                <w:rFonts w:hint="eastAsia" w:cs="宋体"/>
              </w:rPr>
              <w:t>根据《</w:t>
            </w:r>
            <w:r>
              <w:rPr>
                <w:rFonts w:hint="eastAsia"/>
                <w:szCs w:val="21"/>
              </w:rPr>
              <w:t>重庆涪陵工业园区李渡组团规划</w:t>
            </w:r>
            <w:r>
              <w:rPr>
                <w:rFonts w:hint="eastAsia" w:cs="宋体"/>
              </w:rPr>
              <w:t>》以及《涪陵区李渡组团R标准分区控制性详细规划》、《涪陵区李渡组团STV标准分区控制性详细规划》、《涪陵工业园区及部分城市地块控制性详细规划整合》，李渡组团工业片区分为R标准分区、STV标准分区、启动北区、I地块、南区—K、M、N、P、Q标准分区，以及E、F、G标准分区等。规划区用地功能主要以工业用地为主，以装备制造（汽车）、食品医药、电子信息、材料等为四大主导产业用地，配套建设仓储物流以及商务等管理服务设施。</w:t>
            </w:r>
          </w:p>
          <w:p w14:paraId="475F1522">
            <w:pPr>
              <w:adjustRightInd w:val="0"/>
              <w:snapToGrid w:val="0"/>
              <w:spacing w:line="480" w:lineRule="exact"/>
              <w:ind w:firstLine="480" w:firstLineChars="200"/>
              <w:rPr>
                <w:sz w:val="24"/>
              </w:rPr>
            </w:pPr>
            <w:r>
              <w:rPr>
                <w:rFonts w:hAnsi="宋体"/>
                <w:sz w:val="24"/>
                <w:lang w:val="en-GB"/>
              </w:rPr>
              <w:t>项目</w:t>
            </w:r>
            <w:r>
              <w:rPr>
                <w:rFonts w:hint="eastAsia" w:hAnsi="宋体"/>
                <w:sz w:val="24"/>
                <w:lang w:val="en-GB"/>
              </w:rPr>
              <w:t>位于</w:t>
            </w:r>
            <w:r>
              <w:rPr>
                <w:rFonts w:hint="eastAsia"/>
                <w:sz w:val="24"/>
              </w:rPr>
              <w:t>重庆市涪陵区鹤凤大道33号，</w:t>
            </w:r>
            <w:r>
              <w:rPr>
                <w:rFonts w:hAnsi="宋体"/>
                <w:sz w:val="24"/>
                <w:lang w:val="en-GB"/>
              </w:rPr>
              <w:t>为</w:t>
            </w:r>
            <w:r>
              <w:rPr>
                <w:rFonts w:hint="eastAsia"/>
                <w:sz w:val="24"/>
              </w:rPr>
              <w:t>C2459其他玩具制造</w:t>
            </w:r>
            <w:r>
              <w:rPr>
                <w:rFonts w:hAnsi="宋体"/>
                <w:sz w:val="24"/>
                <w:lang w:val="en-GB"/>
              </w:rPr>
              <w:t>，</w:t>
            </w:r>
            <w:r>
              <w:rPr>
                <w:rFonts w:hint="eastAsia" w:hAnsi="宋体"/>
                <w:sz w:val="24"/>
                <w:lang w:val="en-GB"/>
              </w:rPr>
              <w:t>涉及印刷工艺，</w:t>
            </w:r>
            <w:r>
              <w:rPr>
                <w:rFonts w:hAnsi="宋体"/>
                <w:sz w:val="24"/>
                <w:lang w:val="en-GB"/>
              </w:rPr>
              <w:t>符合园区产业规划，且项目位于重庆市涪陵区李渡工业园区内，用地性质为工业用地，符合园区用地规划</w:t>
            </w:r>
            <w:r>
              <w:rPr>
                <w:rFonts w:hAnsi="宋体"/>
                <w:sz w:val="24"/>
              </w:rPr>
              <w:t>。</w:t>
            </w:r>
          </w:p>
          <w:p w14:paraId="0CDD5B97">
            <w:pPr>
              <w:spacing w:line="480" w:lineRule="exact"/>
              <w:jc w:val="left"/>
              <w:rPr>
                <w:b/>
                <w:sz w:val="24"/>
              </w:rPr>
            </w:pPr>
            <w:r>
              <w:rPr>
                <w:b/>
                <w:bCs/>
                <w:sz w:val="24"/>
              </w:rPr>
              <w:t>1.1.2</w:t>
            </w:r>
            <w:r>
              <w:rPr>
                <w:rFonts w:hint="eastAsia"/>
                <w:b/>
                <w:sz w:val="24"/>
              </w:rPr>
              <w:t>与《</w:t>
            </w:r>
            <w:r>
              <w:rPr>
                <w:rFonts w:hAnsi="宋体"/>
                <w:b/>
                <w:sz w:val="24"/>
              </w:rPr>
              <w:t>重庆涪陵工业园区李渡组团规划环境影响报告书</w:t>
            </w:r>
            <w:r>
              <w:rPr>
                <w:rFonts w:hint="eastAsia"/>
                <w:b/>
                <w:sz w:val="24"/>
              </w:rPr>
              <w:t>》符合性分析</w:t>
            </w:r>
          </w:p>
          <w:p w14:paraId="35A21403">
            <w:pPr>
              <w:spacing w:line="480" w:lineRule="exact"/>
              <w:ind w:firstLine="522"/>
              <w:rPr>
                <w:bCs/>
                <w:sz w:val="24"/>
              </w:rPr>
            </w:pPr>
            <w:r>
              <w:rPr>
                <w:rFonts w:hint="eastAsia" w:hAnsi="宋体"/>
                <w:kern w:val="0"/>
                <w:sz w:val="24"/>
              </w:rPr>
              <w:t>拟建项目所在区域属于重庆涪陵工业园区李渡组团工业片区控制规划范围内。</w:t>
            </w:r>
            <w:r>
              <w:rPr>
                <w:kern w:val="0"/>
                <w:sz w:val="24"/>
              </w:rPr>
              <w:t>根据《</w:t>
            </w:r>
            <w:r>
              <w:rPr>
                <w:rFonts w:hint="eastAsia"/>
                <w:kern w:val="0"/>
                <w:sz w:val="24"/>
              </w:rPr>
              <w:t>重庆涪陵工业园区李渡组团规划环境影响报告书</w:t>
            </w:r>
            <w:r>
              <w:rPr>
                <w:kern w:val="0"/>
                <w:sz w:val="24"/>
              </w:rPr>
              <w:t>》及其审查意见的函</w:t>
            </w:r>
            <w:r>
              <w:rPr>
                <w:rFonts w:hint="eastAsia"/>
                <w:kern w:val="0"/>
                <w:sz w:val="24"/>
              </w:rPr>
              <w:t>（</w:t>
            </w:r>
            <w:r>
              <w:rPr>
                <w:rFonts w:hint="eastAsia"/>
                <w:sz w:val="24"/>
              </w:rPr>
              <w:t>渝环办函[2016]816</w:t>
            </w:r>
            <w:r>
              <w:rPr>
                <w:rFonts w:hint="eastAsia"/>
                <w:kern w:val="0"/>
                <w:sz w:val="24"/>
              </w:rPr>
              <w:t>），重庆涪陵工业园区李渡组团位于涪陵新城区西部，范围为东以双溪河（又称涞滩河、上桥河）为界，北靠渝利铁路，南依长江黄金水道，西至院子山一带区域。工业片区总规划面积约32.48km</w:t>
            </w:r>
            <w:r>
              <w:rPr>
                <w:rFonts w:hint="eastAsia"/>
                <w:kern w:val="0"/>
                <w:sz w:val="24"/>
                <w:vertAlign w:val="superscript"/>
              </w:rPr>
              <w:t>2</w:t>
            </w:r>
            <w:r>
              <w:rPr>
                <w:rFonts w:hint="eastAsia"/>
                <w:kern w:val="0"/>
                <w:sz w:val="24"/>
              </w:rPr>
              <w:t>，其中工业用地约14.4k</w:t>
            </w:r>
            <w:r>
              <w:rPr>
                <w:bCs/>
                <w:sz w:val="24"/>
              </w:rPr>
              <w:t>m</w:t>
            </w:r>
            <w:r>
              <w:rPr>
                <w:bCs/>
                <w:sz w:val="24"/>
                <w:vertAlign w:val="superscript"/>
              </w:rPr>
              <w:t>2</w:t>
            </w:r>
            <w:r>
              <w:rPr>
                <w:rFonts w:hint="eastAsia"/>
                <w:bCs/>
                <w:sz w:val="24"/>
              </w:rPr>
              <w:t>。</w:t>
            </w:r>
          </w:p>
          <w:p w14:paraId="27A3AF2C">
            <w:pPr>
              <w:spacing w:line="480" w:lineRule="exact"/>
              <w:ind w:firstLine="522"/>
              <w:rPr>
                <w:bCs/>
                <w:sz w:val="24"/>
              </w:rPr>
            </w:pPr>
            <w:r>
              <w:rPr>
                <w:rFonts w:hint="eastAsia" w:ascii="宋体" w:hAnsi="宋体"/>
                <w:bCs/>
                <w:sz w:val="24"/>
              </w:rPr>
              <w:t>①园区功能定位</w:t>
            </w:r>
          </w:p>
          <w:p w14:paraId="4781CA32">
            <w:pPr>
              <w:spacing w:line="480" w:lineRule="exact"/>
              <w:ind w:firstLine="522"/>
              <w:rPr>
                <w:bCs/>
                <w:sz w:val="24"/>
              </w:rPr>
            </w:pPr>
            <w:r>
              <w:rPr>
                <w:rFonts w:hint="eastAsia" w:ascii="宋体" w:hAnsi="宋体"/>
                <w:bCs/>
                <w:sz w:val="24"/>
              </w:rPr>
              <w:t>规划区的用地功能主要以工业用地为主，以装备制造（汽车）、食品医药、电子信息、材料等为四大主导产业用地，配套建设仓储物流以及功能完善的商务等管理服务设施。</w:t>
            </w:r>
          </w:p>
          <w:p w14:paraId="2578E212">
            <w:pPr>
              <w:spacing w:line="480" w:lineRule="exact"/>
              <w:ind w:firstLine="522"/>
              <w:rPr>
                <w:bCs/>
                <w:sz w:val="24"/>
              </w:rPr>
            </w:pPr>
            <w:r>
              <w:rPr>
                <w:rFonts w:hint="eastAsia" w:ascii="宋体" w:hAnsi="宋体"/>
                <w:bCs/>
                <w:sz w:val="24"/>
              </w:rPr>
              <w:t>②规划目标</w:t>
            </w:r>
          </w:p>
          <w:p w14:paraId="7755FBB6">
            <w:pPr>
              <w:spacing w:line="480" w:lineRule="exact"/>
              <w:ind w:firstLine="522"/>
              <w:rPr>
                <w:rFonts w:ascii="宋体" w:hAnsi="宋体"/>
                <w:bCs/>
                <w:sz w:val="24"/>
              </w:rPr>
            </w:pPr>
            <w:r>
              <w:rPr>
                <w:rFonts w:hint="eastAsia" w:ascii="宋体" w:hAnsi="宋体"/>
                <w:bCs/>
                <w:sz w:val="24"/>
              </w:rPr>
              <w:t>园区以建设国家级经济技术开发区、千亿级特色工业园区为目标，围绕现有产业布局，延伸产业链条，推进产业集聚和优化升级，培育和壮大四大主导产业集群。</w:t>
            </w:r>
          </w:p>
          <w:p w14:paraId="4897D108">
            <w:pPr>
              <w:numPr>
                <w:ilvl w:val="0"/>
                <w:numId w:val="1"/>
              </w:numPr>
              <w:spacing w:line="460" w:lineRule="exact"/>
              <w:ind w:firstLine="522"/>
              <w:rPr>
                <w:rFonts w:ascii="宋体" w:hAnsi="宋体"/>
                <w:bCs/>
                <w:sz w:val="24"/>
              </w:rPr>
            </w:pPr>
            <w:r>
              <w:rPr>
                <w:rFonts w:hint="eastAsia" w:ascii="宋体" w:hAnsi="宋体"/>
                <w:bCs/>
                <w:sz w:val="24"/>
              </w:rPr>
              <w:t>壮大装备制造（汽车）产业集群。以华晨鑫源、东本工业（盛时达）等整车企业依托，借助与两江新区汽车工业园区的密切联系，引进优质整车、专用车企业，集聚一大批汽车零部件企业，发展壮大汽车产业。建设汽车配套韩国产业园，打造极具自身特色的汽车产业集群。积极发展新能源汽车整车及电池等零部件行业，重点跟踪新能源汽车项目，以此为基础实现汽车产业的换挡升级，力争电动汽车的发展在重庆市有一席之地。同时借助中石化涪陵页岩气国家级示范基地建设，加快推进页岩气装备制造产业项目及其配套项目落户新区，壮大以“一台车”为引领的装备制造（汽车）产业。</w:t>
            </w:r>
          </w:p>
          <w:p w14:paraId="6CB2B769">
            <w:pPr>
              <w:numPr>
                <w:ilvl w:val="0"/>
                <w:numId w:val="1"/>
              </w:numPr>
              <w:spacing w:line="460" w:lineRule="exact"/>
              <w:ind w:firstLine="522"/>
              <w:rPr>
                <w:rFonts w:ascii="宋体" w:hAnsi="宋体"/>
                <w:bCs/>
                <w:sz w:val="24"/>
              </w:rPr>
            </w:pPr>
            <w:r>
              <w:rPr>
                <w:rFonts w:hint="eastAsia" w:ascii="宋体" w:hAnsi="宋体"/>
                <w:bCs/>
                <w:sz w:val="24"/>
              </w:rPr>
              <w:t>夯实材料加工基地。加强对万达薄板的服务和培育力度，依托高端钢材研究院，增强汽车材料与主城汽车行业融合度，延长材料产业链条。围绕万达薄板引进白色家电巨头入驻园区，形成重庆市汽车及家电材料重要加工基地，引导钢铁、铝材向产业链后端延伸，夯实以“一张钢板”为代表的材料产业集群。</w:t>
            </w:r>
          </w:p>
          <w:p w14:paraId="36463BC1">
            <w:pPr>
              <w:numPr>
                <w:ilvl w:val="0"/>
                <w:numId w:val="1"/>
              </w:numPr>
              <w:spacing w:line="460" w:lineRule="exact"/>
              <w:ind w:firstLine="522"/>
              <w:rPr>
                <w:rFonts w:ascii="宋体" w:hAnsi="宋体"/>
                <w:bCs/>
                <w:sz w:val="24"/>
              </w:rPr>
            </w:pPr>
            <w:r>
              <w:rPr>
                <w:rFonts w:hint="eastAsia" w:ascii="宋体" w:hAnsi="宋体"/>
                <w:bCs/>
                <w:sz w:val="24"/>
              </w:rPr>
              <w:t>做强食品医药产业。以涪陵烟厂、太极集团、葵花药业扩能迁建为契机，加快华兰生物二期疫苗等重点骨干项目建设，力争引进基因芯片、高端医疗器械等战略性新兴产业，深度打造国家新型食品产业示范基地和重庆市级重点医药基地。同时加强培育干细胞等具有行业代表性、引领性医药项目，继续保持医药产业的传统优势，做强以“一盒烟一包药”为代表的食品医药产业集群。</w:t>
            </w:r>
          </w:p>
          <w:p w14:paraId="3EBABB96">
            <w:pPr>
              <w:numPr>
                <w:ilvl w:val="0"/>
                <w:numId w:val="1"/>
              </w:numPr>
              <w:spacing w:line="460" w:lineRule="exact"/>
              <w:ind w:firstLine="522"/>
              <w:rPr>
                <w:rFonts w:ascii="宋体" w:hAnsi="宋体"/>
                <w:bCs/>
                <w:sz w:val="24"/>
              </w:rPr>
            </w:pPr>
            <w:r>
              <w:rPr>
                <w:rFonts w:hint="eastAsia" w:ascii="宋体" w:hAnsi="宋体"/>
                <w:bCs/>
                <w:sz w:val="24"/>
              </w:rPr>
              <w:t>加快电子信息集聚。为将电子信息产业进一步培育壮大，园区以智能终端设备、笔电配套、</w:t>
            </w:r>
            <w:r>
              <w:rPr>
                <w:rFonts w:hint="eastAsia"/>
                <w:bCs/>
                <w:sz w:val="24"/>
              </w:rPr>
              <w:t>LED</w:t>
            </w:r>
            <w:r>
              <w:rPr>
                <w:rFonts w:hint="eastAsia" w:ascii="宋体" w:hAnsi="宋体"/>
                <w:bCs/>
                <w:sz w:val="24"/>
              </w:rPr>
              <w:t>节能电源为重点，抢抓重庆市打造万亿级笔电配套产业的机遇，全力促进金通威、微天下、福维科技等智能终端设备生产企业早日建成投产，力促华通电脑、品鉴科技、仓兴达、深特发等企业达产。同时瞄准台湾、长三角、珠三角地区西进企业，吸引笔电及</w:t>
            </w:r>
            <w:r>
              <w:rPr>
                <w:rFonts w:hint="eastAsia"/>
                <w:bCs/>
                <w:sz w:val="24"/>
              </w:rPr>
              <w:t>LED</w:t>
            </w:r>
            <w:r>
              <w:rPr>
                <w:rFonts w:hint="eastAsia" w:ascii="宋体" w:hAnsi="宋体"/>
                <w:bCs/>
                <w:sz w:val="24"/>
              </w:rPr>
              <w:t>节能电源、</w:t>
            </w:r>
            <w:r>
              <w:rPr>
                <w:rFonts w:hint="eastAsia"/>
                <w:bCs/>
                <w:sz w:val="24"/>
              </w:rPr>
              <w:t>PCB</w:t>
            </w:r>
            <w:r>
              <w:rPr>
                <w:rFonts w:hint="eastAsia" w:ascii="宋体" w:hAnsi="宋体"/>
                <w:bCs/>
                <w:sz w:val="24"/>
              </w:rPr>
              <w:t>上下游生产企业入驻园区，争取光电产业项目签约落地；依托通信运营企业，促进传感器设备制造、系统集成、终端运用产业链发展，争取物联网、大数据、智能化高端制造、工业机器人等行业优势企业落地。依托北航产业园发展芯片、电子显微镜等优势产业，做大以“一块电脑主板”为代表的电子信息产业集群。</w:t>
            </w:r>
          </w:p>
          <w:p w14:paraId="72CA3267">
            <w:pPr>
              <w:autoSpaceDE w:val="0"/>
              <w:autoSpaceDN w:val="0"/>
              <w:spacing w:line="460" w:lineRule="exact"/>
              <w:ind w:firstLine="480" w:firstLineChars="200"/>
              <w:outlineLvl w:val="2"/>
              <w:rPr>
                <w:rFonts w:cs="宋体"/>
                <w:kern w:val="0"/>
              </w:rPr>
            </w:pPr>
            <w:r>
              <w:rPr>
                <w:bCs/>
                <w:sz w:val="24"/>
              </w:rPr>
              <w:t>根据规划环评文件，拟建项目与其产业发展环境准入负面清单符合性分析详见表1.1-1。</w:t>
            </w:r>
          </w:p>
          <w:p w14:paraId="69C82138">
            <w:pPr>
              <w:autoSpaceDE w:val="0"/>
              <w:autoSpaceDN w:val="0"/>
              <w:spacing w:line="460" w:lineRule="exact"/>
              <w:jc w:val="center"/>
              <w:outlineLvl w:val="2"/>
              <w:rPr>
                <w:b/>
                <w:szCs w:val="21"/>
              </w:rPr>
            </w:pPr>
            <w:r>
              <w:rPr>
                <w:rFonts w:hAnsi="宋体"/>
                <w:b/>
                <w:szCs w:val="21"/>
              </w:rPr>
              <w:t>表</w:t>
            </w:r>
            <w:r>
              <w:rPr>
                <w:b/>
                <w:szCs w:val="21"/>
              </w:rPr>
              <w:t xml:space="preserve">1.1-1  </w:t>
            </w:r>
            <w:r>
              <w:rPr>
                <w:rFonts w:hAnsi="宋体"/>
                <w:b/>
                <w:szCs w:val="21"/>
              </w:rPr>
              <w:t>拟建项目与规划环评环境准入负面清单符合性一览表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528"/>
              <w:gridCol w:w="555"/>
              <w:gridCol w:w="1383"/>
              <w:gridCol w:w="2899"/>
              <w:gridCol w:w="1226"/>
              <w:gridCol w:w="607"/>
            </w:tblGrid>
            <w:tr w14:paraId="4716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4" w:type="pct"/>
                  <w:vMerge w:val="restart"/>
                  <w:vAlign w:val="center"/>
                </w:tcPr>
                <w:p w14:paraId="391F425C">
                  <w:pPr>
                    <w:pStyle w:val="136"/>
                    <w:outlineLvl w:val="2"/>
                    <w:rPr>
                      <w:rFonts w:ascii="Times New Roman" w:hAnsi="Times New Roman" w:eastAsia="宋体" w:cs="Times New Roman"/>
                    </w:rPr>
                  </w:pPr>
                  <w:r>
                    <w:rPr>
                      <w:rFonts w:ascii="Times New Roman" w:hAnsi="宋体" w:eastAsia="宋体" w:cs="Times New Roman"/>
                    </w:rPr>
                    <w:t>序号</w:t>
                  </w:r>
                </w:p>
              </w:tc>
              <w:tc>
                <w:tcPr>
                  <w:tcW w:w="714" w:type="pct"/>
                  <w:gridSpan w:val="2"/>
                  <w:vMerge w:val="restart"/>
                  <w:vAlign w:val="center"/>
                </w:tcPr>
                <w:p w14:paraId="67F88ED7">
                  <w:pPr>
                    <w:pStyle w:val="136"/>
                    <w:outlineLvl w:val="2"/>
                    <w:rPr>
                      <w:rFonts w:ascii="Times New Roman" w:hAnsi="Times New Roman" w:eastAsia="宋体" w:cs="Times New Roman"/>
                    </w:rPr>
                  </w:pPr>
                  <w:r>
                    <w:rPr>
                      <w:rFonts w:ascii="Times New Roman" w:hAnsi="宋体" w:eastAsia="宋体" w:cs="Times New Roman"/>
                    </w:rPr>
                    <w:t>类别</w:t>
                  </w:r>
                </w:p>
              </w:tc>
              <w:tc>
                <w:tcPr>
                  <w:tcW w:w="2823" w:type="pct"/>
                  <w:gridSpan w:val="2"/>
                  <w:vAlign w:val="center"/>
                </w:tcPr>
                <w:p w14:paraId="4F99E03A">
                  <w:pPr>
                    <w:pStyle w:val="136"/>
                    <w:outlineLvl w:val="2"/>
                    <w:rPr>
                      <w:rFonts w:ascii="Times New Roman" w:hAnsi="Times New Roman" w:eastAsia="宋体" w:cs="Times New Roman"/>
                    </w:rPr>
                  </w:pPr>
                  <w:r>
                    <w:rPr>
                      <w:rFonts w:ascii="Times New Roman" w:hAnsi="宋体" w:eastAsia="宋体" w:cs="Times New Roman"/>
                    </w:rPr>
                    <w:t>负面清单</w:t>
                  </w:r>
                </w:p>
              </w:tc>
              <w:tc>
                <w:tcPr>
                  <w:tcW w:w="808" w:type="pct"/>
                  <w:vMerge w:val="restart"/>
                  <w:vAlign w:val="center"/>
                </w:tcPr>
                <w:p w14:paraId="71BC1BE9">
                  <w:pPr>
                    <w:pStyle w:val="136"/>
                    <w:outlineLvl w:val="2"/>
                    <w:rPr>
                      <w:rFonts w:ascii="Times New Roman" w:hAnsi="Times New Roman" w:eastAsia="宋体" w:cs="Times New Roman"/>
                    </w:rPr>
                  </w:pPr>
                  <w:r>
                    <w:rPr>
                      <w:rFonts w:ascii="Times New Roman" w:hAnsi="宋体" w:eastAsia="宋体" w:cs="Times New Roman"/>
                    </w:rPr>
                    <w:t>拟建项目情况</w:t>
                  </w:r>
                </w:p>
              </w:tc>
              <w:tc>
                <w:tcPr>
                  <w:tcW w:w="400" w:type="pct"/>
                  <w:vMerge w:val="restart"/>
                  <w:vAlign w:val="center"/>
                </w:tcPr>
                <w:p w14:paraId="3CD0A07A">
                  <w:pPr>
                    <w:pStyle w:val="136"/>
                    <w:outlineLvl w:val="2"/>
                    <w:rPr>
                      <w:rFonts w:ascii="Times New Roman" w:hAnsi="Times New Roman" w:eastAsia="宋体" w:cs="Times New Roman"/>
                    </w:rPr>
                  </w:pPr>
                  <w:r>
                    <w:rPr>
                      <w:rFonts w:ascii="Times New Roman" w:hAnsi="宋体" w:eastAsia="宋体" w:cs="Times New Roman"/>
                    </w:rPr>
                    <w:t>符合性</w:t>
                  </w:r>
                </w:p>
              </w:tc>
            </w:tr>
            <w:tr w14:paraId="7C1F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254" w:type="pct"/>
                  <w:vMerge w:val="continue"/>
                  <w:vAlign w:val="center"/>
                </w:tcPr>
                <w:p w14:paraId="0C563523">
                  <w:pPr>
                    <w:pStyle w:val="136"/>
                    <w:outlineLvl w:val="2"/>
                    <w:rPr>
                      <w:rFonts w:ascii="Times New Roman" w:hAnsi="Times New Roman" w:eastAsia="宋体" w:cs="Times New Roman"/>
                    </w:rPr>
                  </w:pPr>
                </w:p>
              </w:tc>
              <w:tc>
                <w:tcPr>
                  <w:tcW w:w="714" w:type="pct"/>
                  <w:gridSpan w:val="2"/>
                  <w:vMerge w:val="continue"/>
                  <w:vAlign w:val="center"/>
                </w:tcPr>
                <w:p w14:paraId="74E4BB2F">
                  <w:pPr>
                    <w:pStyle w:val="136"/>
                    <w:outlineLvl w:val="2"/>
                    <w:rPr>
                      <w:rFonts w:ascii="Times New Roman" w:hAnsi="Times New Roman" w:eastAsia="宋体" w:cs="Times New Roman"/>
                    </w:rPr>
                  </w:pPr>
                </w:p>
              </w:tc>
              <w:tc>
                <w:tcPr>
                  <w:tcW w:w="912" w:type="pct"/>
                  <w:vAlign w:val="center"/>
                </w:tcPr>
                <w:p w14:paraId="5A5B8616">
                  <w:pPr>
                    <w:pStyle w:val="136"/>
                    <w:outlineLvl w:val="2"/>
                    <w:rPr>
                      <w:rFonts w:ascii="Times New Roman" w:hAnsi="Times New Roman" w:eastAsia="宋体" w:cs="Times New Roman"/>
                    </w:rPr>
                  </w:pPr>
                  <w:r>
                    <w:rPr>
                      <w:rFonts w:ascii="Times New Roman" w:hAnsi="宋体" w:eastAsia="宋体" w:cs="Times New Roman"/>
                    </w:rPr>
                    <w:t>禁止类</w:t>
                  </w:r>
                </w:p>
              </w:tc>
              <w:tc>
                <w:tcPr>
                  <w:tcW w:w="1910" w:type="pct"/>
                  <w:vAlign w:val="center"/>
                </w:tcPr>
                <w:p w14:paraId="48B9CFD8">
                  <w:pPr>
                    <w:pStyle w:val="136"/>
                    <w:outlineLvl w:val="2"/>
                    <w:rPr>
                      <w:rFonts w:ascii="Times New Roman" w:hAnsi="Times New Roman" w:eastAsia="宋体" w:cs="Times New Roman"/>
                    </w:rPr>
                  </w:pPr>
                  <w:r>
                    <w:rPr>
                      <w:rFonts w:ascii="Times New Roman" w:hAnsi="宋体" w:eastAsia="宋体" w:cs="Times New Roman"/>
                    </w:rPr>
                    <w:t>限制类</w:t>
                  </w:r>
                </w:p>
              </w:tc>
              <w:tc>
                <w:tcPr>
                  <w:tcW w:w="808" w:type="pct"/>
                  <w:vMerge w:val="continue"/>
                  <w:vAlign w:val="center"/>
                </w:tcPr>
                <w:p w14:paraId="5FCD1DCF">
                  <w:pPr>
                    <w:pStyle w:val="136"/>
                    <w:outlineLvl w:val="2"/>
                    <w:rPr>
                      <w:rFonts w:ascii="Times New Roman" w:hAnsi="Times New Roman" w:eastAsia="宋体" w:cs="Times New Roman"/>
                    </w:rPr>
                  </w:pPr>
                </w:p>
              </w:tc>
              <w:tc>
                <w:tcPr>
                  <w:tcW w:w="400" w:type="pct"/>
                  <w:vMerge w:val="continue"/>
                  <w:vAlign w:val="center"/>
                </w:tcPr>
                <w:p w14:paraId="67D7A633">
                  <w:pPr>
                    <w:pStyle w:val="136"/>
                    <w:outlineLvl w:val="2"/>
                    <w:rPr>
                      <w:rFonts w:ascii="Times New Roman" w:hAnsi="Times New Roman" w:eastAsia="宋体" w:cs="Times New Roman"/>
                    </w:rPr>
                  </w:pPr>
                </w:p>
              </w:tc>
            </w:tr>
            <w:tr w14:paraId="7AC6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4" w:type="pct"/>
                  <w:vAlign w:val="center"/>
                </w:tcPr>
                <w:p w14:paraId="1F8C6B12">
                  <w:pPr>
                    <w:pStyle w:val="136"/>
                    <w:outlineLvl w:val="2"/>
                    <w:rPr>
                      <w:rFonts w:ascii="Times New Roman" w:hAnsi="Times New Roman" w:eastAsia="宋体" w:cs="Times New Roman"/>
                    </w:rPr>
                  </w:pPr>
                  <w:r>
                    <w:rPr>
                      <w:rFonts w:ascii="Times New Roman" w:hAnsi="Times New Roman" w:eastAsia="宋体" w:cs="Times New Roman"/>
                    </w:rPr>
                    <w:t>1</w:t>
                  </w:r>
                </w:p>
              </w:tc>
              <w:tc>
                <w:tcPr>
                  <w:tcW w:w="714" w:type="pct"/>
                  <w:gridSpan w:val="2"/>
                  <w:vAlign w:val="center"/>
                </w:tcPr>
                <w:p w14:paraId="53996F62">
                  <w:pPr>
                    <w:pStyle w:val="136"/>
                    <w:outlineLvl w:val="2"/>
                    <w:rPr>
                      <w:rFonts w:ascii="Times New Roman" w:hAnsi="Times New Roman" w:eastAsia="宋体" w:cs="Times New Roman"/>
                    </w:rPr>
                  </w:pPr>
                  <w:r>
                    <w:rPr>
                      <w:rFonts w:ascii="Times New Roman" w:hAnsi="宋体" w:eastAsia="宋体" w:cs="Times New Roman"/>
                    </w:rPr>
                    <w:t>总体要求</w:t>
                  </w:r>
                </w:p>
              </w:tc>
              <w:tc>
                <w:tcPr>
                  <w:tcW w:w="912" w:type="pct"/>
                  <w:vAlign w:val="center"/>
                </w:tcPr>
                <w:p w14:paraId="683A9348">
                  <w:pPr>
                    <w:pStyle w:val="136"/>
                    <w:outlineLvl w:val="2"/>
                    <w:rPr>
                      <w:rFonts w:ascii="Times New Roman" w:hAnsi="Times New Roman" w:eastAsia="宋体" w:cs="Times New Roman"/>
                    </w:rPr>
                  </w:pPr>
                  <w:r>
                    <w:rPr>
                      <w:rFonts w:ascii="Times New Roman" w:hAnsi="宋体" w:eastAsia="宋体" w:cs="Times New Roman"/>
                    </w:rPr>
                    <w:t>属于《产业结构调整指导目录（</w:t>
                  </w:r>
                  <w:r>
                    <w:rPr>
                      <w:rFonts w:ascii="Times New Roman" w:hAnsi="Times New Roman" w:eastAsia="宋体" w:cs="Times New Roman"/>
                    </w:rPr>
                    <w:t>2011</w:t>
                  </w:r>
                  <w:r>
                    <w:rPr>
                      <w:rFonts w:ascii="Times New Roman" w:hAnsi="宋体" w:eastAsia="宋体" w:cs="Times New Roman"/>
                    </w:rPr>
                    <w:t>年）》</w:t>
                  </w:r>
                  <w:r>
                    <w:rPr>
                      <w:rFonts w:ascii="Times New Roman" w:hAnsi="Times New Roman" w:eastAsia="宋体" w:cs="Times New Roman"/>
                    </w:rPr>
                    <w:t>2013</w:t>
                  </w:r>
                  <w:r>
                    <w:rPr>
                      <w:rFonts w:ascii="Times New Roman" w:hAnsi="宋体" w:eastAsia="宋体" w:cs="Times New Roman"/>
                    </w:rPr>
                    <w:t>年修订本中淘汰类</w:t>
                  </w:r>
                </w:p>
              </w:tc>
              <w:tc>
                <w:tcPr>
                  <w:tcW w:w="1910" w:type="pct"/>
                  <w:vAlign w:val="center"/>
                </w:tcPr>
                <w:p w14:paraId="715D3283">
                  <w:pPr>
                    <w:pStyle w:val="136"/>
                    <w:outlineLvl w:val="2"/>
                    <w:rPr>
                      <w:rFonts w:ascii="Times New Roman" w:hAnsi="Times New Roman" w:eastAsia="宋体" w:cs="Times New Roman"/>
                    </w:rPr>
                  </w:pPr>
                  <w:r>
                    <w:rPr>
                      <w:rFonts w:ascii="Times New Roman" w:hAnsi="宋体" w:eastAsia="宋体" w:cs="Times New Roman"/>
                    </w:rPr>
                    <w:t>属于《产业结构调整指导目录（</w:t>
                  </w:r>
                  <w:r>
                    <w:rPr>
                      <w:rFonts w:ascii="Times New Roman" w:hAnsi="Times New Roman" w:eastAsia="宋体" w:cs="Times New Roman"/>
                    </w:rPr>
                    <w:t>2011</w:t>
                  </w:r>
                  <w:r>
                    <w:rPr>
                      <w:rFonts w:ascii="Times New Roman" w:hAnsi="宋体" w:eastAsia="宋体" w:cs="Times New Roman"/>
                    </w:rPr>
                    <w:t>年）》</w:t>
                  </w:r>
                  <w:r>
                    <w:rPr>
                      <w:rFonts w:ascii="Times New Roman" w:hAnsi="Times New Roman" w:eastAsia="宋体" w:cs="Times New Roman"/>
                    </w:rPr>
                    <w:t>2013</w:t>
                  </w:r>
                  <w:r>
                    <w:rPr>
                      <w:rFonts w:ascii="Times New Roman" w:hAnsi="宋体" w:eastAsia="宋体" w:cs="Times New Roman"/>
                    </w:rPr>
                    <w:t>年修订本中限制类</w:t>
                  </w:r>
                </w:p>
              </w:tc>
              <w:tc>
                <w:tcPr>
                  <w:tcW w:w="808" w:type="pct"/>
                  <w:vAlign w:val="center"/>
                </w:tcPr>
                <w:p w14:paraId="75BCF0EB">
                  <w:pPr>
                    <w:pStyle w:val="136"/>
                    <w:outlineLvl w:val="2"/>
                    <w:rPr>
                      <w:rFonts w:ascii="Times New Roman" w:hAnsi="Times New Roman" w:eastAsia="宋体" w:cs="Times New Roman"/>
                    </w:rPr>
                  </w:pPr>
                  <w:r>
                    <w:rPr>
                      <w:rFonts w:ascii="Times New Roman" w:hAnsi="宋体" w:eastAsia="宋体" w:cs="Times New Roman"/>
                    </w:rPr>
                    <w:t>拟建项目不属于《产业结构调整指导目录（</w:t>
                  </w:r>
                  <w:r>
                    <w:rPr>
                      <w:rFonts w:ascii="Times New Roman" w:hAnsi="Times New Roman" w:eastAsia="宋体" w:cs="Times New Roman"/>
                    </w:rPr>
                    <w:t>2019</w:t>
                  </w:r>
                  <w:r>
                    <w:rPr>
                      <w:rFonts w:ascii="Times New Roman" w:hAnsi="宋体" w:eastAsia="宋体" w:cs="Times New Roman"/>
                    </w:rPr>
                    <w:t>年本）》中淘汰类和限制类</w:t>
                  </w:r>
                </w:p>
              </w:tc>
              <w:tc>
                <w:tcPr>
                  <w:tcW w:w="400" w:type="pct"/>
                  <w:vAlign w:val="center"/>
                </w:tcPr>
                <w:p w14:paraId="591C5B1B">
                  <w:pPr>
                    <w:pStyle w:val="136"/>
                    <w:outlineLvl w:val="2"/>
                    <w:rPr>
                      <w:rFonts w:ascii="Times New Roman" w:hAnsi="Times New Roman" w:eastAsia="宋体" w:cs="Times New Roman"/>
                    </w:rPr>
                  </w:pPr>
                  <w:r>
                    <w:rPr>
                      <w:rFonts w:ascii="Times New Roman" w:hAnsi="宋体" w:eastAsia="宋体" w:cs="Times New Roman"/>
                    </w:rPr>
                    <w:t>符合</w:t>
                  </w:r>
                </w:p>
              </w:tc>
            </w:tr>
            <w:tr w14:paraId="7F9A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4" w:type="pct"/>
                  <w:vAlign w:val="center"/>
                </w:tcPr>
                <w:p w14:paraId="40B350DB">
                  <w:pPr>
                    <w:pStyle w:val="136"/>
                    <w:outlineLvl w:val="2"/>
                    <w:rPr>
                      <w:rFonts w:ascii="Times New Roman" w:hAnsi="Times New Roman" w:eastAsia="宋体" w:cs="Times New Roman"/>
                    </w:rPr>
                  </w:pPr>
                  <w:r>
                    <w:rPr>
                      <w:rFonts w:ascii="Times New Roman" w:hAnsi="Times New Roman" w:eastAsia="宋体" w:cs="Times New Roman"/>
                    </w:rPr>
                    <w:t>2</w:t>
                  </w:r>
                </w:p>
              </w:tc>
              <w:tc>
                <w:tcPr>
                  <w:tcW w:w="714" w:type="pct"/>
                  <w:gridSpan w:val="2"/>
                  <w:vAlign w:val="center"/>
                </w:tcPr>
                <w:p w14:paraId="7D582CA0">
                  <w:pPr>
                    <w:pStyle w:val="136"/>
                    <w:outlineLvl w:val="2"/>
                    <w:rPr>
                      <w:rFonts w:ascii="Times New Roman" w:hAnsi="Times New Roman" w:eastAsia="宋体" w:cs="Times New Roman"/>
                    </w:rPr>
                  </w:pPr>
                  <w:r>
                    <w:rPr>
                      <w:rFonts w:ascii="Times New Roman" w:hAnsi="宋体" w:eastAsia="宋体" w:cs="Times New Roman"/>
                    </w:rPr>
                    <w:t>行业</w:t>
                  </w:r>
                  <w:r>
                    <w:rPr>
                      <w:rFonts w:ascii="Times New Roman" w:hAnsi="Times New Roman" w:eastAsia="宋体" w:cs="Times New Roman"/>
                    </w:rPr>
                    <w:t>*</w:t>
                  </w:r>
                </w:p>
              </w:tc>
              <w:tc>
                <w:tcPr>
                  <w:tcW w:w="912" w:type="pct"/>
                  <w:vAlign w:val="center"/>
                </w:tcPr>
                <w:p w14:paraId="75D7FB9F">
                  <w:pPr>
                    <w:pStyle w:val="136"/>
                    <w:outlineLvl w:val="2"/>
                    <w:rPr>
                      <w:rFonts w:ascii="Times New Roman" w:hAnsi="Times New Roman" w:eastAsia="宋体" w:cs="Times New Roman"/>
                    </w:rPr>
                  </w:pPr>
                  <w:r>
                    <w:rPr>
                      <w:rFonts w:ascii="Times New Roman" w:hAnsi="宋体" w:eastAsia="宋体" w:cs="Times New Roman"/>
                    </w:rPr>
                    <w:t>印染业、原料药、造纸、水泥生产等重污染行业和其它不符合国家产业政策的项目，以及超出环境资源承载力的项目</w:t>
                  </w:r>
                </w:p>
              </w:tc>
              <w:tc>
                <w:tcPr>
                  <w:tcW w:w="1910" w:type="pct"/>
                  <w:vAlign w:val="center"/>
                </w:tcPr>
                <w:p w14:paraId="1E8938A8">
                  <w:pPr>
                    <w:pStyle w:val="136"/>
                    <w:outlineLvl w:val="2"/>
                    <w:rPr>
                      <w:rFonts w:ascii="Times New Roman" w:hAnsi="Times New Roman" w:eastAsia="宋体" w:cs="Times New Roman"/>
                    </w:rPr>
                  </w:pPr>
                  <w:r>
                    <w:rPr>
                      <w:rFonts w:ascii="Times New Roman" w:hAnsi="宋体" w:eastAsia="宋体" w:cs="Times New Roman"/>
                    </w:rPr>
                    <w:t>高耗水、水污染物排放强度高的工业企业（单位工业用地面积废水排放量大于</w:t>
                  </w:r>
                  <w:r>
                    <w:rPr>
                      <w:rFonts w:ascii="Times New Roman" w:hAnsi="Times New Roman" w:eastAsia="宋体" w:cs="Times New Roman"/>
                    </w:rPr>
                    <w:t>3000m</w:t>
                  </w:r>
                  <w:r>
                    <w:rPr>
                      <w:rFonts w:ascii="Times New Roman" w:hAnsi="Times New Roman" w:eastAsia="宋体" w:cs="Times New Roman"/>
                      <w:vertAlign w:val="superscript"/>
                    </w:rPr>
                    <w:t>3</w:t>
                  </w:r>
                  <w:r>
                    <w:rPr>
                      <w:rFonts w:ascii="Times New Roman" w:hAnsi="Times New Roman" w:eastAsia="宋体" w:cs="Times New Roman"/>
                    </w:rPr>
                    <w:t>/km</w:t>
                  </w:r>
                  <w:r>
                    <w:rPr>
                      <w:rFonts w:ascii="Times New Roman" w:hAnsi="Times New Roman" w:eastAsia="宋体" w:cs="Times New Roman"/>
                      <w:vertAlign w:val="superscript"/>
                    </w:rPr>
                    <w:t>2</w:t>
                  </w:r>
                  <w:r>
                    <w:rPr>
                      <w:rFonts w:ascii="Times New Roman" w:hAnsi="Times New Roman" w:eastAsia="宋体" w:cs="Times New Roman"/>
                    </w:rPr>
                    <w:t>·d</w:t>
                  </w:r>
                  <w:r>
                    <w:rPr>
                      <w:rFonts w:ascii="Times New Roman" w:hAnsi="宋体" w:eastAsia="宋体" w:cs="Times New Roman"/>
                    </w:rPr>
                    <w:t>）；在长江、嘉陵江江段及其上游沿江河地区严格限制可能对饮用水源带来安全隐患的化工、造纸、印染、化学原料药、危险废物利用和处置以及排放有毒有害物质和重金属的工业项目；限制新建产出强度低于</w:t>
                  </w:r>
                  <w:r>
                    <w:rPr>
                      <w:rFonts w:ascii="Times New Roman" w:hAnsi="Times New Roman" w:eastAsia="宋体" w:cs="Times New Roman"/>
                    </w:rPr>
                    <w:t>100</w:t>
                  </w:r>
                  <w:r>
                    <w:rPr>
                      <w:rFonts w:ascii="Times New Roman" w:hAnsi="宋体" w:eastAsia="宋体" w:cs="Times New Roman"/>
                    </w:rPr>
                    <w:t>亿元</w:t>
                  </w:r>
                  <w:r>
                    <w:rPr>
                      <w:rFonts w:ascii="Times New Roman" w:hAnsi="Times New Roman" w:eastAsia="宋体" w:cs="Times New Roman"/>
                    </w:rPr>
                    <w:t>/km</w:t>
                  </w:r>
                  <w:r>
                    <w:rPr>
                      <w:rFonts w:ascii="Times New Roman" w:hAnsi="Times New Roman" w:eastAsia="宋体" w:cs="Times New Roman"/>
                      <w:vertAlign w:val="superscript"/>
                    </w:rPr>
                    <w:t>2</w:t>
                  </w:r>
                  <w:r>
                    <w:rPr>
                      <w:rFonts w:ascii="Times New Roman" w:hAnsi="宋体" w:eastAsia="宋体" w:cs="Times New Roman"/>
                    </w:rPr>
                    <w:t>的工业项目</w:t>
                  </w:r>
                </w:p>
              </w:tc>
              <w:tc>
                <w:tcPr>
                  <w:tcW w:w="808" w:type="pct"/>
                  <w:vAlign w:val="center"/>
                </w:tcPr>
                <w:p w14:paraId="5CDC3FC9">
                  <w:pPr>
                    <w:pStyle w:val="136"/>
                    <w:outlineLvl w:val="2"/>
                    <w:rPr>
                      <w:rFonts w:ascii="Times New Roman" w:hAnsi="Times New Roman" w:eastAsia="宋体" w:cs="Times New Roman"/>
                    </w:rPr>
                  </w:pPr>
                  <w:r>
                    <w:rPr>
                      <w:rFonts w:ascii="Times New Roman" w:hAnsi="宋体" w:eastAsia="宋体" w:cs="Times New Roman"/>
                    </w:rPr>
                    <w:t>拟建项目为</w:t>
                  </w:r>
                  <w:r>
                    <w:rPr>
                      <w:rFonts w:hint="eastAsia"/>
                      <w:szCs w:val="21"/>
                    </w:rPr>
                    <w:t>C2459其他玩具制造</w:t>
                  </w:r>
                  <w:r>
                    <w:rPr>
                      <w:rFonts w:hAnsi="宋体"/>
                      <w:szCs w:val="21"/>
                      <w:lang w:val="en-GB"/>
                    </w:rPr>
                    <w:t>，</w:t>
                  </w:r>
                  <w:r>
                    <w:rPr>
                      <w:rFonts w:hint="eastAsia" w:hAnsi="宋体"/>
                      <w:szCs w:val="21"/>
                      <w:lang w:val="en-GB"/>
                    </w:rPr>
                    <w:t>涉及印刷工艺</w:t>
                  </w:r>
                  <w:r>
                    <w:rPr>
                      <w:rFonts w:ascii="Times New Roman" w:hAnsi="宋体" w:eastAsia="宋体" w:cs="Times New Roman"/>
                      <w:szCs w:val="21"/>
                    </w:rPr>
                    <w:t>，无生产工艺废水排放</w:t>
                  </w:r>
                </w:p>
              </w:tc>
              <w:tc>
                <w:tcPr>
                  <w:tcW w:w="400" w:type="pct"/>
                  <w:vAlign w:val="center"/>
                </w:tcPr>
                <w:p w14:paraId="32117A43">
                  <w:pPr>
                    <w:pStyle w:val="136"/>
                    <w:outlineLvl w:val="2"/>
                    <w:rPr>
                      <w:rFonts w:ascii="Times New Roman" w:hAnsi="Times New Roman" w:eastAsia="宋体" w:cs="Times New Roman"/>
                    </w:rPr>
                  </w:pPr>
                  <w:r>
                    <w:rPr>
                      <w:rFonts w:ascii="Times New Roman" w:hAnsi="宋体" w:eastAsia="宋体" w:cs="Times New Roman"/>
                    </w:rPr>
                    <w:t>符合</w:t>
                  </w:r>
                </w:p>
              </w:tc>
            </w:tr>
            <w:tr w14:paraId="2C9C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4" w:type="pct"/>
                  <w:vAlign w:val="center"/>
                </w:tcPr>
                <w:p w14:paraId="52B060FA">
                  <w:pPr>
                    <w:pStyle w:val="136"/>
                    <w:outlineLvl w:val="2"/>
                    <w:rPr>
                      <w:rFonts w:ascii="Times New Roman" w:hAnsi="Times New Roman" w:eastAsia="宋体" w:cs="Times New Roman"/>
                    </w:rPr>
                  </w:pPr>
                  <w:r>
                    <w:rPr>
                      <w:rFonts w:ascii="Times New Roman" w:hAnsi="Times New Roman" w:eastAsia="宋体" w:cs="Times New Roman"/>
                    </w:rPr>
                    <w:t>3</w:t>
                  </w:r>
                </w:p>
              </w:tc>
              <w:tc>
                <w:tcPr>
                  <w:tcW w:w="348" w:type="pct"/>
                  <w:vAlign w:val="center"/>
                </w:tcPr>
                <w:p w14:paraId="02BA953D">
                  <w:pPr>
                    <w:pStyle w:val="136"/>
                    <w:outlineLvl w:val="2"/>
                    <w:rPr>
                      <w:rFonts w:ascii="Times New Roman" w:hAnsi="Times New Roman" w:eastAsia="宋体" w:cs="Times New Roman"/>
                    </w:rPr>
                  </w:pPr>
                  <w:r>
                    <w:rPr>
                      <w:rFonts w:ascii="Times New Roman" w:hAnsi="宋体" w:eastAsia="宋体" w:cs="Times New Roman"/>
                    </w:rPr>
                    <w:t>生产工艺</w:t>
                  </w:r>
                </w:p>
              </w:tc>
              <w:tc>
                <w:tcPr>
                  <w:tcW w:w="365" w:type="pct"/>
                  <w:vAlign w:val="center"/>
                </w:tcPr>
                <w:p w14:paraId="236EC8F3">
                  <w:pPr>
                    <w:pStyle w:val="136"/>
                    <w:outlineLvl w:val="2"/>
                    <w:rPr>
                      <w:rFonts w:ascii="Times New Roman" w:hAnsi="Times New Roman" w:eastAsia="宋体" w:cs="Times New Roman"/>
                    </w:rPr>
                  </w:pPr>
                  <w:r>
                    <w:rPr>
                      <w:rFonts w:ascii="Times New Roman" w:hAnsi="宋体" w:eastAsia="宋体" w:cs="Times New Roman"/>
                    </w:rPr>
                    <w:t>电子信息</w:t>
                  </w:r>
                </w:p>
              </w:tc>
              <w:tc>
                <w:tcPr>
                  <w:tcW w:w="912" w:type="pct"/>
                  <w:vAlign w:val="center"/>
                </w:tcPr>
                <w:p w14:paraId="3EC4D4FA">
                  <w:pPr>
                    <w:pStyle w:val="136"/>
                    <w:outlineLvl w:val="2"/>
                    <w:rPr>
                      <w:rFonts w:ascii="Times New Roman" w:hAnsi="Times New Roman" w:eastAsia="宋体" w:cs="Times New Roman"/>
                    </w:rPr>
                  </w:pPr>
                  <w:r>
                    <w:rPr>
                      <w:rFonts w:ascii="Times New Roman" w:hAnsi="宋体" w:eastAsia="宋体" w:cs="Times New Roman"/>
                    </w:rPr>
                    <w:t>涉及排放重金属（汞、铬、镉、铅和类金属砷）生产工艺（目前下游</w:t>
                  </w:r>
                  <w:r>
                    <w:rPr>
                      <w:rFonts w:ascii="Times New Roman" w:hAnsi="Times New Roman" w:eastAsia="宋体" w:cs="Times New Roman"/>
                    </w:rPr>
                    <w:t>20km</w:t>
                  </w:r>
                  <w:r>
                    <w:rPr>
                      <w:rFonts w:ascii="Times New Roman" w:hAnsi="宋体" w:eastAsia="宋体" w:cs="Times New Roman"/>
                    </w:rPr>
                    <w:t>范围存在集中式饮用水源取水口的情况下）</w:t>
                  </w:r>
                </w:p>
              </w:tc>
              <w:tc>
                <w:tcPr>
                  <w:tcW w:w="1910" w:type="pct"/>
                  <w:vAlign w:val="center"/>
                </w:tcPr>
                <w:p w14:paraId="6695ED6E">
                  <w:pPr>
                    <w:pStyle w:val="136"/>
                    <w:outlineLvl w:val="2"/>
                    <w:rPr>
                      <w:rFonts w:ascii="Times New Roman" w:hAnsi="Times New Roman" w:eastAsia="宋体" w:cs="Times New Roman"/>
                    </w:rPr>
                  </w:pPr>
                  <w:r>
                    <w:rPr>
                      <w:rFonts w:ascii="Times New Roman" w:hAnsi="Times New Roman" w:eastAsia="宋体" w:cs="Times New Roman"/>
                    </w:rPr>
                    <w:t>-</w:t>
                  </w:r>
                </w:p>
              </w:tc>
              <w:tc>
                <w:tcPr>
                  <w:tcW w:w="808" w:type="pct"/>
                  <w:vAlign w:val="center"/>
                </w:tcPr>
                <w:p w14:paraId="48A02ABB">
                  <w:pPr>
                    <w:pStyle w:val="136"/>
                    <w:outlineLvl w:val="2"/>
                    <w:rPr>
                      <w:rFonts w:ascii="Times New Roman" w:hAnsi="Times New Roman" w:eastAsia="宋体" w:cs="Times New Roman"/>
                    </w:rPr>
                  </w:pPr>
                  <w:r>
                    <w:rPr>
                      <w:rFonts w:ascii="Times New Roman" w:hAnsi="宋体" w:eastAsia="宋体" w:cs="Times New Roman"/>
                    </w:rPr>
                    <w:t>拟建项目为</w:t>
                  </w:r>
                  <w:r>
                    <w:rPr>
                      <w:rFonts w:hint="eastAsia"/>
                      <w:szCs w:val="21"/>
                    </w:rPr>
                    <w:t>C2459其他玩具制造</w:t>
                  </w:r>
                  <w:r>
                    <w:rPr>
                      <w:rFonts w:hAnsi="宋体"/>
                      <w:szCs w:val="21"/>
                      <w:lang w:val="en-GB"/>
                    </w:rPr>
                    <w:t>，</w:t>
                  </w:r>
                  <w:r>
                    <w:rPr>
                      <w:rFonts w:hint="eastAsia" w:hAnsi="宋体"/>
                      <w:szCs w:val="21"/>
                      <w:lang w:val="en-GB"/>
                    </w:rPr>
                    <w:t>涉及印刷工艺</w:t>
                  </w:r>
                  <w:r>
                    <w:rPr>
                      <w:rFonts w:hint="eastAsia"/>
                      <w:spacing w:val="-2"/>
                      <w:szCs w:val="21"/>
                    </w:rPr>
                    <w:t>，</w:t>
                  </w:r>
                  <w:r>
                    <w:rPr>
                      <w:rFonts w:ascii="Times New Roman" w:hAnsi="宋体" w:eastAsia="宋体" w:cs="Times New Roman"/>
                      <w:szCs w:val="21"/>
                    </w:rPr>
                    <w:t>不涉及重金属的排放</w:t>
                  </w:r>
                </w:p>
              </w:tc>
              <w:tc>
                <w:tcPr>
                  <w:tcW w:w="400" w:type="pct"/>
                  <w:vAlign w:val="center"/>
                </w:tcPr>
                <w:p w14:paraId="7954EF4D">
                  <w:pPr>
                    <w:pStyle w:val="136"/>
                    <w:outlineLvl w:val="2"/>
                    <w:rPr>
                      <w:rFonts w:ascii="Times New Roman" w:hAnsi="Times New Roman" w:eastAsia="宋体" w:cs="Times New Roman"/>
                    </w:rPr>
                  </w:pPr>
                  <w:r>
                    <w:rPr>
                      <w:rFonts w:ascii="Times New Roman" w:hAnsi="宋体" w:eastAsia="宋体" w:cs="Times New Roman"/>
                    </w:rPr>
                    <w:t>符合</w:t>
                  </w:r>
                </w:p>
              </w:tc>
            </w:tr>
            <w:tr w14:paraId="76FD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4" w:type="pct"/>
                  <w:vAlign w:val="center"/>
                </w:tcPr>
                <w:p w14:paraId="32D65FDF">
                  <w:pPr>
                    <w:pStyle w:val="136"/>
                    <w:outlineLvl w:val="2"/>
                    <w:rPr>
                      <w:rFonts w:ascii="Times New Roman" w:hAnsi="Times New Roman" w:eastAsia="宋体" w:cs="Times New Roman"/>
                    </w:rPr>
                  </w:pPr>
                  <w:r>
                    <w:rPr>
                      <w:rFonts w:ascii="Times New Roman" w:hAnsi="Times New Roman" w:eastAsia="宋体" w:cs="Times New Roman"/>
                    </w:rPr>
                    <w:t>4</w:t>
                  </w:r>
                </w:p>
              </w:tc>
              <w:tc>
                <w:tcPr>
                  <w:tcW w:w="348" w:type="pct"/>
                  <w:vAlign w:val="center"/>
                </w:tcPr>
                <w:p w14:paraId="5A13EC15">
                  <w:pPr>
                    <w:pStyle w:val="136"/>
                    <w:outlineLvl w:val="2"/>
                    <w:rPr>
                      <w:rFonts w:ascii="Times New Roman" w:hAnsi="Times New Roman" w:eastAsia="宋体" w:cs="Times New Roman"/>
                    </w:rPr>
                  </w:pPr>
                  <w:r>
                    <w:rPr>
                      <w:rFonts w:ascii="Times New Roman" w:hAnsi="宋体" w:eastAsia="宋体" w:cs="Times New Roman"/>
                    </w:rPr>
                    <w:t>产品</w:t>
                  </w:r>
                </w:p>
              </w:tc>
              <w:tc>
                <w:tcPr>
                  <w:tcW w:w="365" w:type="pct"/>
                  <w:vAlign w:val="center"/>
                </w:tcPr>
                <w:p w14:paraId="0C7A7689">
                  <w:pPr>
                    <w:pStyle w:val="136"/>
                    <w:outlineLvl w:val="2"/>
                    <w:rPr>
                      <w:rFonts w:ascii="Times New Roman" w:hAnsi="Times New Roman" w:eastAsia="宋体" w:cs="Times New Roman"/>
                    </w:rPr>
                  </w:pPr>
                  <w:r>
                    <w:rPr>
                      <w:rFonts w:ascii="Times New Roman" w:hAnsi="宋体" w:eastAsia="宋体" w:cs="Times New Roman"/>
                    </w:rPr>
                    <w:t>电子信息</w:t>
                  </w:r>
                </w:p>
              </w:tc>
              <w:tc>
                <w:tcPr>
                  <w:tcW w:w="912" w:type="pct"/>
                  <w:vAlign w:val="center"/>
                </w:tcPr>
                <w:p w14:paraId="55861D95">
                  <w:pPr>
                    <w:pStyle w:val="136"/>
                    <w:outlineLvl w:val="2"/>
                    <w:rPr>
                      <w:rFonts w:ascii="Times New Roman" w:hAnsi="Times New Roman" w:eastAsia="宋体" w:cs="Times New Roman"/>
                    </w:rPr>
                  </w:pPr>
                  <w:r>
                    <w:rPr>
                      <w:rFonts w:ascii="Times New Roman" w:hAnsi="Times New Roman" w:eastAsia="宋体" w:cs="Times New Roman"/>
                    </w:rPr>
                    <w:t>-</w:t>
                  </w:r>
                </w:p>
              </w:tc>
              <w:tc>
                <w:tcPr>
                  <w:tcW w:w="1910" w:type="pct"/>
                  <w:vAlign w:val="center"/>
                </w:tcPr>
                <w:p w14:paraId="51A97855">
                  <w:pPr>
                    <w:pStyle w:val="136"/>
                    <w:outlineLvl w:val="2"/>
                    <w:rPr>
                      <w:rFonts w:ascii="Times New Roman" w:hAnsi="Times New Roman" w:eastAsia="宋体" w:cs="Times New Roman"/>
                    </w:rPr>
                  </w:pPr>
                  <w:r>
                    <w:rPr>
                      <w:rFonts w:ascii="Times New Roman" w:hAnsi="Times New Roman" w:eastAsia="宋体" w:cs="Times New Roman"/>
                    </w:rPr>
                    <w:t>-</w:t>
                  </w:r>
                </w:p>
              </w:tc>
              <w:tc>
                <w:tcPr>
                  <w:tcW w:w="808" w:type="pct"/>
                  <w:vAlign w:val="center"/>
                </w:tcPr>
                <w:p w14:paraId="08D035D6">
                  <w:pPr>
                    <w:pStyle w:val="136"/>
                    <w:outlineLvl w:val="2"/>
                    <w:rPr>
                      <w:rFonts w:ascii="Times New Roman" w:hAnsi="Times New Roman" w:eastAsia="宋体" w:cs="Times New Roman"/>
                    </w:rPr>
                  </w:pPr>
                  <w:r>
                    <w:rPr>
                      <w:rFonts w:ascii="Times New Roman" w:hAnsi="Times New Roman" w:eastAsia="宋体" w:cs="Times New Roman"/>
                    </w:rPr>
                    <w:t>/</w:t>
                  </w:r>
                </w:p>
              </w:tc>
              <w:tc>
                <w:tcPr>
                  <w:tcW w:w="400" w:type="pct"/>
                  <w:vAlign w:val="center"/>
                </w:tcPr>
                <w:p w14:paraId="6D13AD24">
                  <w:pPr>
                    <w:pStyle w:val="136"/>
                    <w:outlineLvl w:val="2"/>
                    <w:rPr>
                      <w:rFonts w:ascii="Times New Roman" w:hAnsi="Times New Roman" w:eastAsia="宋体" w:cs="Times New Roman"/>
                    </w:rPr>
                  </w:pPr>
                  <w:r>
                    <w:rPr>
                      <w:rFonts w:ascii="Times New Roman" w:hAnsi="宋体" w:eastAsia="宋体" w:cs="Times New Roman"/>
                    </w:rPr>
                    <w:t>符合</w:t>
                  </w:r>
                </w:p>
              </w:tc>
            </w:tr>
          </w:tbl>
          <w:p w14:paraId="43F1DAF0">
            <w:pPr>
              <w:spacing w:line="460" w:lineRule="exact"/>
              <w:ind w:firstLine="480" w:firstLineChars="200"/>
              <w:jc w:val="left"/>
              <w:rPr>
                <w:kern w:val="0"/>
                <w:sz w:val="24"/>
              </w:rPr>
            </w:pPr>
            <w:r>
              <w:rPr>
                <w:rFonts w:hAnsi="宋体"/>
                <w:kern w:val="0"/>
                <w:sz w:val="24"/>
              </w:rPr>
              <w:t>综上所述，拟建项目为</w:t>
            </w:r>
            <w:r>
              <w:rPr>
                <w:rFonts w:eastAsiaTheme="minorEastAsia"/>
                <w:sz w:val="24"/>
              </w:rPr>
              <w:t>C2459</w:t>
            </w:r>
            <w:r>
              <w:rPr>
                <w:rFonts w:hAnsiTheme="minorEastAsia" w:eastAsiaTheme="minorEastAsia"/>
                <w:sz w:val="24"/>
              </w:rPr>
              <w:t>其他玩具制造</w:t>
            </w:r>
            <w:r>
              <w:rPr>
                <w:rFonts w:hAnsiTheme="minorEastAsia" w:eastAsiaTheme="minorEastAsia"/>
                <w:sz w:val="24"/>
                <w:lang w:val="en-GB"/>
              </w:rPr>
              <w:t>，涉及印刷工艺</w:t>
            </w:r>
            <w:r>
              <w:rPr>
                <w:rFonts w:hAnsiTheme="minorEastAsia" w:eastAsiaTheme="minorEastAsia"/>
                <w:spacing w:val="-2"/>
                <w:sz w:val="24"/>
              </w:rPr>
              <w:t>，</w:t>
            </w:r>
            <w:r>
              <w:rPr>
                <w:rFonts w:hAnsi="宋体"/>
                <w:kern w:val="0"/>
                <w:sz w:val="24"/>
              </w:rPr>
              <w:t>与园区功能定位及规划目标相符。</w:t>
            </w:r>
          </w:p>
          <w:p w14:paraId="596F6DF9">
            <w:pPr>
              <w:spacing w:line="460" w:lineRule="exact"/>
              <w:jc w:val="left"/>
              <w:rPr>
                <w:b/>
                <w:sz w:val="24"/>
              </w:rPr>
            </w:pPr>
            <w:r>
              <w:rPr>
                <w:b/>
                <w:bCs/>
                <w:sz w:val="24"/>
              </w:rPr>
              <w:t>1.1.</w:t>
            </w:r>
            <w:r>
              <w:rPr>
                <w:rFonts w:hint="eastAsia"/>
                <w:b/>
                <w:bCs/>
                <w:sz w:val="24"/>
              </w:rPr>
              <w:t>3</w:t>
            </w:r>
            <w:r>
              <w:rPr>
                <w:rFonts w:hint="eastAsia"/>
                <w:b/>
                <w:sz w:val="24"/>
              </w:rPr>
              <w:t>与</w:t>
            </w:r>
            <w:r>
              <w:rPr>
                <w:rFonts w:hAnsi="宋体"/>
                <w:b/>
                <w:sz w:val="24"/>
              </w:rPr>
              <w:t>重庆涪陵工业园区李渡组团规划环境影响报告书</w:t>
            </w:r>
            <w:r>
              <w:rPr>
                <w:rFonts w:hint="eastAsia" w:hAnsi="宋体"/>
                <w:b/>
                <w:sz w:val="24"/>
              </w:rPr>
              <w:t>审查意见的</w:t>
            </w:r>
            <w:r>
              <w:rPr>
                <w:rFonts w:hint="eastAsia"/>
                <w:b/>
                <w:sz w:val="24"/>
              </w:rPr>
              <w:t>符合性分析</w:t>
            </w:r>
          </w:p>
          <w:p w14:paraId="43E58CF7">
            <w:pPr>
              <w:spacing w:line="460" w:lineRule="exact"/>
              <w:ind w:firstLine="480" w:firstLineChars="200"/>
              <w:jc w:val="left"/>
              <w:rPr>
                <w:kern w:val="0"/>
                <w:sz w:val="24"/>
              </w:rPr>
            </w:pPr>
            <w:r>
              <w:rPr>
                <w:rFonts w:hint="eastAsia"/>
                <w:kern w:val="0"/>
                <w:sz w:val="24"/>
              </w:rPr>
              <w:t>拟建项目与“审查意见的函”的符合性分析，详见表1.1-2。</w:t>
            </w:r>
          </w:p>
          <w:p w14:paraId="43099A74">
            <w:pPr>
              <w:pStyle w:val="145"/>
              <w:spacing w:line="460" w:lineRule="exact"/>
              <w:rPr>
                <w:rFonts w:eastAsia="宋体"/>
                <w:b/>
              </w:rPr>
            </w:pPr>
            <w:r>
              <w:rPr>
                <w:rFonts w:hAnsi="宋体" w:eastAsia="宋体"/>
                <w:b/>
              </w:rPr>
              <w:t>表</w:t>
            </w:r>
            <w:r>
              <w:rPr>
                <w:rFonts w:eastAsia="宋体"/>
                <w:b/>
              </w:rPr>
              <w:t xml:space="preserve">1.1-2  </w:t>
            </w:r>
            <w:r>
              <w:rPr>
                <w:rFonts w:hAnsi="宋体" w:eastAsia="宋体"/>
                <w:b/>
              </w:rPr>
              <w:t>与规划环评审查意见函符合性分析</w:t>
            </w:r>
          </w:p>
          <w:tbl>
            <w:tblPr>
              <w:tblStyle w:val="24"/>
              <w:tblW w:w="7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021"/>
              <w:gridCol w:w="2262"/>
              <w:gridCol w:w="731"/>
            </w:tblGrid>
            <w:tr w14:paraId="19EB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90" w:type="dxa"/>
                  <w:gridSpan w:val="2"/>
                  <w:vAlign w:val="center"/>
                </w:tcPr>
                <w:p w14:paraId="53DA991D">
                  <w:pPr>
                    <w:jc w:val="center"/>
                    <w:rPr>
                      <w:szCs w:val="21"/>
                    </w:rPr>
                  </w:pPr>
                  <w:r>
                    <w:rPr>
                      <w:rFonts w:hAnsi="宋体"/>
                      <w:szCs w:val="21"/>
                    </w:rPr>
                    <w:t>审查意见相关要求</w:t>
                  </w:r>
                </w:p>
              </w:tc>
              <w:tc>
                <w:tcPr>
                  <w:tcW w:w="2262" w:type="dxa"/>
                  <w:vAlign w:val="center"/>
                </w:tcPr>
                <w:p w14:paraId="6CBE55C0">
                  <w:pPr>
                    <w:jc w:val="center"/>
                    <w:rPr>
                      <w:szCs w:val="21"/>
                    </w:rPr>
                  </w:pPr>
                  <w:r>
                    <w:rPr>
                      <w:rFonts w:hAnsi="宋体"/>
                      <w:szCs w:val="21"/>
                    </w:rPr>
                    <w:t>拟建项目情况</w:t>
                  </w:r>
                </w:p>
              </w:tc>
              <w:tc>
                <w:tcPr>
                  <w:tcW w:w="731" w:type="dxa"/>
                  <w:vAlign w:val="center"/>
                </w:tcPr>
                <w:p w14:paraId="4A905510">
                  <w:pPr>
                    <w:jc w:val="center"/>
                    <w:rPr>
                      <w:szCs w:val="21"/>
                    </w:rPr>
                  </w:pPr>
                  <w:r>
                    <w:rPr>
                      <w:rFonts w:hAnsi="宋体"/>
                      <w:szCs w:val="21"/>
                    </w:rPr>
                    <w:t>符合性</w:t>
                  </w:r>
                </w:p>
              </w:tc>
            </w:tr>
            <w:tr w14:paraId="3A3B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1AF0DBEA">
                  <w:pPr>
                    <w:adjustRightInd w:val="0"/>
                    <w:snapToGrid w:val="0"/>
                    <w:spacing w:line="320" w:lineRule="exact"/>
                    <w:jc w:val="center"/>
                    <w:rPr>
                      <w:szCs w:val="21"/>
                    </w:rPr>
                  </w:pPr>
                  <w:r>
                    <w:rPr>
                      <w:rFonts w:hAnsi="宋体"/>
                      <w:szCs w:val="21"/>
                    </w:rPr>
                    <w:t>关于区域资源环境承载力及总量管控上限</w:t>
                  </w:r>
                </w:p>
              </w:tc>
              <w:tc>
                <w:tcPr>
                  <w:tcW w:w="4021" w:type="dxa"/>
                  <w:vAlign w:val="center"/>
                </w:tcPr>
                <w:p w14:paraId="3FD695EF">
                  <w:pPr>
                    <w:spacing w:line="320" w:lineRule="exact"/>
                    <w:rPr>
                      <w:szCs w:val="21"/>
                    </w:rPr>
                  </w:pPr>
                  <w:r>
                    <w:rPr>
                      <w:rFonts w:hAnsi="宋体"/>
                      <w:szCs w:val="21"/>
                    </w:rPr>
                    <w:t>规划区土地资源、能源及水资源等能满足规划区发展需求，资源承载力总体可支撑本规划的实施。规划区所在区域处于涪陵区李渡组团，东侧紧邻人口密集区，南侧紧邻长江，大气、水环境较敏感，是规划区发展的主要制约因素。</w:t>
                  </w:r>
                </w:p>
                <w:p w14:paraId="6FF29B32">
                  <w:pPr>
                    <w:adjustRightInd w:val="0"/>
                    <w:snapToGrid w:val="0"/>
                    <w:spacing w:line="320" w:lineRule="exact"/>
                    <w:rPr>
                      <w:szCs w:val="21"/>
                    </w:rPr>
                  </w:pPr>
                  <w:r>
                    <w:rPr>
                      <w:rFonts w:hAnsi="宋体"/>
                      <w:szCs w:val="21"/>
                    </w:rPr>
                    <w:t>探索提出园区污染物排放总量管控限值清单。考虑到未来发展需求和环境质量改善的要求，园区规划发展产业排放的二氧化硫、氮氧化物、化学需氧量、氨氮等主要污染物和特征污染物排放量不得超过总量控制上限清单。</w:t>
                  </w:r>
                </w:p>
              </w:tc>
              <w:tc>
                <w:tcPr>
                  <w:tcW w:w="2262" w:type="dxa"/>
                  <w:vAlign w:val="center"/>
                </w:tcPr>
                <w:p w14:paraId="75F9D78C">
                  <w:pPr>
                    <w:adjustRightInd w:val="0"/>
                    <w:snapToGrid w:val="0"/>
                    <w:spacing w:line="320" w:lineRule="exact"/>
                    <w:rPr>
                      <w:szCs w:val="21"/>
                    </w:rPr>
                  </w:pPr>
                  <w:r>
                    <w:rPr>
                      <w:rFonts w:hAnsi="宋体"/>
                      <w:bCs/>
                      <w:szCs w:val="21"/>
                    </w:rPr>
                    <w:t>拟建项目排放的污染物总量均未超过总量控制上限。</w:t>
                  </w:r>
                </w:p>
              </w:tc>
              <w:tc>
                <w:tcPr>
                  <w:tcW w:w="731" w:type="dxa"/>
                  <w:vAlign w:val="center"/>
                </w:tcPr>
                <w:p w14:paraId="0AD7A345">
                  <w:pPr>
                    <w:pStyle w:val="76"/>
                    <w:jc w:val="center"/>
                    <w:rPr>
                      <w:rFonts w:eastAsia="宋体"/>
                      <w:sz w:val="21"/>
                      <w:szCs w:val="21"/>
                    </w:rPr>
                  </w:pPr>
                  <w:r>
                    <w:rPr>
                      <w:rFonts w:hAnsi="宋体" w:eastAsia="宋体"/>
                      <w:sz w:val="21"/>
                      <w:szCs w:val="21"/>
                    </w:rPr>
                    <w:t>符合</w:t>
                  </w:r>
                </w:p>
              </w:tc>
            </w:tr>
            <w:tr w14:paraId="68BF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41568FE8">
                  <w:pPr>
                    <w:adjustRightInd w:val="0"/>
                    <w:snapToGrid w:val="0"/>
                    <w:spacing w:line="320" w:lineRule="exact"/>
                    <w:jc w:val="center"/>
                    <w:rPr>
                      <w:szCs w:val="21"/>
                    </w:rPr>
                  </w:pPr>
                  <w:r>
                    <w:rPr>
                      <w:rFonts w:hAnsi="宋体"/>
                      <w:szCs w:val="21"/>
                    </w:rPr>
                    <w:t>关于资源消耗上限</w:t>
                  </w:r>
                </w:p>
              </w:tc>
              <w:tc>
                <w:tcPr>
                  <w:tcW w:w="4021" w:type="dxa"/>
                  <w:vAlign w:val="center"/>
                </w:tcPr>
                <w:p w14:paraId="74FFEF04">
                  <w:pPr>
                    <w:adjustRightInd w:val="0"/>
                    <w:snapToGrid w:val="0"/>
                    <w:spacing w:line="320" w:lineRule="exact"/>
                    <w:rPr>
                      <w:szCs w:val="21"/>
                    </w:rPr>
                  </w:pPr>
                  <w:r>
                    <w:rPr>
                      <w:rFonts w:hAnsi="宋体"/>
                      <w:szCs w:val="21"/>
                    </w:rPr>
                    <w:t>严格控制天然气消耗总量和新鲜水消耗总量。规划实施不得突破有关部门制定的能源消耗上限、水资源消耗上限，确保规划实施后，区域大气和水环境质量保持稳中向好转变。</w:t>
                  </w:r>
                </w:p>
              </w:tc>
              <w:tc>
                <w:tcPr>
                  <w:tcW w:w="2262" w:type="dxa"/>
                  <w:vAlign w:val="center"/>
                </w:tcPr>
                <w:p w14:paraId="3C6EDF32">
                  <w:pPr>
                    <w:adjustRightInd w:val="0"/>
                    <w:snapToGrid w:val="0"/>
                    <w:spacing w:line="320" w:lineRule="exact"/>
                    <w:rPr>
                      <w:szCs w:val="21"/>
                    </w:rPr>
                  </w:pPr>
                  <w:r>
                    <w:rPr>
                      <w:rFonts w:hAnsi="宋体"/>
                      <w:bCs/>
                      <w:szCs w:val="21"/>
                    </w:rPr>
                    <w:t>拟建项目</w:t>
                  </w:r>
                  <w:r>
                    <w:rPr>
                      <w:rFonts w:hint="eastAsia" w:hAnsiTheme="minorEastAsia" w:eastAsiaTheme="minorEastAsia"/>
                      <w:spacing w:val="8"/>
                      <w:szCs w:val="21"/>
                    </w:rPr>
                    <w:t>仅食堂会用到天然气，仅有生活用水，无生产用水，</w:t>
                  </w:r>
                  <w:r>
                    <w:rPr>
                      <w:rFonts w:hAnsi="宋体"/>
                      <w:spacing w:val="8"/>
                      <w:szCs w:val="21"/>
                    </w:rPr>
                    <w:t>未突破</w:t>
                  </w:r>
                  <w:r>
                    <w:rPr>
                      <w:rFonts w:hint="eastAsia" w:hAnsiTheme="minorEastAsia" w:eastAsiaTheme="minorEastAsia"/>
                      <w:spacing w:val="8"/>
                      <w:szCs w:val="21"/>
                    </w:rPr>
                    <w:t>天然气和</w:t>
                  </w:r>
                  <w:r>
                    <w:rPr>
                      <w:rFonts w:hAnsi="宋体"/>
                      <w:szCs w:val="21"/>
                    </w:rPr>
                    <w:t>水资源消耗上限</w:t>
                  </w:r>
                  <w:r>
                    <w:rPr>
                      <w:rFonts w:hAnsi="宋体"/>
                      <w:spacing w:val="8"/>
                      <w:szCs w:val="21"/>
                    </w:rPr>
                    <w:t>。拟建项目建成投产后通过采取各项环保措施确保污染物达标排放，对区域环境质量影响较小。</w:t>
                  </w:r>
                </w:p>
              </w:tc>
              <w:tc>
                <w:tcPr>
                  <w:tcW w:w="731" w:type="dxa"/>
                  <w:vAlign w:val="center"/>
                </w:tcPr>
                <w:p w14:paraId="74D1AC71">
                  <w:pPr>
                    <w:pStyle w:val="76"/>
                    <w:jc w:val="center"/>
                    <w:rPr>
                      <w:rFonts w:eastAsia="宋体"/>
                      <w:sz w:val="21"/>
                      <w:szCs w:val="21"/>
                    </w:rPr>
                  </w:pPr>
                  <w:r>
                    <w:rPr>
                      <w:rFonts w:hAnsi="宋体" w:eastAsia="宋体"/>
                      <w:sz w:val="21"/>
                      <w:szCs w:val="21"/>
                    </w:rPr>
                    <w:t>符合</w:t>
                  </w:r>
                </w:p>
              </w:tc>
            </w:tr>
            <w:tr w14:paraId="74E1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restart"/>
                  <w:vAlign w:val="center"/>
                </w:tcPr>
                <w:p w14:paraId="338073ED">
                  <w:pPr>
                    <w:pStyle w:val="76"/>
                    <w:jc w:val="center"/>
                    <w:rPr>
                      <w:rFonts w:eastAsia="宋体"/>
                      <w:sz w:val="21"/>
                      <w:szCs w:val="21"/>
                    </w:rPr>
                  </w:pPr>
                  <w:r>
                    <w:rPr>
                      <w:rFonts w:hAnsi="宋体" w:eastAsia="宋体"/>
                      <w:sz w:val="21"/>
                      <w:szCs w:val="21"/>
                    </w:rPr>
                    <w:t>规划调整优化建议及实施的主要意见</w:t>
                  </w:r>
                </w:p>
              </w:tc>
              <w:tc>
                <w:tcPr>
                  <w:tcW w:w="4021" w:type="dxa"/>
                  <w:vAlign w:val="center"/>
                </w:tcPr>
                <w:p w14:paraId="4DF95D0C">
                  <w:pPr>
                    <w:adjustRightInd w:val="0"/>
                    <w:snapToGrid w:val="0"/>
                    <w:spacing w:line="320" w:lineRule="exact"/>
                    <w:rPr>
                      <w:szCs w:val="21"/>
                    </w:rPr>
                  </w:pPr>
                  <w:r>
                    <w:rPr>
                      <w:rFonts w:hAnsi="宋体"/>
                      <w:szCs w:val="21"/>
                    </w:rPr>
                    <w:t>严格执行负面清单：引进项目严格执行《报告书》提出的负面清单要求，不符合要求的企业项目禁止入园。禁止不符合国家产业政策的项目进入，限制高耗水、水污染物排放强度高的工业企业进入。大力发展循环经济，提高水资源重复利用率，减少废水排放量；提倡和鼓励企业进行中水回用；应禁止化学原料药企业，除已经批准电镀应急项目以外，规划区内不得再引入电镀项目；鉴于目前园区下游</w:t>
                  </w:r>
                  <w:r>
                    <w:rPr>
                      <w:szCs w:val="21"/>
                    </w:rPr>
                    <w:t>20km</w:t>
                  </w:r>
                  <w:r>
                    <w:rPr>
                      <w:rFonts w:hAnsi="宋体"/>
                      <w:szCs w:val="21"/>
                    </w:rPr>
                    <w:t>内分布有饮用水取水口，禁止新增排放重金属、剧毒物质和持久性有机污染物的企业。</w:t>
                  </w:r>
                </w:p>
              </w:tc>
              <w:tc>
                <w:tcPr>
                  <w:tcW w:w="2262" w:type="dxa"/>
                  <w:vAlign w:val="center"/>
                </w:tcPr>
                <w:p w14:paraId="7C262D99">
                  <w:pPr>
                    <w:adjustRightInd w:val="0"/>
                    <w:snapToGrid w:val="0"/>
                    <w:spacing w:line="320" w:lineRule="exact"/>
                    <w:rPr>
                      <w:szCs w:val="21"/>
                    </w:rPr>
                  </w:pPr>
                  <w:r>
                    <w:rPr>
                      <w:rFonts w:hAnsi="宋体"/>
                      <w:szCs w:val="21"/>
                    </w:rPr>
                    <w:t>拟建项目为</w:t>
                  </w:r>
                  <w:r>
                    <w:rPr>
                      <w:rFonts w:hint="eastAsia"/>
                      <w:szCs w:val="21"/>
                    </w:rPr>
                    <w:t>C2459其他玩具制造</w:t>
                  </w:r>
                  <w:r>
                    <w:rPr>
                      <w:rFonts w:hAnsi="宋体"/>
                      <w:szCs w:val="21"/>
                      <w:lang w:val="en-GB"/>
                    </w:rPr>
                    <w:t>，</w:t>
                  </w:r>
                  <w:r>
                    <w:rPr>
                      <w:rFonts w:hint="eastAsia" w:hAnsi="宋体"/>
                      <w:szCs w:val="21"/>
                      <w:lang w:val="en-GB"/>
                    </w:rPr>
                    <w:t>涉及印刷工艺</w:t>
                  </w:r>
                  <w:r>
                    <w:rPr>
                      <w:rFonts w:hint="eastAsia"/>
                      <w:spacing w:val="-2"/>
                      <w:szCs w:val="21"/>
                    </w:rPr>
                    <w:t>，</w:t>
                  </w:r>
                  <w:r>
                    <w:rPr>
                      <w:rFonts w:hAnsi="宋体"/>
                      <w:szCs w:val="21"/>
                    </w:rPr>
                    <w:t>不属于规划环评负面清单中的项目，项目符合国家产业政策。项目不属于高耗水、水污染物排放强度高的企业；且项目不涉及重金属、剧毒物质和持久性有机污染物排放。</w:t>
                  </w:r>
                </w:p>
              </w:tc>
              <w:tc>
                <w:tcPr>
                  <w:tcW w:w="731" w:type="dxa"/>
                  <w:vAlign w:val="center"/>
                </w:tcPr>
                <w:p w14:paraId="674CED31">
                  <w:pPr>
                    <w:pStyle w:val="76"/>
                    <w:jc w:val="center"/>
                    <w:rPr>
                      <w:rFonts w:eastAsia="宋体"/>
                      <w:sz w:val="21"/>
                      <w:szCs w:val="21"/>
                    </w:rPr>
                  </w:pPr>
                  <w:r>
                    <w:rPr>
                      <w:rFonts w:hAnsi="宋体" w:eastAsia="宋体"/>
                      <w:sz w:val="21"/>
                      <w:szCs w:val="21"/>
                    </w:rPr>
                    <w:t>符合</w:t>
                  </w:r>
                </w:p>
              </w:tc>
            </w:tr>
            <w:tr w14:paraId="3FA5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02BC8C46">
                  <w:pPr>
                    <w:pStyle w:val="76"/>
                    <w:jc w:val="center"/>
                    <w:rPr>
                      <w:rFonts w:eastAsia="宋体"/>
                      <w:sz w:val="21"/>
                      <w:szCs w:val="21"/>
                    </w:rPr>
                  </w:pPr>
                </w:p>
              </w:tc>
              <w:tc>
                <w:tcPr>
                  <w:tcW w:w="4021" w:type="dxa"/>
                  <w:vAlign w:val="center"/>
                </w:tcPr>
                <w:p w14:paraId="661DE77D">
                  <w:pPr>
                    <w:adjustRightInd w:val="0"/>
                    <w:snapToGrid w:val="0"/>
                    <w:spacing w:line="320" w:lineRule="exact"/>
                    <w:rPr>
                      <w:szCs w:val="21"/>
                      <w:highlight w:val="yellow"/>
                    </w:rPr>
                  </w:pPr>
                  <w:r>
                    <w:rPr>
                      <w:rFonts w:hAnsi="宋体"/>
                      <w:szCs w:val="21"/>
                    </w:rPr>
                    <w:t>优化园区空间布局：结合企业分布现状、气象条件、行业污染等特点，从环保角度进一步优化园区内产业用地布局。为避免工业、居住混杂局面，临近工业用地的地块不宜规划为居住用地性质，现已规划而尚未实施的，应尽量调整土地利用性质，对无法调整的，应强化企业污染防治，禁止污染大、易扰民的行业布局，并设置防护带。</w:t>
                  </w:r>
                </w:p>
              </w:tc>
              <w:tc>
                <w:tcPr>
                  <w:tcW w:w="2262" w:type="dxa"/>
                  <w:vAlign w:val="center"/>
                </w:tcPr>
                <w:p w14:paraId="728A2642">
                  <w:pPr>
                    <w:adjustRightInd w:val="0"/>
                    <w:snapToGrid w:val="0"/>
                    <w:spacing w:line="320" w:lineRule="exact"/>
                    <w:rPr>
                      <w:szCs w:val="21"/>
                      <w:highlight w:val="yellow"/>
                    </w:rPr>
                  </w:pPr>
                  <w:r>
                    <w:rPr>
                      <w:rFonts w:hAnsi="宋体"/>
                      <w:szCs w:val="21"/>
                    </w:rPr>
                    <w:t>拟建项目周边均为规划的工业用地，</w:t>
                  </w:r>
                  <w:r>
                    <w:rPr>
                      <w:szCs w:val="21"/>
                    </w:rPr>
                    <w:t>500m</w:t>
                  </w:r>
                  <w:r>
                    <w:rPr>
                      <w:rFonts w:hAnsi="宋体"/>
                      <w:szCs w:val="21"/>
                    </w:rPr>
                    <w:t>范围内无居民用地。且项目各污染物均能实现达标排放，项目对居民影响可接受。</w:t>
                  </w:r>
                </w:p>
              </w:tc>
              <w:tc>
                <w:tcPr>
                  <w:tcW w:w="731" w:type="dxa"/>
                  <w:vAlign w:val="center"/>
                </w:tcPr>
                <w:p w14:paraId="072C99CC">
                  <w:pPr>
                    <w:pStyle w:val="76"/>
                    <w:jc w:val="center"/>
                    <w:rPr>
                      <w:rFonts w:eastAsia="宋体"/>
                      <w:sz w:val="21"/>
                      <w:szCs w:val="21"/>
                    </w:rPr>
                  </w:pPr>
                  <w:r>
                    <w:rPr>
                      <w:rFonts w:hAnsi="宋体" w:eastAsia="宋体"/>
                      <w:sz w:val="21"/>
                      <w:szCs w:val="21"/>
                    </w:rPr>
                    <w:t>符合</w:t>
                  </w:r>
                </w:p>
              </w:tc>
            </w:tr>
            <w:tr w14:paraId="0825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5FE90F59">
                  <w:pPr>
                    <w:pStyle w:val="76"/>
                    <w:jc w:val="center"/>
                    <w:rPr>
                      <w:rFonts w:eastAsia="宋体"/>
                      <w:sz w:val="21"/>
                      <w:szCs w:val="21"/>
                    </w:rPr>
                  </w:pPr>
                </w:p>
              </w:tc>
              <w:tc>
                <w:tcPr>
                  <w:tcW w:w="4021" w:type="dxa"/>
                  <w:vAlign w:val="center"/>
                </w:tcPr>
                <w:p w14:paraId="287AD8E3">
                  <w:pPr>
                    <w:adjustRightInd w:val="0"/>
                    <w:snapToGrid w:val="0"/>
                    <w:spacing w:line="320" w:lineRule="exact"/>
                    <w:rPr>
                      <w:szCs w:val="21"/>
                    </w:rPr>
                  </w:pPr>
                  <w:r>
                    <w:rPr>
                      <w:rFonts w:hAnsi="宋体"/>
                      <w:szCs w:val="21"/>
                    </w:rPr>
                    <w:t>加强大气污染防治：加强工业企业大气污染综合治理，尤其是应推进挥发性有机物污染治理。规划区邻近涪陵新城区，提倡采用清洁能源，并禁止新建燃煤设施；装备制造业涉及喷漆工艺的，鼓励采用水性涂料、高固份涂料等环保涂料，其它涉及有机废气排放的，应加强有机废气防治，最大限度地减轻其影响。加强对区域内排放氯化氢企业的监管，落实污染防治措施，做到氯化氢的达标排放，减少无组织排放。</w:t>
                  </w:r>
                </w:p>
              </w:tc>
              <w:tc>
                <w:tcPr>
                  <w:tcW w:w="2262" w:type="dxa"/>
                  <w:vAlign w:val="center"/>
                </w:tcPr>
                <w:p w14:paraId="3BF97E88">
                  <w:pPr>
                    <w:adjustRightInd w:val="0"/>
                    <w:snapToGrid w:val="0"/>
                    <w:spacing w:line="320" w:lineRule="exact"/>
                    <w:rPr>
                      <w:szCs w:val="21"/>
                    </w:rPr>
                  </w:pPr>
                  <w:r>
                    <w:rPr>
                      <w:rFonts w:hAnsi="宋体"/>
                      <w:szCs w:val="21"/>
                    </w:rPr>
                    <w:t>拟建项目采用清洁能源电能，不产生氯化氢，产生的非甲烷总烃经收集处理达标后排放，对环境影响较小。废气中各污染物均能实现达标排放。</w:t>
                  </w:r>
                </w:p>
              </w:tc>
              <w:tc>
                <w:tcPr>
                  <w:tcW w:w="731" w:type="dxa"/>
                  <w:vAlign w:val="center"/>
                </w:tcPr>
                <w:p w14:paraId="4F1286B2">
                  <w:pPr>
                    <w:pStyle w:val="76"/>
                    <w:jc w:val="center"/>
                    <w:rPr>
                      <w:rFonts w:eastAsia="宋体"/>
                      <w:sz w:val="21"/>
                      <w:szCs w:val="21"/>
                    </w:rPr>
                  </w:pPr>
                  <w:r>
                    <w:rPr>
                      <w:rFonts w:hAnsi="宋体" w:eastAsia="宋体"/>
                      <w:sz w:val="21"/>
                      <w:szCs w:val="21"/>
                    </w:rPr>
                    <w:t>符合</w:t>
                  </w:r>
                </w:p>
              </w:tc>
            </w:tr>
            <w:tr w14:paraId="55AD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65CC282C">
                  <w:pPr>
                    <w:pStyle w:val="76"/>
                    <w:jc w:val="center"/>
                    <w:rPr>
                      <w:rFonts w:eastAsia="宋体"/>
                      <w:sz w:val="21"/>
                      <w:szCs w:val="21"/>
                    </w:rPr>
                  </w:pPr>
                </w:p>
              </w:tc>
              <w:tc>
                <w:tcPr>
                  <w:tcW w:w="4021" w:type="dxa"/>
                  <w:vAlign w:val="center"/>
                </w:tcPr>
                <w:p w14:paraId="193D132E">
                  <w:pPr>
                    <w:adjustRightInd w:val="0"/>
                    <w:snapToGrid w:val="0"/>
                    <w:spacing w:line="320" w:lineRule="exact"/>
                    <w:rPr>
                      <w:szCs w:val="21"/>
                    </w:rPr>
                  </w:pPr>
                  <w:r>
                    <w:rPr>
                      <w:rFonts w:hAnsi="宋体"/>
                      <w:szCs w:val="21"/>
                    </w:rPr>
                    <w:t>加强水环境保护：李渡组团宜进行整体规划和考虑，合理确定大耍坝污水处理总规模；根据片区及周边区域开发进度、污水排放状况及时扩建大要坝污水处理厂；污水处理厂厂界</w:t>
                  </w:r>
                  <w:r>
                    <w:rPr>
                      <w:szCs w:val="21"/>
                    </w:rPr>
                    <w:t>200m</w:t>
                  </w:r>
                  <w:r>
                    <w:rPr>
                      <w:rFonts w:hAnsi="宋体"/>
                      <w:szCs w:val="21"/>
                    </w:rPr>
                    <w:t>范围内的西侧及西南侧规划居住用地应暂缓建设实施，待污水厂远期卫生防护距离的具体范围确定后再行规划建设。加快园区内截污管网工程建设，同时，对破损管网进行修复改造，减少污水管网漏失，提高污水集中收集率、处理率。加强对园区污水处理厂的运行维护和管理，确保废水稳定达标排放。</w:t>
                  </w:r>
                </w:p>
              </w:tc>
              <w:tc>
                <w:tcPr>
                  <w:tcW w:w="2262" w:type="dxa"/>
                  <w:vAlign w:val="center"/>
                </w:tcPr>
                <w:p w14:paraId="1A1EBB50">
                  <w:pPr>
                    <w:adjustRightInd w:val="0"/>
                    <w:snapToGrid w:val="0"/>
                    <w:spacing w:line="320" w:lineRule="exact"/>
                    <w:jc w:val="left"/>
                    <w:rPr>
                      <w:szCs w:val="21"/>
                    </w:rPr>
                  </w:pPr>
                  <w:r>
                    <w:rPr>
                      <w:rFonts w:hAnsi="宋体"/>
                      <w:szCs w:val="21"/>
                    </w:rPr>
                    <w:t>拟建项目无生产工艺废水产生，</w:t>
                  </w:r>
                  <w:r>
                    <w:rPr>
                      <w:rFonts w:hint="eastAsia" w:hAnsi="宋体"/>
                      <w:kern w:val="0"/>
                      <w:szCs w:val="21"/>
                    </w:rPr>
                    <w:t>食堂废水经隔油池处理后同员工</w:t>
                  </w:r>
                  <w:r>
                    <w:rPr>
                      <w:rFonts w:hAnsi="宋体"/>
                      <w:kern w:val="0"/>
                      <w:szCs w:val="21"/>
                    </w:rPr>
                    <w:t>生活污水、地面清洁废水</w:t>
                  </w:r>
                  <w:r>
                    <w:rPr>
                      <w:rFonts w:hAnsiTheme="minorEastAsia" w:eastAsiaTheme="minorEastAsia"/>
                      <w:kern w:val="0"/>
                      <w:szCs w:val="21"/>
                    </w:rPr>
                    <w:t>、循环冷却水系统排污水</w:t>
                  </w:r>
                  <w:r>
                    <w:rPr>
                      <w:rFonts w:hint="eastAsia" w:hAnsi="宋体"/>
                      <w:kern w:val="0"/>
                      <w:szCs w:val="21"/>
                    </w:rPr>
                    <w:t>一并进入厂区</w:t>
                  </w:r>
                  <w:r>
                    <w:rPr>
                      <w:rFonts w:hAnsi="宋体"/>
                      <w:kern w:val="0"/>
                      <w:szCs w:val="21"/>
                    </w:rPr>
                    <w:t>生化池处理</w:t>
                  </w:r>
                  <w:r>
                    <w:rPr>
                      <w:rFonts w:hAnsi="宋体"/>
                      <w:szCs w:val="21"/>
                    </w:rPr>
                    <w:t>达《污水综合排放标准》（</w:t>
                  </w:r>
                  <w:r>
                    <w:rPr>
                      <w:szCs w:val="21"/>
                    </w:rPr>
                    <w:t>GB8978-1996</w:t>
                  </w:r>
                  <w:r>
                    <w:rPr>
                      <w:rFonts w:hAnsi="宋体"/>
                      <w:szCs w:val="21"/>
                    </w:rPr>
                    <w:t>）三级标准后通过园区污水管网进入大耍坝污水处理厂处理达《城镇污水处理厂污染物排放标准》（</w:t>
                  </w:r>
                  <w:r>
                    <w:rPr>
                      <w:szCs w:val="21"/>
                    </w:rPr>
                    <w:t>GB18918-2002</w:t>
                  </w:r>
                  <w:r>
                    <w:rPr>
                      <w:rFonts w:hAnsi="宋体"/>
                      <w:szCs w:val="21"/>
                    </w:rPr>
                    <w:t>）一级</w:t>
                  </w:r>
                  <w:r>
                    <w:rPr>
                      <w:szCs w:val="21"/>
                    </w:rPr>
                    <w:t>B</w:t>
                  </w:r>
                  <w:r>
                    <w:rPr>
                      <w:rFonts w:hAnsi="宋体"/>
                      <w:szCs w:val="21"/>
                    </w:rPr>
                    <w:t>标后排入长江。</w:t>
                  </w:r>
                </w:p>
              </w:tc>
              <w:tc>
                <w:tcPr>
                  <w:tcW w:w="731" w:type="dxa"/>
                  <w:vAlign w:val="center"/>
                </w:tcPr>
                <w:p w14:paraId="6C64E5A3">
                  <w:pPr>
                    <w:jc w:val="center"/>
                    <w:rPr>
                      <w:szCs w:val="21"/>
                    </w:rPr>
                  </w:pPr>
                  <w:r>
                    <w:rPr>
                      <w:rFonts w:hAnsi="宋体"/>
                      <w:szCs w:val="21"/>
                    </w:rPr>
                    <w:t>符合</w:t>
                  </w:r>
                </w:p>
              </w:tc>
            </w:tr>
            <w:tr w14:paraId="5E9A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50415861">
                  <w:pPr>
                    <w:pStyle w:val="76"/>
                    <w:jc w:val="center"/>
                    <w:rPr>
                      <w:rFonts w:eastAsia="宋体"/>
                      <w:sz w:val="21"/>
                      <w:szCs w:val="21"/>
                    </w:rPr>
                  </w:pPr>
                </w:p>
              </w:tc>
              <w:tc>
                <w:tcPr>
                  <w:tcW w:w="4021" w:type="dxa"/>
                  <w:vAlign w:val="center"/>
                </w:tcPr>
                <w:p w14:paraId="3E3898C1">
                  <w:pPr>
                    <w:adjustRightInd w:val="0"/>
                    <w:snapToGrid w:val="0"/>
                    <w:spacing w:line="320" w:lineRule="exact"/>
                    <w:rPr>
                      <w:szCs w:val="21"/>
                    </w:rPr>
                  </w:pPr>
                  <w:r>
                    <w:rPr>
                      <w:rFonts w:hAnsi="宋体"/>
                      <w:szCs w:val="21"/>
                    </w:rPr>
                    <w:t>妥善处理固体废物：李渡组团应根据固体废物产生情况实施一般工业固体废物处理设施建设，并按照《一般工业固体废物贮存、处置场污染控制标准》</w:t>
                  </w:r>
                  <w:r>
                    <w:rPr>
                      <w:szCs w:val="21"/>
                    </w:rPr>
                    <w:t>(GB18599-2001)</w:t>
                  </w:r>
                  <w:r>
                    <w:rPr>
                      <w:rFonts w:hAnsi="宋体"/>
                      <w:szCs w:val="21"/>
                    </w:rPr>
                    <w:t>及</w:t>
                  </w:r>
                  <w:r>
                    <w:rPr>
                      <w:szCs w:val="21"/>
                    </w:rPr>
                    <w:t>2013</w:t>
                  </w:r>
                  <w:r>
                    <w:rPr>
                      <w:rFonts w:hAnsi="宋体"/>
                      <w:szCs w:val="21"/>
                    </w:rPr>
                    <w:t>年修订要求进行一般工业固体废物贮存、处置场的选址、设计、运行管理等。</w:t>
                  </w:r>
                </w:p>
              </w:tc>
              <w:tc>
                <w:tcPr>
                  <w:tcW w:w="2262" w:type="dxa"/>
                  <w:vAlign w:val="center"/>
                </w:tcPr>
                <w:p w14:paraId="2E3AE14F">
                  <w:pPr>
                    <w:adjustRightInd w:val="0"/>
                    <w:snapToGrid w:val="0"/>
                    <w:spacing w:line="320" w:lineRule="exact"/>
                    <w:rPr>
                      <w:szCs w:val="21"/>
                    </w:rPr>
                  </w:pPr>
                  <w:r>
                    <w:rPr>
                      <w:rFonts w:hAnsi="宋体"/>
                      <w:szCs w:val="21"/>
                    </w:rPr>
                    <w:t>拟建项目一般工业固体废物合理处置，生活垃圾交由环卫部门统一收运处置，危险废物交由有危废处置资质的单位处理，各类固体废物均能妥善处置。</w:t>
                  </w:r>
                </w:p>
              </w:tc>
              <w:tc>
                <w:tcPr>
                  <w:tcW w:w="731" w:type="dxa"/>
                  <w:vAlign w:val="center"/>
                </w:tcPr>
                <w:p w14:paraId="3F6EA307">
                  <w:pPr>
                    <w:jc w:val="center"/>
                    <w:rPr>
                      <w:szCs w:val="21"/>
                    </w:rPr>
                  </w:pPr>
                  <w:r>
                    <w:rPr>
                      <w:rFonts w:hAnsi="宋体"/>
                      <w:szCs w:val="21"/>
                    </w:rPr>
                    <w:t>符合</w:t>
                  </w:r>
                </w:p>
              </w:tc>
            </w:tr>
            <w:tr w14:paraId="45BE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6FA39112">
                  <w:pPr>
                    <w:pStyle w:val="76"/>
                    <w:jc w:val="center"/>
                    <w:rPr>
                      <w:rFonts w:eastAsia="宋体"/>
                      <w:sz w:val="21"/>
                      <w:szCs w:val="21"/>
                    </w:rPr>
                  </w:pPr>
                </w:p>
              </w:tc>
              <w:tc>
                <w:tcPr>
                  <w:tcW w:w="4021" w:type="dxa"/>
                  <w:vAlign w:val="center"/>
                </w:tcPr>
                <w:p w14:paraId="4BA7FA30">
                  <w:pPr>
                    <w:adjustRightInd w:val="0"/>
                    <w:snapToGrid w:val="0"/>
                    <w:spacing w:line="320" w:lineRule="exact"/>
                    <w:rPr>
                      <w:szCs w:val="21"/>
                    </w:rPr>
                  </w:pPr>
                  <w:r>
                    <w:rPr>
                      <w:rFonts w:hAnsi="宋体"/>
                      <w:szCs w:val="21"/>
                    </w:rPr>
                    <w:t>强化环境风险防范：环境风险防范是重要的环保工作内容，应在现有基础上完善环境风险防范体系建设，防范突发性环境风险事故发生。</w:t>
                  </w:r>
                </w:p>
              </w:tc>
              <w:tc>
                <w:tcPr>
                  <w:tcW w:w="2262" w:type="dxa"/>
                  <w:vAlign w:val="center"/>
                </w:tcPr>
                <w:p w14:paraId="08D3AB19">
                  <w:pPr>
                    <w:adjustRightInd w:val="0"/>
                    <w:snapToGrid w:val="0"/>
                    <w:spacing w:line="320" w:lineRule="exact"/>
                    <w:rPr>
                      <w:szCs w:val="21"/>
                    </w:rPr>
                  </w:pPr>
                  <w:r>
                    <w:rPr>
                      <w:rFonts w:hAnsi="宋体"/>
                      <w:szCs w:val="21"/>
                    </w:rPr>
                    <w:t>拟建项目投运后应进行环境风险防范体系建设及加强应急措施</w:t>
                  </w:r>
                </w:p>
              </w:tc>
              <w:tc>
                <w:tcPr>
                  <w:tcW w:w="731" w:type="dxa"/>
                  <w:vAlign w:val="center"/>
                </w:tcPr>
                <w:p w14:paraId="2B41DE76">
                  <w:pPr>
                    <w:jc w:val="center"/>
                    <w:rPr>
                      <w:szCs w:val="21"/>
                    </w:rPr>
                  </w:pPr>
                  <w:r>
                    <w:rPr>
                      <w:rFonts w:hAnsi="宋体"/>
                      <w:szCs w:val="21"/>
                    </w:rPr>
                    <w:t>符合</w:t>
                  </w:r>
                </w:p>
              </w:tc>
            </w:tr>
            <w:tr w14:paraId="0CB0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249A5D45">
                  <w:pPr>
                    <w:pStyle w:val="76"/>
                    <w:jc w:val="center"/>
                    <w:rPr>
                      <w:rFonts w:eastAsia="宋体"/>
                      <w:sz w:val="21"/>
                      <w:szCs w:val="21"/>
                    </w:rPr>
                  </w:pPr>
                </w:p>
              </w:tc>
              <w:tc>
                <w:tcPr>
                  <w:tcW w:w="4021" w:type="dxa"/>
                  <w:vAlign w:val="center"/>
                </w:tcPr>
                <w:p w14:paraId="14AFA872">
                  <w:pPr>
                    <w:adjustRightInd w:val="0"/>
                    <w:snapToGrid w:val="0"/>
                    <w:spacing w:line="320" w:lineRule="exact"/>
                    <w:rPr>
                      <w:szCs w:val="21"/>
                    </w:rPr>
                  </w:pPr>
                  <w:r>
                    <w:rPr>
                      <w:rFonts w:hAnsi="宋体"/>
                      <w:szCs w:val="21"/>
                    </w:rPr>
                    <w:t>严格执行环评和</w:t>
                  </w:r>
                  <w:r>
                    <w:rPr>
                      <w:szCs w:val="21"/>
                    </w:rPr>
                    <w:t>“</w:t>
                  </w:r>
                  <w:r>
                    <w:rPr>
                      <w:rFonts w:hAnsi="宋体"/>
                      <w:szCs w:val="21"/>
                    </w:rPr>
                    <w:t>三同时</w:t>
                  </w:r>
                  <w:r>
                    <w:rPr>
                      <w:szCs w:val="21"/>
                    </w:rPr>
                    <w:t>”</w:t>
                  </w:r>
                  <w:r>
                    <w:rPr>
                      <w:rFonts w:hAnsi="宋体"/>
                      <w:szCs w:val="21"/>
                    </w:rPr>
                    <w:t>制度：规划区的入驻建设项目应严格执行环境影响评价和环保</w:t>
                  </w:r>
                  <w:r>
                    <w:rPr>
                      <w:szCs w:val="21"/>
                    </w:rPr>
                    <w:t>“</w:t>
                  </w:r>
                  <w:r>
                    <w:rPr>
                      <w:rFonts w:hAnsi="宋体"/>
                      <w:szCs w:val="21"/>
                    </w:rPr>
                    <w:t>三同时</w:t>
                  </w:r>
                  <w:r>
                    <w:rPr>
                      <w:szCs w:val="21"/>
                    </w:rPr>
                    <w:t>”</w:t>
                  </w:r>
                  <w:r>
                    <w:rPr>
                      <w:rFonts w:hAnsi="宋体"/>
                      <w:szCs w:val="21"/>
                    </w:rPr>
                    <w:t>制度，按规定办理建设项目环评审批和环保验收手续。入园建设项目应符合规划环评结论要求。单个项目环评可在根据本规划环评报告书有关内容或结论的基础上适当简化。规划实施后，按照规定要求适时开展环境影响跟踪评价。</w:t>
                  </w:r>
                </w:p>
              </w:tc>
              <w:tc>
                <w:tcPr>
                  <w:tcW w:w="2262" w:type="dxa"/>
                  <w:vAlign w:val="center"/>
                </w:tcPr>
                <w:p w14:paraId="30A600BD">
                  <w:pPr>
                    <w:adjustRightInd w:val="0"/>
                    <w:snapToGrid w:val="0"/>
                    <w:spacing w:line="320" w:lineRule="exact"/>
                    <w:rPr>
                      <w:szCs w:val="21"/>
                    </w:rPr>
                  </w:pPr>
                  <w:r>
                    <w:rPr>
                      <w:rFonts w:hAnsi="宋体"/>
                      <w:szCs w:val="21"/>
                    </w:rPr>
                    <w:t>拟建项目正在按要求办理环评手续，将严格执行</w:t>
                  </w:r>
                  <w:r>
                    <w:rPr>
                      <w:szCs w:val="21"/>
                    </w:rPr>
                    <w:t>“</w:t>
                  </w:r>
                  <w:r>
                    <w:rPr>
                      <w:rFonts w:hAnsi="宋体"/>
                      <w:szCs w:val="21"/>
                    </w:rPr>
                    <w:t>三同时</w:t>
                  </w:r>
                  <w:r>
                    <w:rPr>
                      <w:szCs w:val="21"/>
                    </w:rPr>
                    <w:t>”</w:t>
                  </w:r>
                  <w:r>
                    <w:rPr>
                      <w:rFonts w:hAnsi="宋体"/>
                      <w:szCs w:val="21"/>
                    </w:rPr>
                    <w:t>制度。</w:t>
                  </w:r>
                </w:p>
              </w:tc>
              <w:tc>
                <w:tcPr>
                  <w:tcW w:w="731" w:type="dxa"/>
                  <w:vAlign w:val="center"/>
                </w:tcPr>
                <w:p w14:paraId="01F45626">
                  <w:pPr>
                    <w:jc w:val="center"/>
                    <w:rPr>
                      <w:szCs w:val="21"/>
                    </w:rPr>
                  </w:pPr>
                  <w:r>
                    <w:rPr>
                      <w:rFonts w:hAnsi="宋体"/>
                      <w:szCs w:val="21"/>
                    </w:rPr>
                    <w:t>符合</w:t>
                  </w:r>
                </w:p>
              </w:tc>
            </w:tr>
          </w:tbl>
          <w:p w14:paraId="6E1CBD05">
            <w:pPr>
              <w:snapToGrid w:val="0"/>
              <w:spacing w:line="480" w:lineRule="exact"/>
              <w:ind w:firstLine="480" w:firstLineChars="200"/>
              <w:jc w:val="left"/>
              <w:rPr>
                <w:sz w:val="24"/>
              </w:rPr>
            </w:pPr>
          </w:p>
        </w:tc>
      </w:tr>
    </w:tbl>
    <w:p w14:paraId="7E057FF7">
      <w:pPr>
        <w:pStyle w:val="20"/>
        <w:jc w:val="center"/>
        <w:outlineLvl w:val="0"/>
        <w:rPr>
          <w:rFonts w:ascii="黑体" w:hAnsi="黑体" w:eastAsia="黑体"/>
          <w:snapToGrid w:val="0"/>
          <w:sz w:val="30"/>
          <w:szCs w:val="30"/>
        </w:rPr>
        <w:sectPr>
          <w:footerReference r:id="rId3" w:type="default"/>
          <w:pgSz w:w="11906" w:h="16838"/>
          <w:pgMar w:top="1701" w:right="1531" w:bottom="1701" w:left="1531" w:header="851" w:footer="851" w:gutter="0"/>
          <w:cols w:space="720" w:num="1"/>
          <w:docGrid w:linePitch="312" w:charSpace="0"/>
        </w:sectPr>
      </w:pPr>
    </w:p>
    <w:tbl>
      <w:tblPr>
        <w:tblStyle w:val="24"/>
        <w:tblW w:w="145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2979"/>
      </w:tblGrid>
      <w:tr w14:paraId="1E6AF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22" w:type="dxa"/>
            <w:vAlign w:val="center"/>
          </w:tcPr>
          <w:p w14:paraId="182076F6">
            <w:pPr>
              <w:autoSpaceDE w:val="0"/>
              <w:autoSpaceDN w:val="0"/>
              <w:adjustRightInd w:val="0"/>
              <w:snapToGrid w:val="0"/>
              <w:jc w:val="center"/>
              <w:rPr>
                <w:rFonts w:ascii="宋体" w:hAnsi="宋体" w:cs="宋体"/>
                <w:kern w:val="0"/>
                <w:sz w:val="24"/>
              </w:rPr>
            </w:pPr>
            <w:r>
              <w:rPr>
                <w:rFonts w:hint="eastAsia" w:ascii="宋体" w:hAnsi="宋体" w:cs="宋体"/>
                <w:kern w:val="0"/>
                <w:sz w:val="24"/>
              </w:rPr>
              <w:t>合性分析</w:t>
            </w:r>
          </w:p>
        </w:tc>
        <w:tc>
          <w:tcPr>
            <w:tcW w:w="12979" w:type="dxa"/>
            <w:vAlign w:val="center"/>
          </w:tcPr>
          <w:p w14:paraId="330E5412">
            <w:pPr>
              <w:spacing w:line="500" w:lineRule="exact"/>
              <w:rPr>
                <w:b/>
                <w:spacing w:val="-2"/>
                <w:sz w:val="24"/>
              </w:rPr>
            </w:pPr>
            <w:r>
              <w:rPr>
                <w:rFonts w:hint="eastAsia"/>
                <w:b/>
                <w:spacing w:val="-2"/>
                <w:sz w:val="24"/>
              </w:rPr>
              <w:t>1.2其他符合性分析</w:t>
            </w:r>
          </w:p>
          <w:p w14:paraId="75E71C9E">
            <w:pPr>
              <w:spacing w:line="500" w:lineRule="exact"/>
              <w:ind w:firstLine="474" w:firstLineChars="200"/>
              <w:rPr>
                <w:b/>
                <w:spacing w:val="-2"/>
                <w:sz w:val="24"/>
              </w:rPr>
            </w:pPr>
            <w:r>
              <w:rPr>
                <w:rFonts w:hint="eastAsia"/>
                <w:b/>
                <w:spacing w:val="-2"/>
                <w:sz w:val="24"/>
              </w:rPr>
              <w:t>1.2.1“三线一单”符合性分析</w:t>
            </w:r>
          </w:p>
          <w:p w14:paraId="081E6E1D">
            <w:pPr>
              <w:autoSpaceDE w:val="0"/>
              <w:autoSpaceDN w:val="0"/>
              <w:adjustRightInd w:val="0"/>
              <w:spacing w:line="480" w:lineRule="exact"/>
              <w:ind w:firstLine="472" w:firstLineChars="200"/>
              <w:jc w:val="left"/>
              <w:rPr>
                <w:sz w:val="24"/>
              </w:rPr>
            </w:pPr>
            <w:r>
              <w:rPr>
                <w:rFonts w:hAnsiTheme="minorEastAsia" w:eastAsiaTheme="minorEastAsia"/>
                <w:spacing w:val="-2"/>
                <w:sz w:val="24"/>
              </w:rPr>
              <w:t>本项目位于</w:t>
            </w:r>
            <w:r>
              <w:rPr>
                <w:rFonts w:hint="eastAsia"/>
                <w:sz w:val="24"/>
              </w:rPr>
              <w:t>重庆市涪陵区鹤凤大道33号</w:t>
            </w:r>
            <w:r>
              <w:rPr>
                <w:rFonts w:hAnsiTheme="minorEastAsia" w:eastAsiaTheme="minorEastAsia"/>
                <w:sz w:val="24"/>
              </w:rPr>
              <w:t>，属于涪陵区重点管控单元</w:t>
            </w:r>
            <w:r>
              <w:rPr>
                <w:rFonts w:eastAsiaTheme="minorEastAsia"/>
                <w:sz w:val="24"/>
              </w:rPr>
              <w:t>2-</w:t>
            </w:r>
            <w:r>
              <w:rPr>
                <w:rFonts w:hAnsiTheme="minorEastAsia" w:eastAsiaTheme="minorEastAsia"/>
                <w:sz w:val="24"/>
              </w:rPr>
              <w:t>长江二桥（涉及</w:t>
            </w:r>
            <w:r>
              <w:rPr>
                <w:rFonts w:hAnsiTheme="minorEastAsia" w:eastAsiaTheme="minorEastAsia"/>
                <w:kern w:val="0"/>
                <w:sz w:val="24"/>
              </w:rPr>
              <w:t>李渡、龙桥、马鞍街道</w:t>
            </w:r>
            <w:r>
              <w:rPr>
                <w:rFonts w:hAnsiTheme="minorEastAsia" w:eastAsiaTheme="minorEastAsia"/>
                <w:sz w:val="24"/>
              </w:rPr>
              <w:t>）（环境管控单元编码：</w:t>
            </w:r>
            <w:r>
              <w:rPr>
                <w:rFonts w:eastAsiaTheme="minorEastAsia"/>
                <w:kern w:val="0"/>
                <w:sz w:val="24"/>
              </w:rPr>
              <w:t>ZH50010220002</w:t>
            </w:r>
            <w:r>
              <w:rPr>
                <w:rFonts w:hAnsiTheme="minorEastAsia" w:eastAsiaTheme="minorEastAsia"/>
                <w:sz w:val="24"/>
              </w:rPr>
              <w:t>），</w:t>
            </w:r>
            <w:r>
              <w:rPr>
                <w:rFonts w:hint="eastAsia" w:hAnsi="宋体"/>
                <w:sz w:val="24"/>
              </w:rPr>
              <w:t>详见三线一单检测分析报告（附件12）。</w:t>
            </w:r>
            <w:r>
              <w:rPr>
                <w:sz w:val="24"/>
              </w:rPr>
              <w:t>根据“关于印发《建设项目环评“三线一单”符合性分析技术要点（试行）》的通知”（渝环函〔2022〕397号），</w:t>
            </w:r>
            <w:r>
              <w:rPr>
                <w:bCs/>
                <w:sz w:val="24"/>
              </w:rPr>
              <w:t>建设项目与“三线一单”管控要求的符合性分析</w:t>
            </w:r>
            <w:r>
              <w:rPr>
                <w:sz w:val="24"/>
              </w:rPr>
              <w:t>见下表</w:t>
            </w:r>
            <w:r>
              <w:rPr>
                <w:rFonts w:hint="eastAsia"/>
                <w:sz w:val="24"/>
              </w:rPr>
              <w:t>1.2-1</w:t>
            </w:r>
            <w:r>
              <w:rPr>
                <w:sz w:val="24"/>
              </w:rPr>
              <w:t>。</w:t>
            </w:r>
          </w:p>
          <w:p w14:paraId="38E9983D">
            <w:pPr>
              <w:adjustRightInd w:val="0"/>
              <w:snapToGrid w:val="0"/>
              <w:spacing w:line="480" w:lineRule="exact"/>
              <w:jc w:val="center"/>
              <w:rPr>
                <w:rFonts w:hAnsi="宋体"/>
                <w:b/>
                <w:bCs/>
                <w:szCs w:val="21"/>
              </w:rPr>
            </w:pPr>
            <w:r>
              <w:rPr>
                <w:rFonts w:hAnsi="宋体"/>
                <w:b/>
                <w:szCs w:val="21"/>
              </w:rPr>
              <w:t>表</w:t>
            </w:r>
            <w:r>
              <w:rPr>
                <w:rFonts w:hint="eastAsia"/>
                <w:b/>
                <w:szCs w:val="21"/>
              </w:rPr>
              <w:t>1.2-1</w:t>
            </w:r>
            <w:r>
              <w:rPr>
                <w:b/>
                <w:szCs w:val="21"/>
              </w:rPr>
              <w:t xml:space="preserve"> </w:t>
            </w:r>
            <w:r>
              <w:rPr>
                <w:rFonts w:hint="eastAsia" w:hAnsi="宋体"/>
                <w:b/>
                <w:bCs/>
                <w:szCs w:val="21"/>
              </w:rPr>
              <w:t>建设项目与“三线一单”管控要求的符合性分析</w:t>
            </w:r>
          </w:p>
          <w:tbl>
            <w:tblPr>
              <w:tblStyle w:val="24"/>
              <w:tblW w:w="12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54"/>
              <w:gridCol w:w="7913"/>
              <w:gridCol w:w="2268"/>
              <w:gridCol w:w="736"/>
            </w:tblGrid>
            <w:tr w14:paraId="1E6D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68" w:type="pct"/>
                  <w:gridSpan w:val="2"/>
                  <w:vAlign w:val="center"/>
                </w:tcPr>
                <w:p w14:paraId="4DC3C564">
                  <w:pPr>
                    <w:pStyle w:val="7"/>
                    <w:spacing w:before="0" w:after="0" w:line="240" w:lineRule="auto"/>
                    <w:jc w:val="center"/>
                    <w:rPr>
                      <w:rFonts w:eastAsiaTheme="minorEastAsia"/>
                      <w:sz w:val="21"/>
                      <w:szCs w:val="21"/>
                    </w:rPr>
                  </w:pPr>
                  <w:r>
                    <w:rPr>
                      <w:rFonts w:hAnsiTheme="minorEastAsia" w:eastAsiaTheme="minorEastAsia"/>
                      <w:sz w:val="21"/>
                      <w:szCs w:val="21"/>
                    </w:rPr>
                    <w:t>环境管控单元编码</w:t>
                  </w:r>
                </w:p>
              </w:tc>
              <w:tc>
                <w:tcPr>
                  <w:tcW w:w="3140" w:type="pct"/>
                  <w:vAlign w:val="center"/>
                </w:tcPr>
                <w:p w14:paraId="42004F46">
                  <w:pPr>
                    <w:pStyle w:val="7"/>
                    <w:spacing w:before="0" w:after="0" w:line="240" w:lineRule="auto"/>
                    <w:jc w:val="center"/>
                    <w:rPr>
                      <w:rFonts w:eastAsiaTheme="minorEastAsia"/>
                      <w:sz w:val="21"/>
                      <w:szCs w:val="21"/>
                    </w:rPr>
                  </w:pPr>
                  <w:r>
                    <w:rPr>
                      <w:rFonts w:hAnsiTheme="minorEastAsia" w:eastAsiaTheme="minorEastAsia"/>
                      <w:sz w:val="21"/>
                      <w:szCs w:val="21"/>
                    </w:rPr>
                    <w:t>环境管控单元名称</w:t>
                  </w:r>
                </w:p>
              </w:tc>
              <w:tc>
                <w:tcPr>
                  <w:tcW w:w="1192" w:type="pct"/>
                  <w:gridSpan w:val="2"/>
                  <w:vAlign w:val="center"/>
                </w:tcPr>
                <w:p w14:paraId="572D264C">
                  <w:pPr>
                    <w:pStyle w:val="7"/>
                    <w:spacing w:before="0" w:after="0" w:line="240" w:lineRule="auto"/>
                    <w:jc w:val="center"/>
                    <w:rPr>
                      <w:rFonts w:eastAsiaTheme="minorEastAsia"/>
                      <w:sz w:val="21"/>
                      <w:szCs w:val="21"/>
                    </w:rPr>
                  </w:pPr>
                  <w:r>
                    <w:rPr>
                      <w:rFonts w:hAnsiTheme="minorEastAsia" w:eastAsiaTheme="minorEastAsia"/>
                      <w:sz w:val="21"/>
                      <w:szCs w:val="21"/>
                    </w:rPr>
                    <w:t>环境管控单元类型</w:t>
                  </w:r>
                </w:p>
              </w:tc>
            </w:tr>
            <w:tr w14:paraId="0B56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68" w:type="pct"/>
                  <w:gridSpan w:val="2"/>
                  <w:vAlign w:val="center"/>
                </w:tcPr>
                <w:p w14:paraId="6F94B740">
                  <w:pPr>
                    <w:pStyle w:val="7"/>
                    <w:spacing w:before="0" w:after="0" w:line="240" w:lineRule="auto"/>
                    <w:jc w:val="center"/>
                    <w:rPr>
                      <w:rFonts w:eastAsiaTheme="minorEastAsia"/>
                      <w:sz w:val="21"/>
                      <w:szCs w:val="21"/>
                    </w:rPr>
                  </w:pPr>
                  <w:r>
                    <w:rPr>
                      <w:rFonts w:eastAsiaTheme="minorEastAsia"/>
                      <w:sz w:val="21"/>
                      <w:szCs w:val="21"/>
                    </w:rPr>
                    <w:t>ZH50010220002</w:t>
                  </w:r>
                </w:p>
              </w:tc>
              <w:tc>
                <w:tcPr>
                  <w:tcW w:w="3140" w:type="pct"/>
                  <w:vAlign w:val="center"/>
                </w:tcPr>
                <w:p w14:paraId="6B2A6135">
                  <w:pPr>
                    <w:pStyle w:val="7"/>
                    <w:spacing w:before="0" w:after="0" w:line="240" w:lineRule="auto"/>
                    <w:jc w:val="center"/>
                    <w:rPr>
                      <w:rFonts w:eastAsiaTheme="minorEastAsia"/>
                      <w:sz w:val="21"/>
                      <w:szCs w:val="21"/>
                    </w:rPr>
                  </w:pPr>
                  <w:r>
                    <w:rPr>
                      <w:rFonts w:hAnsiTheme="minorEastAsia" w:eastAsiaTheme="minorEastAsia"/>
                      <w:sz w:val="21"/>
                      <w:szCs w:val="21"/>
                    </w:rPr>
                    <w:t>涪陵区重点管控单元</w:t>
                  </w:r>
                  <w:r>
                    <w:rPr>
                      <w:rFonts w:eastAsiaTheme="minorEastAsia"/>
                      <w:sz w:val="21"/>
                      <w:szCs w:val="21"/>
                    </w:rPr>
                    <w:t>2-</w:t>
                  </w:r>
                  <w:r>
                    <w:rPr>
                      <w:rFonts w:hAnsiTheme="minorEastAsia" w:eastAsiaTheme="minorEastAsia"/>
                      <w:sz w:val="21"/>
                      <w:szCs w:val="21"/>
                    </w:rPr>
                    <w:t>长江二桥（涉及李渡、龙桥、马鞍街道）</w:t>
                  </w:r>
                </w:p>
              </w:tc>
              <w:tc>
                <w:tcPr>
                  <w:tcW w:w="1192" w:type="pct"/>
                  <w:gridSpan w:val="2"/>
                  <w:vAlign w:val="center"/>
                </w:tcPr>
                <w:p w14:paraId="15454398">
                  <w:pPr>
                    <w:pStyle w:val="7"/>
                    <w:spacing w:before="0" w:after="0" w:line="240" w:lineRule="auto"/>
                    <w:jc w:val="center"/>
                    <w:rPr>
                      <w:rFonts w:eastAsiaTheme="minorEastAsia"/>
                      <w:sz w:val="21"/>
                      <w:szCs w:val="21"/>
                    </w:rPr>
                  </w:pPr>
                  <w:r>
                    <w:rPr>
                      <w:rFonts w:hAnsiTheme="minorEastAsia" w:eastAsiaTheme="minorEastAsia"/>
                      <w:sz w:val="21"/>
                      <w:szCs w:val="21"/>
                    </w:rPr>
                    <w:t>重点管控单元</w:t>
                  </w:r>
                  <w:r>
                    <w:rPr>
                      <w:rFonts w:eastAsiaTheme="minorEastAsia"/>
                      <w:sz w:val="21"/>
                      <w:szCs w:val="21"/>
                    </w:rPr>
                    <w:t>2</w:t>
                  </w:r>
                </w:p>
              </w:tc>
            </w:tr>
            <w:tr w14:paraId="50CE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Align w:val="center"/>
                </w:tcPr>
                <w:p w14:paraId="533E594A">
                  <w:pPr>
                    <w:pStyle w:val="7"/>
                    <w:spacing w:before="0" w:after="0" w:line="240" w:lineRule="auto"/>
                    <w:jc w:val="center"/>
                    <w:rPr>
                      <w:rFonts w:eastAsiaTheme="minorEastAsia"/>
                      <w:sz w:val="21"/>
                      <w:szCs w:val="21"/>
                    </w:rPr>
                  </w:pPr>
                  <w:r>
                    <w:rPr>
                      <w:rFonts w:hAnsiTheme="minorEastAsia" w:eastAsiaTheme="minorEastAsia"/>
                      <w:sz w:val="21"/>
                      <w:szCs w:val="21"/>
                    </w:rPr>
                    <w:t>管控要求层级</w:t>
                  </w:r>
                </w:p>
              </w:tc>
              <w:tc>
                <w:tcPr>
                  <w:tcW w:w="339" w:type="pct"/>
                  <w:vAlign w:val="center"/>
                </w:tcPr>
                <w:p w14:paraId="41785270">
                  <w:pPr>
                    <w:pStyle w:val="7"/>
                    <w:spacing w:before="0" w:after="0" w:line="240" w:lineRule="auto"/>
                    <w:jc w:val="center"/>
                    <w:rPr>
                      <w:rFonts w:eastAsiaTheme="minorEastAsia"/>
                      <w:sz w:val="21"/>
                      <w:szCs w:val="21"/>
                    </w:rPr>
                  </w:pPr>
                  <w:r>
                    <w:rPr>
                      <w:rFonts w:hAnsiTheme="minorEastAsia" w:eastAsiaTheme="minorEastAsia"/>
                      <w:sz w:val="21"/>
                      <w:szCs w:val="21"/>
                    </w:rPr>
                    <w:t>管控类型</w:t>
                  </w:r>
                </w:p>
              </w:tc>
              <w:tc>
                <w:tcPr>
                  <w:tcW w:w="3140" w:type="pct"/>
                  <w:vAlign w:val="center"/>
                </w:tcPr>
                <w:p w14:paraId="0E5F3B49">
                  <w:pPr>
                    <w:pStyle w:val="7"/>
                    <w:spacing w:before="0" w:after="0" w:line="240" w:lineRule="auto"/>
                    <w:jc w:val="center"/>
                    <w:rPr>
                      <w:rFonts w:eastAsiaTheme="minorEastAsia"/>
                      <w:sz w:val="21"/>
                      <w:szCs w:val="21"/>
                    </w:rPr>
                  </w:pPr>
                  <w:r>
                    <w:rPr>
                      <w:rFonts w:hAnsiTheme="minorEastAsia" w:eastAsiaTheme="minorEastAsia"/>
                      <w:sz w:val="21"/>
                      <w:szCs w:val="21"/>
                    </w:rPr>
                    <w:t>管控要求</w:t>
                  </w:r>
                </w:p>
              </w:tc>
              <w:tc>
                <w:tcPr>
                  <w:tcW w:w="900" w:type="pct"/>
                  <w:vAlign w:val="center"/>
                </w:tcPr>
                <w:p w14:paraId="3C6AC8E6">
                  <w:pPr>
                    <w:pStyle w:val="7"/>
                    <w:spacing w:before="0" w:after="0" w:line="240" w:lineRule="auto"/>
                    <w:jc w:val="center"/>
                    <w:rPr>
                      <w:rFonts w:eastAsiaTheme="minorEastAsia"/>
                      <w:sz w:val="21"/>
                      <w:szCs w:val="21"/>
                    </w:rPr>
                  </w:pPr>
                  <w:r>
                    <w:rPr>
                      <w:rFonts w:hAnsiTheme="minorEastAsia" w:eastAsiaTheme="minorEastAsia"/>
                      <w:sz w:val="21"/>
                      <w:szCs w:val="21"/>
                    </w:rPr>
                    <w:t>建设项目相关情况</w:t>
                  </w:r>
                </w:p>
              </w:tc>
              <w:tc>
                <w:tcPr>
                  <w:tcW w:w="292" w:type="pct"/>
                  <w:vAlign w:val="center"/>
                </w:tcPr>
                <w:p w14:paraId="47586A4D">
                  <w:pPr>
                    <w:pStyle w:val="7"/>
                    <w:spacing w:before="0" w:after="0" w:line="240" w:lineRule="auto"/>
                    <w:jc w:val="center"/>
                    <w:rPr>
                      <w:rFonts w:eastAsiaTheme="minorEastAsia"/>
                      <w:sz w:val="21"/>
                      <w:szCs w:val="21"/>
                    </w:rPr>
                  </w:pPr>
                  <w:r>
                    <w:rPr>
                      <w:rFonts w:hAnsiTheme="minorEastAsia" w:eastAsiaTheme="minorEastAsia"/>
                      <w:sz w:val="21"/>
                      <w:szCs w:val="21"/>
                    </w:rPr>
                    <w:t>符合性</w:t>
                  </w:r>
                </w:p>
              </w:tc>
            </w:tr>
            <w:tr w14:paraId="097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restart"/>
                  <w:vAlign w:val="center"/>
                </w:tcPr>
                <w:p w14:paraId="1ED6A06D">
                  <w:pPr>
                    <w:pStyle w:val="7"/>
                    <w:spacing w:before="0" w:after="0" w:line="240" w:lineRule="auto"/>
                    <w:jc w:val="center"/>
                    <w:rPr>
                      <w:rFonts w:eastAsiaTheme="minorEastAsia"/>
                      <w:sz w:val="21"/>
                      <w:szCs w:val="21"/>
                    </w:rPr>
                  </w:pPr>
                  <w:r>
                    <w:rPr>
                      <w:rFonts w:hAnsiTheme="minorEastAsia" w:eastAsiaTheme="minorEastAsia"/>
                      <w:sz w:val="21"/>
                      <w:szCs w:val="21"/>
                    </w:rPr>
                    <w:t>全市总体管控要求</w:t>
                  </w:r>
                </w:p>
              </w:tc>
              <w:tc>
                <w:tcPr>
                  <w:tcW w:w="339" w:type="pct"/>
                  <w:vAlign w:val="center"/>
                </w:tcPr>
                <w:p w14:paraId="1AA886CF">
                  <w:pPr>
                    <w:pStyle w:val="7"/>
                    <w:spacing w:before="0" w:after="0" w:line="240" w:lineRule="auto"/>
                    <w:jc w:val="center"/>
                    <w:rPr>
                      <w:rFonts w:eastAsiaTheme="minorEastAsia"/>
                      <w:sz w:val="21"/>
                      <w:szCs w:val="21"/>
                    </w:rPr>
                  </w:pPr>
                  <w:r>
                    <w:rPr>
                      <w:rFonts w:hAnsiTheme="minorEastAsia" w:eastAsiaTheme="minorEastAsia"/>
                      <w:sz w:val="21"/>
                      <w:szCs w:val="21"/>
                    </w:rPr>
                    <w:t>空间布局约束</w:t>
                  </w:r>
                </w:p>
              </w:tc>
              <w:tc>
                <w:tcPr>
                  <w:tcW w:w="3140" w:type="pct"/>
                  <w:vAlign w:val="center"/>
                </w:tcPr>
                <w:p w14:paraId="773584D9">
                  <w:pPr>
                    <w:pStyle w:val="7"/>
                    <w:spacing w:before="0" w:after="0" w:line="240" w:lineRule="auto"/>
                    <w:jc w:val="left"/>
                    <w:rPr>
                      <w:rFonts w:eastAsiaTheme="minorEastAsia"/>
                      <w:sz w:val="21"/>
                      <w:szCs w:val="21"/>
                    </w:rPr>
                  </w:pPr>
                  <w:r>
                    <w:rPr>
                      <w:rFonts w:eastAsiaTheme="minorEastAsia"/>
                      <w:sz w:val="21"/>
                      <w:szCs w:val="21"/>
                    </w:rPr>
                    <w:t>1.</w:t>
                  </w:r>
                  <w:r>
                    <w:rPr>
                      <w:rFonts w:hAnsiTheme="minorEastAsia" w:eastAsiaTheme="minorEastAsia"/>
                      <w:sz w:val="21"/>
                      <w:szCs w:val="21"/>
                    </w:rPr>
                    <w:t>严格执行《产业结构调整指导目录》、《重庆市产业投资准入工作手册》、《重庆市工业项目环境准入规定》、《重庆市长江经济带发展负面清单指南实施细则（试行）》等文件要求，优化重点区域、流域、产业的空间布局。对不符合准入要求的既有项目，依法依规实施整改、退出等分类治理方案。</w:t>
                  </w:r>
                </w:p>
                <w:p w14:paraId="64BBEE1F">
                  <w:pPr>
                    <w:pStyle w:val="7"/>
                    <w:spacing w:before="0" w:after="0" w:line="240" w:lineRule="auto"/>
                    <w:jc w:val="left"/>
                    <w:rPr>
                      <w:rFonts w:eastAsiaTheme="minorEastAsia"/>
                      <w:sz w:val="21"/>
                      <w:szCs w:val="21"/>
                    </w:rPr>
                  </w:pPr>
                  <w:r>
                    <w:rPr>
                      <w:rFonts w:eastAsiaTheme="minorEastAsia"/>
                      <w:sz w:val="21"/>
                      <w:szCs w:val="21"/>
                    </w:rPr>
                    <w:t>2.</w:t>
                  </w:r>
                  <w:r>
                    <w:rPr>
                      <w:rFonts w:hAnsiTheme="minorEastAsia" w:eastAsiaTheme="minorEastAsia"/>
                      <w:sz w:val="21"/>
                      <w:szCs w:val="21"/>
                    </w:rPr>
                    <w:t>禁止在长江干流及主要支流岸线</w:t>
                  </w:r>
                  <w:r>
                    <w:rPr>
                      <w:rFonts w:eastAsiaTheme="minorEastAsia"/>
                      <w:sz w:val="21"/>
                      <w:szCs w:val="21"/>
                    </w:rPr>
                    <w:t>1</w:t>
                  </w:r>
                  <w:r>
                    <w:rPr>
                      <w:rFonts w:hAnsiTheme="minorEastAsia" w:eastAsiaTheme="minorEastAsia"/>
                      <w:sz w:val="21"/>
                      <w:szCs w:val="21"/>
                    </w:rPr>
                    <w:t>公里范围内新建重化工、纺织、造纸等存在污染风险的工业项目，禁止在长江干支流</w:t>
                  </w:r>
                  <w:r>
                    <w:rPr>
                      <w:rFonts w:eastAsiaTheme="minorEastAsia"/>
                      <w:sz w:val="21"/>
                      <w:szCs w:val="21"/>
                    </w:rPr>
                    <w:t>1</w:t>
                  </w:r>
                  <w:r>
                    <w:rPr>
                      <w:rFonts w:hAnsiTheme="minorEastAsia" w:eastAsiaTheme="minorEastAsia"/>
                      <w:sz w:val="21"/>
                      <w:szCs w:val="21"/>
                    </w:rPr>
                    <w:t>公里范围内新建、扩建化工园区和化工项目。</w:t>
                  </w:r>
                  <w:r>
                    <w:rPr>
                      <w:rFonts w:eastAsiaTheme="minorEastAsia"/>
                      <w:sz w:val="21"/>
                      <w:szCs w:val="21"/>
                    </w:rPr>
                    <w:t>5</w:t>
                  </w:r>
                  <w:r>
                    <w:rPr>
                      <w:rFonts w:hAnsiTheme="minorEastAsia" w:eastAsiaTheme="minorEastAsia"/>
                      <w:sz w:val="21"/>
                      <w:szCs w:val="21"/>
                    </w:rPr>
                    <w:t>公里范围内除经国家和市政府批准设立、仍在建设的工业园区外，不再新布局工业园区（不包括现有工业园区拓展）。新建有污染物排放的工业项目应进入工业园区或工业集中区，不得在工业园区（集聚区）以外区域实施单纯增加产能的技改（扩建）项目。</w:t>
                  </w:r>
                </w:p>
                <w:p w14:paraId="18BBBA96">
                  <w:pPr>
                    <w:pStyle w:val="7"/>
                    <w:spacing w:before="0" w:after="0" w:line="240" w:lineRule="auto"/>
                    <w:jc w:val="left"/>
                    <w:rPr>
                      <w:rFonts w:eastAsiaTheme="minorEastAsia"/>
                      <w:sz w:val="21"/>
                      <w:szCs w:val="21"/>
                    </w:rPr>
                  </w:pPr>
                  <w:r>
                    <w:rPr>
                      <w:rFonts w:eastAsiaTheme="minorEastAsia"/>
                      <w:sz w:val="21"/>
                      <w:szCs w:val="21"/>
                    </w:rPr>
                    <w:t>3.</w:t>
                  </w:r>
                  <w:r>
                    <w:rPr>
                      <w:rFonts w:hAnsiTheme="minorEastAsia" w:eastAsiaTheme="minorEastAsia"/>
                      <w:sz w:val="21"/>
                      <w:szCs w:val="21"/>
                    </w:rPr>
                    <w:t>在长江鱼嘴以上江段及其一级支流汇入口上游</w:t>
                  </w:r>
                  <w:r>
                    <w:rPr>
                      <w:rFonts w:eastAsiaTheme="minorEastAsia"/>
                      <w:sz w:val="21"/>
                      <w:szCs w:val="21"/>
                    </w:rPr>
                    <w:t>20</w:t>
                  </w:r>
                  <w:r>
                    <w:rPr>
                      <w:rFonts w:hAnsiTheme="minorEastAsia" w:eastAsiaTheme="minorEastAsia"/>
                      <w:sz w:val="21"/>
                      <w:szCs w:val="21"/>
                    </w:rPr>
                    <w:t>公里、嘉陵江及其一级支流汇入口上游</w:t>
                  </w:r>
                  <w:r>
                    <w:rPr>
                      <w:rFonts w:eastAsiaTheme="minorEastAsia"/>
                      <w:sz w:val="21"/>
                      <w:szCs w:val="21"/>
                    </w:rPr>
                    <w:t>20</w:t>
                  </w:r>
                  <w:r>
                    <w:rPr>
                      <w:rFonts w:hAnsiTheme="minorEastAsia" w:eastAsiaTheme="minorEastAsia"/>
                      <w:sz w:val="21"/>
                      <w:szCs w:val="21"/>
                    </w:rPr>
                    <w:t>公里、集中式饮用水水源取水口上游</w:t>
                  </w:r>
                  <w:r>
                    <w:rPr>
                      <w:rFonts w:eastAsiaTheme="minorEastAsia"/>
                      <w:sz w:val="21"/>
                      <w:szCs w:val="21"/>
                    </w:rPr>
                    <w:t>20</w:t>
                  </w:r>
                  <w:r>
                    <w:rPr>
                      <w:rFonts w:hAnsiTheme="minorEastAsia" w:eastAsiaTheme="minorEastAsia"/>
                      <w:sz w:val="21"/>
                      <w:szCs w:val="21"/>
                    </w:rPr>
                    <w:t>公里范围内的沿岸地区（江河</w:t>
                  </w:r>
                  <w:r>
                    <w:rPr>
                      <w:rFonts w:eastAsiaTheme="minorEastAsia"/>
                      <w:sz w:val="21"/>
                      <w:szCs w:val="21"/>
                    </w:rPr>
                    <w:t>50</w:t>
                  </w:r>
                  <w:r>
                    <w:rPr>
                      <w:rFonts w:hAnsiTheme="minorEastAsia" w:eastAsiaTheme="minorEastAsia"/>
                      <w:sz w:val="21"/>
                      <w:szCs w:val="21"/>
                    </w:rPr>
                    <w:t>年一遇洪水位向陆域一侧</w:t>
                  </w:r>
                  <w:r>
                    <w:rPr>
                      <w:rFonts w:eastAsiaTheme="minorEastAsia"/>
                      <w:sz w:val="21"/>
                      <w:szCs w:val="21"/>
                    </w:rPr>
                    <w:t>1</w:t>
                  </w:r>
                  <w:r>
                    <w:rPr>
                      <w:rFonts w:hAnsiTheme="minorEastAsia" w:eastAsiaTheme="minorEastAsia"/>
                      <w:sz w:val="21"/>
                      <w:szCs w:val="21"/>
                    </w:rPr>
                    <w:t>公里范围内），禁止新建、扩建排放重点重金属（铬、镉、汞、砷、铅等五类重金属）、剧毒物质和持久性有机污染物的工业项目。</w:t>
                  </w:r>
                </w:p>
                <w:p w14:paraId="3BB4D387">
                  <w:pPr>
                    <w:pStyle w:val="7"/>
                    <w:spacing w:before="0" w:after="0" w:line="240" w:lineRule="auto"/>
                    <w:jc w:val="left"/>
                    <w:rPr>
                      <w:rFonts w:eastAsiaTheme="minorEastAsia"/>
                      <w:sz w:val="21"/>
                      <w:szCs w:val="21"/>
                    </w:rPr>
                  </w:pPr>
                  <w:r>
                    <w:rPr>
                      <w:rFonts w:eastAsiaTheme="minorEastAsia"/>
                      <w:sz w:val="21"/>
                      <w:szCs w:val="21"/>
                    </w:rPr>
                    <w:t>4.</w:t>
                  </w:r>
                  <w:r>
                    <w:rPr>
                      <w:rFonts w:hAnsiTheme="minorEastAsia" w:eastAsiaTheme="minorEastAsia"/>
                      <w:sz w:val="21"/>
                      <w:szCs w:val="21"/>
                    </w:rPr>
                    <w:t>严格执行相关行业企业布局选址要求，优化环境防护距离设置，按要求设置生态隔离带，防范工业园区（工业集聚区）涉生态环境</w:t>
                  </w:r>
                  <w:r>
                    <w:rPr>
                      <w:rFonts w:eastAsiaTheme="minorEastAsia"/>
                      <w:sz w:val="21"/>
                      <w:szCs w:val="21"/>
                    </w:rPr>
                    <w:t>“</w:t>
                  </w:r>
                  <w:r>
                    <w:rPr>
                      <w:rFonts w:hAnsiTheme="minorEastAsia" w:eastAsiaTheme="minorEastAsia"/>
                      <w:sz w:val="21"/>
                      <w:szCs w:val="21"/>
                    </w:rPr>
                    <w:t>邻避</w:t>
                  </w:r>
                  <w:r>
                    <w:rPr>
                      <w:rFonts w:eastAsiaTheme="minorEastAsia"/>
                      <w:sz w:val="21"/>
                      <w:szCs w:val="21"/>
                    </w:rPr>
                    <w:t>”</w:t>
                  </w:r>
                  <w:r>
                    <w:rPr>
                      <w:rFonts w:hAnsiTheme="minorEastAsia" w:eastAsiaTheme="minorEastAsia"/>
                      <w:sz w:val="21"/>
                      <w:szCs w:val="21"/>
                    </w:rPr>
                    <w:t>问题，将环境防护距离优化控制在园区边界或用地红线以内。</w:t>
                  </w:r>
                </w:p>
                <w:p w14:paraId="34CDFA0A">
                  <w:pPr>
                    <w:pStyle w:val="7"/>
                    <w:spacing w:before="0" w:after="0" w:line="240" w:lineRule="auto"/>
                    <w:jc w:val="left"/>
                    <w:rPr>
                      <w:rFonts w:eastAsiaTheme="minorEastAsia"/>
                      <w:sz w:val="21"/>
                      <w:szCs w:val="21"/>
                    </w:rPr>
                  </w:pPr>
                  <w:r>
                    <w:rPr>
                      <w:rFonts w:eastAsiaTheme="minorEastAsia"/>
                      <w:sz w:val="21"/>
                      <w:szCs w:val="21"/>
                    </w:rPr>
                    <w:t>5.</w:t>
                  </w:r>
                  <w:r>
                    <w:rPr>
                      <w:rFonts w:hAnsiTheme="minorEastAsia" w:eastAsiaTheme="minorEastAsia"/>
                      <w:sz w:val="21"/>
                      <w:szCs w:val="21"/>
                    </w:rPr>
                    <w:t>加快布局分散的企业向园区集中，鼓励现有工业项目、化工项目分别搬入工业集聚区、化工产业集聚区。</w:t>
                  </w:r>
                </w:p>
                <w:p w14:paraId="269595F2">
                  <w:pPr>
                    <w:pStyle w:val="7"/>
                    <w:spacing w:before="0" w:after="0" w:line="240" w:lineRule="auto"/>
                    <w:jc w:val="left"/>
                    <w:rPr>
                      <w:rFonts w:eastAsiaTheme="minorEastAsia"/>
                      <w:sz w:val="21"/>
                      <w:szCs w:val="21"/>
                    </w:rPr>
                  </w:pPr>
                  <w:r>
                    <w:rPr>
                      <w:rFonts w:eastAsiaTheme="minorEastAsia"/>
                      <w:sz w:val="21"/>
                      <w:szCs w:val="21"/>
                    </w:rPr>
                    <w:t>6.</w:t>
                  </w:r>
                  <w:r>
                    <w:rPr>
                      <w:rFonts w:hAnsiTheme="minorEastAsia" w:eastAsiaTheme="minorEastAsia"/>
                      <w:sz w:val="21"/>
                      <w:szCs w:val="21"/>
                    </w:rPr>
                    <w:t>优化城镇功能布局，开发活动限制在资源环境承载能力之内。科学确定城镇开发强度，提高城镇土地利用效率、建成区人口密度，划定城镇开发边界，从严供给城市建设用地，推动城镇化发展由外延扩张式向内涵提升式转变。精心维护自然山水和城乡人居环境，凸显历史文化底蕴，充分塑造和着力体现重庆的山水自然人文特色。</w:t>
                  </w:r>
                </w:p>
              </w:tc>
              <w:tc>
                <w:tcPr>
                  <w:tcW w:w="900" w:type="pct"/>
                  <w:vAlign w:val="center"/>
                </w:tcPr>
                <w:p w14:paraId="58072EB8">
                  <w:pPr>
                    <w:pStyle w:val="7"/>
                    <w:spacing w:before="0" w:after="0" w:line="240" w:lineRule="auto"/>
                    <w:jc w:val="center"/>
                    <w:rPr>
                      <w:rFonts w:eastAsiaTheme="minorEastAsia"/>
                      <w:sz w:val="21"/>
                      <w:szCs w:val="21"/>
                    </w:rPr>
                  </w:pPr>
                  <w:r>
                    <w:rPr>
                      <w:rFonts w:hAnsiTheme="minorEastAsia" w:eastAsiaTheme="minorEastAsia"/>
                      <w:sz w:val="21"/>
                      <w:szCs w:val="21"/>
                    </w:rPr>
                    <w:t>本项目符合《产业结构调整指导目录》、《重庆市产业投资准入工作手册》、《重庆市工业项目环境准入规定》、《重庆市长江经济带发展负面清单指南实施细则（试行）》等文件要求。本</w:t>
                  </w:r>
                  <w:r>
                    <w:rPr>
                      <w:rFonts w:hAnsiTheme="minorEastAsia" w:eastAsiaTheme="minorEastAsia"/>
                      <w:spacing w:val="-2"/>
                      <w:sz w:val="21"/>
                      <w:szCs w:val="21"/>
                    </w:rPr>
                    <w:t>项目位于</w:t>
                  </w:r>
                  <w:r>
                    <w:rPr>
                      <w:rFonts w:hint="eastAsia"/>
                      <w:sz w:val="21"/>
                      <w:szCs w:val="21"/>
                    </w:rPr>
                    <w:t>重庆市涪陵区鹤凤大道33号</w:t>
                  </w:r>
                  <w:r>
                    <w:rPr>
                      <w:rFonts w:hAnsiTheme="minorEastAsia" w:eastAsiaTheme="minorEastAsia"/>
                      <w:spacing w:val="-2"/>
                      <w:sz w:val="21"/>
                      <w:szCs w:val="21"/>
                    </w:rPr>
                    <w:t>，为</w:t>
                  </w:r>
                  <w:r>
                    <w:rPr>
                      <w:rFonts w:eastAsiaTheme="minorEastAsia"/>
                      <w:sz w:val="21"/>
                      <w:szCs w:val="21"/>
                    </w:rPr>
                    <w:t>C2459</w:t>
                  </w:r>
                  <w:r>
                    <w:rPr>
                      <w:rFonts w:hAnsiTheme="minorEastAsia" w:eastAsiaTheme="minorEastAsia"/>
                      <w:sz w:val="21"/>
                      <w:szCs w:val="21"/>
                    </w:rPr>
                    <w:t>其他玩具制造</w:t>
                  </w:r>
                  <w:r>
                    <w:rPr>
                      <w:rFonts w:hAnsiTheme="minorEastAsia" w:eastAsiaTheme="minorEastAsia"/>
                      <w:sz w:val="21"/>
                      <w:szCs w:val="21"/>
                      <w:lang w:val="en-GB"/>
                    </w:rPr>
                    <w:t>，涉及印刷工艺</w:t>
                  </w:r>
                  <w:r>
                    <w:rPr>
                      <w:rFonts w:hAnsiTheme="minorEastAsia" w:eastAsiaTheme="minorEastAsia"/>
                      <w:spacing w:val="-2"/>
                      <w:sz w:val="21"/>
                      <w:szCs w:val="21"/>
                    </w:rPr>
                    <w:t>，为新建项目，不属于排放重金属、</w:t>
                  </w:r>
                  <w:r>
                    <w:rPr>
                      <w:rFonts w:hAnsiTheme="minorEastAsia" w:eastAsiaTheme="minorEastAsia"/>
                      <w:sz w:val="21"/>
                      <w:szCs w:val="21"/>
                    </w:rPr>
                    <w:t>剧毒物质和持久性有机污染物的工业项目。</w:t>
                  </w:r>
                </w:p>
              </w:tc>
              <w:tc>
                <w:tcPr>
                  <w:tcW w:w="292" w:type="pct"/>
                  <w:vAlign w:val="center"/>
                </w:tcPr>
                <w:p w14:paraId="0B13F6DC">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r w14:paraId="0EAD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21474397">
                  <w:pPr>
                    <w:pStyle w:val="7"/>
                    <w:spacing w:before="0" w:after="0" w:line="240" w:lineRule="auto"/>
                    <w:jc w:val="center"/>
                    <w:rPr>
                      <w:rFonts w:eastAsiaTheme="minorEastAsia"/>
                      <w:sz w:val="21"/>
                      <w:szCs w:val="21"/>
                    </w:rPr>
                  </w:pPr>
                </w:p>
              </w:tc>
              <w:tc>
                <w:tcPr>
                  <w:tcW w:w="339" w:type="pct"/>
                  <w:vAlign w:val="center"/>
                </w:tcPr>
                <w:p w14:paraId="73E4190F">
                  <w:pPr>
                    <w:pStyle w:val="7"/>
                    <w:spacing w:before="0" w:after="0" w:line="240" w:lineRule="auto"/>
                    <w:jc w:val="center"/>
                    <w:rPr>
                      <w:rFonts w:eastAsiaTheme="minorEastAsia"/>
                      <w:sz w:val="21"/>
                      <w:szCs w:val="21"/>
                    </w:rPr>
                  </w:pPr>
                  <w:r>
                    <w:rPr>
                      <w:rFonts w:hAnsiTheme="minorEastAsia" w:eastAsiaTheme="minorEastAsia"/>
                      <w:sz w:val="21"/>
                      <w:szCs w:val="21"/>
                    </w:rPr>
                    <w:t>污染物排放管控</w:t>
                  </w:r>
                </w:p>
              </w:tc>
              <w:tc>
                <w:tcPr>
                  <w:tcW w:w="3140" w:type="pct"/>
                  <w:vAlign w:val="center"/>
                </w:tcPr>
                <w:p w14:paraId="5DA288D8">
                  <w:pPr>
                    <w:pStyle w:val="7"/>
                    <w:spacing w:before="0" w:after="0" w:line="240" w:lineRule="auto"/>
                    <w:jc w:val="left"/>
                    <w:rPr>
                      <w:rFonts w:eastAsiaTheme="minorEastAsia"/>
                      <w:sz w:val="21"/>
                      <w:szCs w:val="21"/>
                    </w:rPr>
                  </w:pPr>
                  <w:r>
                    <w:rPr>
                      <w:rFonts w:eastAsiaTheme="minorEastAsia"/>
                      <w:sz w:val="21"/>
                      <w:szCs w:val="21"/>
                    </w:rPr>
                    <w:t>1.</w:t>
                  </w:r>
                  <w:r>
                    <w:rPr>
                      <w:rFonts w:hAnsiTheme="minorEastAsia" w:eastAsiaTheme="minorEastAsia"/>
                      <w:sz w:val="21"/>
                      <w:szCs w:val="21"/>
                    </w:rPr>
                    <w:t>未达到国家环境质量标准的重点区域、流域的有关地方人民政府，应当制定限期达标规划，并采取措施按期达标。</w:t>
                  </w:r>
                </w:p>
                <w:p w14:paraId="72A263CA">
                  <w:pPr>
                    <w:pStyle w:val="7"/>
                    <w:spacing w:before="0" w:after="0" w:line="240" w:lineRule="auto"/>
                    <w:jc w:val="left"/>
                    <w:rPr>
                      <w:rFonts w:eastAsiaTheme="minorEastAsia"/>
                      <w:sz w:val="21"/>
                      <w:szCs w:val="21"/>
                    </w:rPr>
                  </w:pPr>
                  <w:r>
                    <w:rPr>
                      <w:rFonts w:eastAsiaTheme="minorEastAsia"/>
                      <w:sz w:val="21"/>
                      <w:szCs w:val="21"/>
                    </w:rPr>
                    <w:t>2.</w:t>
                  </w:r>
                  <w:r>
                    <w:rPr>
                      <w:rFonts w:hAnsiTheme="minorEastAsia" w:eastAsiaTheme="minorEastAsia"/>
                      <w:sz w:val="21"/>
                      <w:szCs w:val="21"/>
                    </w:rPr>
                    <w:t>巩固</w:t>
                  </w:r>
                  <w:r>
                    <w:rPr>
                      <w:rFonts w:eastAsiaTheme="minorEastAsia"/>
                      <w:sz w:val="21"/>
                      <w:szCs w:val="21"/>
                    </w:rPr>
                    <w:t>“</w:t>
                  </w:r>
                  <w:r>
                    <w:rPr>
                      <w:rFonts w:hAnsiTheme="minorEastAsia" w:eastAsiaTheme="minorEastAsia"/>
                      <w:sz w:val="21"/>
                      <w:szCs w:val="21"/>
                    </w:rPr>
                    <w:t>十一小</w:t>
                  </w:r>
                  <w:r>
                    <w:rPr>
                      <w:rFonts w:eastAsiaTheme="minorEastAsia"/>
                      <w:sz w:val="21"/>
                      <w:szCs w:val="21"/>
                    </w:rPr>
                    <w:t>”</w:t>
                  </w:r>
                  <w:r>
                    <w:rPr>
                      <w:rFonts w:hAnsiTheme="minorEastAsia" w:eastAsiaTheme="minorEastAsia"/>
                      <w:sz w:val="21"/>
                      <w:szCs w:val="21"/>
                    </w:rPr>
                    <w:t>（不符合国家产业政策的小型造纸、制革、印染、染料、炼焦、炼硫、炼砷、炼油、电镀、农药、涉磷生产和使用等企业）取缔成果，防止死灰复燃。巩固</w:t>
                  </w:r>
                  <w:r>
                    <w:rPr>
                      <w:rFonts w:eastAsiaTheme="minorEastAsia"/>
                      <w:sz w:val="21"/>
                      <w:szCs w:val="21"/>
                    </w:rPr>
                    <w:t>“</w:t>
                  </w:r>
                  <w:r>
                    <w:rPr>
                      <w:rFonts w:hAnsiTheme="minorEastAsia" w:eastAsiaTheme="minorEastAsia"/>
                      <w:sz w:val="21"/>
                      <w:szCs w:val="21"/>
                    </w:rPr>
                    <w:t>十一大</w:t>
                  </w:r>
                  <w:r>
                    <w:rPr>
                      <w:rFonts w:eastAsiaTheme="minorEastAsia"/>
                      <w:sz w:val="21"/>
                      <w:szCs w:val="21"/>
                    </w:rPr>
                    <w:t>”</w:t>
                  </w:r>
                  <w:r>
                    <w:rPr>
                      <w:rFonts w:hAnsiTheme="minorEastAsia" w:eastAsiaTheme="minorEastAsia"/>
                      <w:sz w:val="21"/>
                      <w:szCs w:val="21"/>
                    </w:rPr>
                    <w:t>（造纸、焦化、氮肥、有色金属、印染、农副产品及食品加工、原料药制造</w:t>
                  </w:r>
                  <w:r>
                    <w:rPr>
                      <w:rFonts w:eastAsiaTheme="minorEastAsia"/>
                      <w:sz w:val="21"/>
                      <w:szCs w:val="21"/>
                    </w:rPr>
                    <w:t>(</w:t>
                  </w:r>
                  <w:r>
                    <w:rPr>
                      <w:rFonts w:hAnsiTheme="minorEastAsia" w:eastAsiaTheme="minorEastAsia"/>
                      <w:sz w:val="21"/>
                      <w:szCs w:val="21"/>
                    </w:rPr>
                    <w:t>生化制药</w:t>
                  </w:r>
                  <w:r>
                    <w:rPr>
                      <w:rFonts w:eastAsiaTheme="minorEastAsia"/>
                      <w:sz w:val="21"/>
                      <w:szCs w:val="21"/>
                    </w:rPr>
                    <w:t>)</w:t>
                  </w:r>
                  <w:r>
                    <w:rPr>
                      <w:rFonts w:hAnsiTheme="minorEastAsia" w:eastAsiaTheme="minorEastAsia"/>
                      <w:sz w:val="21"/>
                      <w:szCs w:val="21"/>
                    </w:rPr>
                    <w:t>、制革、农药、电镀以及涉磷产品等）企业污染整治成果。</w:t>
                  </w:r>
                </w:p>
                <w:p w14:paraId="3B303548">
                  <w:pPr>
                    <w:pStyle w:val="7"/>
                    <w:spacing w:before="0" w:after="0" w:line="240" w:lineRule="auto"/>
                    <w:jc w:val="left"/>
                    <w:rPr>
                      <w:rFonts w:eastAsiaTheme="minorEastAsia"/>
                      <w:sz w:val="21"/>
                      <w:szCs w:val="21"/>
                    </w:rPr>
                  </w:pPr>
                  <w:r>
                    <w:rPr>
                      <w:rFonts w:eastAsiaTheme="minorEastAsia"/>
                      <w:sz w:val="21"/>
                      <w:szCs w:val="21"/>
                    </w:rPr>
                    <w:t>3.</w:t>
                  </w:r>
                  <w:r>
                    <w:rPr>
                      <w:rFonts w:hAnsiTheme="minorEastAsia" w:eastAsiaTheme="minorEastAsia"/>
                      <w:sz w:val="21"/>
                      <w:szCs w:val="21"/>
                    </w:rPr>
                    <w:t>城区及江津区、合川区、璧山区、铜梁区二氧化硫、氮氧化物、颗粒物、挥发性有机物严格执行大气污染物特别排放限值，并逐步将执行范围扩大到重点控制区重点行业。</w:t>
                  </w:r>
                </w:p>
                <w:p w14:paraId="489A88F8">
                  <w:pPr>
                    <w:pStyle w:val="7"/>
                    <w:spacing w:before="0" w:after="0" w:line="240" w:lineRule="auto"/>
                    <w:jc w:val="left"/>
                    <w:rPr>
                      <w:rFonts w:eastAsiaTheme="minorEastAsia"/>
                      <w:sz w:val="21"/>
                      <w:szCs w:val="21"/>
                    </w:rPr>
                  </w:pPr>
                  <w:r>
                    <w:rPr>
                      <w:rFonts w:eastAsiaTheme="minorEastAsia"/>
                      <w:sz w:val="21"/>
                      <w:szCs w:val="21"/>
                    </w:rPr>
                    <w:t>4.</w:t>
                  </w:r>
                  <w:r>
                    <w:rPr>
                      <w:rFonts w:hAnsiTheme="minorEastAsia" w:eastAsiaTheme="minorEastAsia"/>
                      <w:sz w:val="21"/>
                      <w:szCs w:val="21"/>
                    </w:rPr>
                    <w:t>新建、改建、扩建涉</w:t>
                  </w:r>
                  <w:r>
                    <w:rPr>
                      <w:rFonts w:eastAsiaTheme="minorEastAsia"/>
                      <w:sz w:val="21"/>
                      <w:szCs w:val="21"/>
                    </w:rPr>
                    <w:t>VOCs</w:t>
                  </w:r>
                  <w:r>
                    <w:rPr>
                      <w:rFonts w:hAnsiTheme="minorEastAsia" w:eastAsiaTheme="minorEastAsia"/>
                      <w:sz w:val="21"/>
                      <w:szCs w:val="21"/>
                    </w:rPr>
                    <w:t>排放的项目，加强源头控制，使用低（无）</w:t>
                  </w:r>
                  <w:r>
                    <w:rPr>
                      <w:rFonts w:eastAsiaTheme="minorEastAsia"/>
                      <w:sz w:val="21"/>
                      <w:szCs w:val="21"/>
                    </w:rPr>
                    <w:t>VOCs</w:t>
                  </w:r>
                  <w:r>
                    <w:rPr>
                      <w:rFonts w:hAnsiTheme="minorEastAsia" w:eastAsiaTheme="minorEastAsia"/>
                      <w:sz w:val="21"/>
                      <w:szCs w:val="21"/>
                    </w:rPr>
                    <w:t>含量的原辅料，加强废气收集，安装高效治理设施。有条件的工业集聚区建设集中喷涂中心，配备高效治污设施，替代企业独立喷涂工序。</w:t>
                  </w:r>
                </w:p>
                <w:p w14:paraId="2F87C70F">
                  <w:pPr>
                    <w:pStyle w:val="7"/>
                    <w:spacing w:before="0" w:after="0" w:line="240" w:lineRule="auto"/>
                    <w:jc w:val="left"/>
                    <w:rPr>
                      <w:rFonts w:eastAsiaTheme="minorEastAsia"/>
                      <w:sz w:val="21"/>
                      <w:szCs w:val="21"/>
                    </w:rPr>
                  </w:pPr>
                  <w:r>
                    <w:rPr>
                      <w:rFonts w:eastAsiaTheme="minorEastAsia"/>
                      <w:sz w:val="21"/>
                      <w:szCs w:val="21"/>
                    </w:rPr>
                    <w:t>5.</w:t>
                  </w:r>
                  <w:r>
                    <w:rPr>
                      <w:rFonts w:hAnsiTheme="minorEastAsia" w:eastAsiaTheme="minorEastAsia"/>
                      <w:sz w:val="21"/>
                      <w:szCs w:val="21"/>
                    </w:rPr>
                    <w:t>集中治理工业集聚区水污染，新建、升级工业集聚区应同步规划建设污水集中处理设施并安装自动在线监控装置。组织评估依托城镇生活污水处理设施处理园区工业废水对出水的影响，导致出水不能稳定达标的，要限期退出城镇污水处理设施并另行专门处理。</w:t>
                  </w:r>
                </w:p>
              </w:tc>
              <w:tc>
                <w:tcPr>
                  <w:tcW w:w="900" w:type="pct"/>
                  <w:vAlign w:val="center"/>
                </w:tcPr>
                <w:p w14:paraId="517870D8">
                  <w:pPr>
                    <w:pStyle w:val="7"/>
                    <w:spacing w:before="0" w:after="0" w:line="240" w:lineRule="auto"/>
                    <w:jc w:val="center"/>
                    <w:rPr>
                      <w:rFonts w:eastAsiaTheme="minorEastAsia"/>
                      <w:sz w:val="21"/>
                      <w:szCs w:val="21"/>
                    </w:rPr>
                  </w:pPr>
                  <w:r>
                    <w:rPr>
                      <w:rFonts w:hAnsiTheme="minorEastAsia" w:eastAsiaTheme="minorEastAsia"/>
                      <w:sz w:val="21"/>
                      <w:szCs w:val="21"/>
                    </w:rPr>
                    <w:t>根据《</w:t>
                  </w:r>
                  <w:r>
                    <w:rPr>
                      <w:rFonts w:eastAsiaTheme="minorEastAsia"/>
                      <w:sz w:val="21"/>
                      <w:szCs w:val="21"/>
                    </w:rPr>
                    <w:t>2021</w:t>
                  </w:r>
                  <w:r>
                    <w:rPr>
                      <w:rFonts w:hAnsiTheme="minorEastAsia" w:eastAsiaTheme="minorEastAsia"/>
                      <w:sz w:val="21"/>
                      <w:szCs w:val="21"/>
                    </w:rPr>
                    <w:t>年重庆市生态环境状况公报》，涪陵区为环境质量达标区。本</w:t>
                  </w:r>
                  <w:r>
                    <w:rPr>
                      <w:rFonts w:hAnsiTheme="minorEastAsia" w:eastAsiaTheme="minorEastAsia"/>
                      <w:spacing w:val="-2"/>
                      <w:sz w:val="21"/>
                      <w:szCs w:val="21"/>
                    </w:rPr>
                    <w:t>项目位于</w:t>
                  </w:r>
                  <w:r>
                    <w:rPr>
                      <w:rFonts w:hAnsiTheme="minorEastAsia" w:eastAsiaTheme="minorEastAsia"/>
                      <w:sz w:val="21"/>
                      <w:szCs w:val="21"/>
                    </w:rPr>
                    <w:t>重庆市涪陵区李渡组团大鹅分区</w:t>
                  </w:r>
                  <w:r>
                    <w:rPr>
                      <w:rFonts w:eastAsiaTheme="minorEastAsia"/>
                      <w:sz w:val="21"/>
                      <w:szCs w:val="21"/>
                    </w:rPr>
                    <w:t>R21-2</w:t>
                  </w:r>
                </w:p>
                <w:p w14:paraId="7C03DC66">
                  <w:pPr>
                    <w:pStyle w:val="7"/>
                    <w:spacing w:before="0" w:after="0" w:line="240" w:lineRule="auto"/>
                    <w:jc w:val="center"/>
                    <w:rPr>
                      <w:rFonts w:eastAsiaTheme="minorEastAsia"/>
                      <w:sz w:val="21"/>
                      <w:szCs w:val="21"/>
                    </w:rPr>
                  </w:pPr>
                  <w:r>
                    <w:rPr>
                      <w:rFonts w:eastAsiaTheme="minorEastAsia"/>
                      <w:sz w:val="21"/>
                      <w:szCs w:val="21"/>
                    </w:rPr>
                    <w:t>/03</w:t>
                  </w:r>
                  <w:r>
                    <w:rPr>
                      <w:rFonts w:hAnsiTheme="minorEastAsia" w:eastAsiaTheme="minorEastAsia"/>
                      <w:sz w:val="21"/>
                      <w:szCs w:val="21"/>
                    </w:rPr>
                    <w:t>地块</w:t>
                  </w:r>
                  <w:r>
                    <w:rPr>
                      <w:rFonts w:hAnsiTheme="minorEastAsia" w:eastAsiaTheme="minorEastAsia"/>
                      <w:spacing w:val="-2"/>
                      <w:sz w:val="21"/>
                      <w:szCs w:val="21"/>
                    </w:rPr>
                    <w:t>，为</w:t>
                  </w:r>
                  <w:r>
                    <w:rPr>
                      <w:rFonts w:eastAsiaTheme="minorEastAsia"/>
                      <w:sz w:val="21"/>
                      <w:szCs w:val="21"/>
                    </w:rPr>
                    <w:t>C2459</w:t>
                  </w:r>
                  <w:r>
                    <w:rPr>
                      <w:rFonts w:hAnsiTheme="minorEastAsia" w:eastAsiaTheme="minorEastAsia"/>
                      <w:sz w:val="21"/>
                      <w:szCs w:val="21"/>
                    </w:rPr>
                    <w:t>其他玩具制造</w:t>
                  </w:r>
                  <w:r>
                    <w:rPr>
                      <w:rFonts w:hAnsiTheme="minorEastAsia" w:eastAsiaTheme="minorEastAsia"/>
                      <w:sz w:val="21"/>
                      <w:szCs w:val="21"/>
                      <w:lang w:val="en-GB"/>
                    </w:rPr>
                    <w:t>，涉及印刷工艺</w:t>
                  </w:r>
                  <w:r>
                    <w:rPr>
                      <w:rFonts w:hAnsiTheme="minorEastAsia" w:eastAsiaTheme="minorEastAsia"/>
                      <w:spacing w:val="-2"/>
                      <w:sz w:val="21"/>
                      <w:szCs w:val="21"/>
                    </w:rPr>
                    <w:t>，</w:t>
                  </w:r>
                  <w:r>
                    <w:rPr>
                      <w:rFonts w:hint="eastAsia" w:hAnsiTheme="minorEastAsia" w:eastAsiaTheme="minorEastAsia"/>
                      <w:spacing w:val="-2"/>
                      <w:sz w:val="21"/>
                      <w:szCs w:val="21"/>
                    </w:rPr>
                    <w:t>根据油墨、水性上光油、水基性胶粘剂、洗车水的VOCs检测报告，项目所使用的原辅材料为低VOCs含量的原辅材料，</w:t>
                  </w:r>
                  <w:r>
                    <w:rPr>
                      <w:rFonts w:hAnsiTheme="minorEastAsia" w:eastAsiaTheme="minorEastAsia"/>
                      <w:spacing w:val="-2"/>
                      <w:sz w:val="21"/>
                      <w:szCs w:val="21"/>
                    </w:rPr>
                    <w:t>项目生产过程中废气经集气罩收集后引入</w:t>
                  </w:r>
                  <w:r>
                    <w:rPr>
                      <w:rFonts w:eastAsiaTheme="minorEastAsia"/>
                      <w:sz w:val="21"/>
                      <w:szCs w:val="21"/>
                    </w:rPr>
                    <w:t>“</w:t>
                  </w:r>
                  <w:r>
                    <w:rPr>
                      <w:rFonts w:hint="eastAsia" w:eastAsiaTheme="minorEastAsia"/>
                      <w:sz w:val="21"/>
                      <w:szCs w:val="21"/>
                    </w:rPr>
                    <w:t>二级</w:t>
                  </w:r>
                  <w:r>
                    <w:rPr>
                      <w:rFonts w:hAnsiTheme="minorEastAsia" w:eastAsiaTheme="minorEastAsia"/>
                      <w:sz w:val="21"/>
                      <w:szCs w:val="21"/>
                    </w:rPr>
                    <w:t>活性炭吸附</w:t>
                  </w:r>
                  <w:r>
                    <w:rPr>
                      <w:rFonts w:eastAsiaTheme="minorEastAsia"/>
                      <w:sz w:val="21"/>
                      <w:szCs w:val="21"/>
                    </w:rPr>
                    <w:t>”</w:t>
                  </w:r>
                  <w:r>
                    <w:rPr>
                      <w:rFonts w:hAnsiTheme="minorEastAsia" w:eastAsiaTheme="minorEastAsia"/>
                      <w:spacing w:val="-2"/>
                      <w:sz w:val="21"/>
                      <w:szCs w:val="21"/>
                    </w:rPr>
                    <w:t>装置处理后达标排放，项目废水经厂区</w:t>
                  </w:r>
                  <w:r>
                    <w:rPr>
                      <w:rFonts w:hAnsiTheme="minorEastAsia" w:eastAsiaTheme="minorEastAsia"/>
                      <w:sz w:val="21"/>
                      <w:szCs w:val="21"/>
                    </w:rPr>
                    <w:t>自建生化池处理后经污水管网进入李渡大耍坝污水处理厂处理后达标排放。李渡大耍坝污水处理厂安装有自动在线监测装置。</w:t>
                  </w:r>
                </w:p>
              </w:tc>
              <w:tc>
                <w:tcPr>
                  <w:tcW w:w="292" w:type="pct"/>
                  <w:vAlign w:val="center"/>
                </w:tcPr>
                <w:p w14:paraId="0BC260E9">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r w14:paraId="7A7D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329" w:type="pct"/>
                  <w:vMerge w:val="continue"/>
                  <w:vAlign w:val="center"/>
                </w:tcPr>
                <w:p w14:paraId="186FCE9A">
                  <w:pPr>
                    <w:pStyle w:val="7"/>
                    <w:spacing w:before="0" w:after="0" w:line="240" w:lineRule="auto"/>
                    <w:jc w:val="center"/>
                    <w:rPr>
                      <w:rFonts w:eastAsiaTheme="minorEastAsia"/>
                      <w:sz w:val="21"/>
                      <w:szCs w:val="21"/>
                    </w:rPr>
                  </w:pPr>
                </w:p>
              </w:tc>
              <w:tc>
                <w:tcPr>
                  <w:tcW w:w="339" w:type="pct"/>
                  <w:vAlign w:val="center"/>
                </w:tcPr>
                <w:p w14:paraId="7A51204A">
                  <w:pPr>
                    <w:pStyle w:val="7"/>
                    <w:spacing w:before="0" w:after="0" w:line="240" w:lineRule="auto"/>
                    <w:jc w:val="center"/>
                    <w:rPr>
                      <w:rFonts w:eastAsiaTheme="minorEastAsia"/>
                      <w:sz w:val="21"/>
                      <w:szCs w:val="21"/>
                    </w:rPr>
                  </w:pPr>
                  <w:r>
                    <w:rPr>
                      <w:rFonts w:hAnsiTheme="minorEastAsia" w:eastAsiaTheme="minorEastAsia"/>
                      <w:sz w:val="21"/>
                      <w:szCs w:val="21"/>
                    </w:rPr>
                    <w:t>环境风险防控</w:t>
                  </w:r>
                </w:p>
              </w:tc>
              <w:tc>
                <w:tcPr>
                  <w:tcW w:w="3140" w:type="pct"/>
                  <w:vAlign w:val="center"/>
                </w:tcPr>
                <w:p w14:paraId="5367A673">
                  <w:pPr>
                    <w:pStyle w:val="7"/>
                    <w:spacing w:before="0" w:after="0" w:line="240" w:lineRule="auto"/>
                    <w:jc w:val="left"/>
                    <w:rPr>
                      <w:rFonts w:eastAsiaTheme="minorEastAsia"/>
                      <w:sz w:val="21"/>
                      <w:szCs w:val="21"/>
                    </w:rPr>
                  </w:pPr>
                  <w:r>
                    <w:rPr>
                      <w:rFonts w:eastAsiaTheme="minorEastAsia"/>
                      <w:sz w:val="21"/>
                      <w:szCs w:val="21"/>
                    </w:rPr>
                    <w:t>1.</w:t>
                  </w:r>
                  <w:r>
                    <w:rPr>
                      <w:rFonts w:hAnsiTheme="minorEastAsia" w:eastAsiaTheme="minorEastAsia"/>
                      <w:sz w:val="21"/>
                      <w:szCs w:val="21"/>
                    </w:rPr>
                    <w:t>健全风险防范体系，制定环境风险防范协调联动工作机制。开展涉及化工生产的工业园区突发环境事件风险评估。长江三峡库区干流流域、城市集中式饮用水源、涉及化工生产的化工园区等按要求开展突发环境事件风险评估。</w:t>
                  </w:r>
                </w:p>
                <w:p w14:paraId="259AC871">
                  <w:pPr>
                    <w:pStyle w:val="7"/>
                    <w:spacing w:before="0" w:after="0" w:line="240" w:lineRule="auto"/>
                    <w:jc w:val="left"/>
                    <w:rPr>
                      <w:rFonts w:eastAsiaTheme="minorEastAsia"/>
                      <w:sz w:val="21"/>
                      <w:szCs w:val="21"/>
                    </w:rPr>
                  </w:pPr>
                  <w:r>
                    <w:rPr>
                      <w:rFonts w:eastAsiaTheme="minorEastAsia"/>
                      <w:sz w:val="21"/>
                      <w:szCs w:val="21"/>
                    </w:rPr>
                    <w:t>2.</w:t>
                  </w:r>
                  <w:r>
                    <w:rPr>
                      <w:rFonts w:hAnsiTheme="minorEastAsia" w:eastAsiaTheme="minorEastAsia"/>
                      <w:sz w:val="21"/>
                      <w:szCs w:val="21"/>
                    </w:rPr>
                    <w:t>禁止建设存在重大环境安全隐患的工业项目。严禁工艺技术落后、环境风险高的化工企业向我市转移。</w:t>
                  </w:r>
                </w:p>
              </w:tc>
              <w:tc>
                <w:tcPr>
                  <w:tcW w:w="900" w:type="pct"/>
                  <w:vAlign w:val="center"/>
                </w:tcPr>
                <w:p w14:paraId="15585AEC">
                  <w:pPr>
                    <w:pStyle w:val="7"/>
                    <w:spacing w:before="0" w:after="0" w:line="240" w:lineRule="auto"/>
                    <w:jc w:val="center"/>
                    <w:rPr>
                      <w:rFonts w:eastAsiaTheme="minorEastAsia"/>
                      <w:sz w:val="21"/>
                      <w:szCs w:val="21"/>
                    </w:rPr>
                  </w:pPr>
                  <w:r>
                    <w:rPr>
                      <w:rFonts w:hAnsiTheme="minorEastAsia" w:eastAsiaTheme="minorEastAsia"/>
                      <w:sz w:val="21"/>
                      <w:szCs w:val="21"/>
                    </w:rPr>
                    <w:t>拟建项目建有健全的风险防范体系，项目建成运营后即开展突发环境事件风险评估工作。</w:t>
                  </w:r>
                </w:p>
              </w:tc>
              <w:tc>
                <w:tcPr>
                  <w:tcW w:w="292" w:type="pct"/>
                  <w:vAlign w:val="center"/>
                </w:tcPr>
                <w:p w14:paraId="15FDA401">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r w14:paraId="5DA2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262D8E40">
                  <w:pPr>
                    <w:pStyle w:val="7"/>
                    <w:spacing w:before="0" w:after="0" w:line="240" w:lineRule="auto"/>
                    <w:jc w:val="center"/>
                    <w:rPr>
                      <w:rFonts w:eastAsiaTheme="minorEastAsia"/>
                      <w:sz w:val="21"/>
                      <w:szCs w:val="21"/>
                    </w:rPr>
                  </w:pPr>
                </w:p>
              </w:tc>
              <w:tc>
                <w:tcPr>
                  <w:tcW w:w="339" w:type="pct"/>
                  <w:vAlign w:val="center"/>
                </w:tcPr>
                <w:p w14:paraId="0EA2D466">
                  <w:pPr>
                    <w:pStyle w:val="7"/>
                    <w:spacing w:before="0" w:after="0" w:line="240" w:lineRule="auto"/>
                    <w:jc w:val="center"/>
                    <w:rPr>
                      <w:rFonts w:eastAsiaTheme="minorEastAsia"/>
                      <w:sz w:val="21"/>
                      <w:szCs w:val="21"/>
                    </w:rPr>
                  </w:pPr>
                  <w:r>
                    <w:rPr>
                      <w:rFonts w:hAnsiTheme="minorEastAsia" w:eastAsiaTheme="minorEastAsia"/>
                      <w:sz w:val="21"/>
                      <w:szCs w:val="21"/>
                    </w:rPr>
                    <w:t>资源开发利用效率</w:t>
                  </w:r>
                </w:p>
              </w:tc>
              <w:tc>
                <w:tcPr>
                  <w:tcW w:w="3140" w:type="pct"/>
                  <w:vAlign w:val="center"/>
                </w:tcPr>
                <w:p w14:paraId="252CEB09">
                  <w:pPr>
                    <w:widowControl/>
                    <w:jc w:val="left"/>
                    <w:rPr>
                      <w:rFonts w:eastAsiaTheme="minorEastAsia"/>
                      <w:szCs w:val="21"/>
                    </w:rPr>
                  </w:pPr>
                  <w:r>
                    <w:rPr>
                      <w:rFonts w:eastAsiaTheme="minorEastAsia"/>
                      <w:szCs w:val="21"/>
                    </w:rPr>
                    <w:t>1.</w:t>
                  </w:r>
                  <w:r>
                    <w:rPr>
                      <w:rFonts w:hAnsiTheme="minorEastAsia" w:eastAsiaTheme="minorEastAsia"/>
                      <w:szCs w:val="21"/>
                    </w:rPr>
                    <w:t>加强资源节约集约利用。实行能源、水资源、建设用地总量和强度双控行动，推进节能、节水、节地、节材等节约自然资源行动，从源头减少污染物排放。</w:t>
                  </w:r>
                </w:p>
                <w:p w14:paraId="5D3AF651">
                  <w:pPr>
                    <w:widowControl/>
                    <w:jc w:val="left"/>
                    <w:rPr>
                      <w:rFonts w:eastAsiaTheme="minorEastAsia"/>
                      <w:szCs w:val="21"/>
                    </w:rPr>
                  </w:pPr>
                  <w:r>
                    <w:rPr>
                      <w:rFonts w:eastAsiaTheme="minorEastAsia"/>
                      <w:szCs w:val="21"/>
                    </w:rPr>
                    <w:t>2.</w:t>
                  </w:r>
                  <w:r>
                    <w:rPr>
                      <w:rFonts w:hAnsiTheme="minorEastAsia" w:eastAsiaTheme="minorEastAsia"/>
                      <w:szCs w:val="21"/>
                    </w:rPr>
                    <w:t>在禁燃区内，禁止销售、燃用高污染燃料，禁止新建、改建、扩建任何燃用高污染燃料的项目和设备，已建成使用高污染燃料的各类设备应当拆除或者改用管道天然气、页岩气、液化石油气、电或者其他清洁能源；在不具备使用清洁能源条件的区域，可使用配备专用锅炉和除尘装置的生物质成型燃料。</w:t>
                  </w:r>
                </w:p>
                <w:p w14:paraId="1B83788B">
                  <w:pPr>
                    <w:widowControl/>
                    <w:jc w:val="left"/>
                    <w:rPr>
                      <w:rFonts w:eastAsiaTheme="minorEastAsia"/>
                      <w:szCs w:val="21"/>
                    </w:rPr>
                  </w:pPr>
                  <w:r>
                    <w:rPr>
                      <w:rFonts w:eastAsiaTheme="minorEastAsia"/>
                      <w:szCs w:val="21"/>
                    </w:rPr>
                    <w:t>3.</w:t>
                  </w:r>
                  <w:r>
                    <w:rPr>
                      <w:rFonts w:hAnsiTheme="minorEastAsia" w:eastAsiaTheme="minorEastAsia"/>
                      <w:szCs w:val="21"/>
                    </w:rPr>
                    <w:t>电力、钢铁、纺织、造纸、石油石化、化工、食品发酵等高耗水行业达到先进定额标准。</w:t>
                  </w:r>
                </w:p>
                <w:p w14:paraId="1519A6BA">
                  <w:pPr>
                    <w:widowControl/>
                    <w:jc w:val="left"/>
                    <w:rPr>
                      <w:rFonts w:eastAsiaTheme="minorEastAsia"/>
                      <w:szCs w:val="21"/>
                    </w:rPr>
                  </w:pPr>
                  <w:r>
                    <w:rPr>
                      <w:rFonts w:eastAsiaTheme="minorEastAsia"/>
                      <w:szCs w:val="21"/>
                    </w:rPr>
                    <w:t>4.</w:t>
                  </w:r>
                  <w:r>
                    <w:rPr>
                      <w:rFonts w:hAnsiTheme="minorEastAsia" w:eastAsiaTheme="minorEastAsia"/>
                      <w:szCs w:val="21"/>
                    </w:rPr>
                    <w:t>重点控制区域新建高耗能项目单位产品（产值）能耗要达到国际先进水平。</w:t>
                  </w:r>
                </w:p>
                <w:p w14:paraId="2DB0EC30">
                  <w:pPr>
                    <w:widowControl/>
                    <w:jc w:val="left"/>
                    <w:rPr>
                      <w:rFonts w:eastAsiaTheme="minorEastAsia"/>
                      <w:szCs w:val="21"/>
                    </w:rPr>
                  </w:pPr>
                  <w:r>
                    <w:rPr>
                      <w:rFonts w:eastAsiaTheme="minorEastAsia"/>
                      <w:szCs w:val="21"/>
                    </w:rPr>
                    <w:t>5.</w:t>
                  </w:r>
                  <w:r>
                    <w:rPr>
                      <w:rFonts w:hAnsiTheme="minorEastAsia" w:eastAsiaTheme="minorEastAsia"/>
                      <w:szCs w:val="21"/>
                    </w:rPr>
                    <w:t>水利水电工程应保证合理的生态流量，具备条件的都应实施生态流量监测监控。</w:t>
                  </w:r>
                </w:p>
              </w:tc>
              <w:tc>
                <w:tcPr>
                  <w:tcW w:w="900" w:type="pct"/>
                  <w:vAlign w:val="center"/>
                </w:tcPr>
                <w:p w14:paraId="4B4E95DB">
                  <w:pPr>
                    <w:pStyle w:val="7"/>
                    <w:spacing w:before="0" w:after="0" w:line="240" w:lineRule="auto"/>
                    <w:jc w:val="center"/>
                    <w:rPr>
                      <w:rFonts w:eastAsiaTheme="minorEastAsia"/>
                      <w:sz w:val="21"/>
                      <w:szCs w:val="21"/>
                    </w:rPr>
                  </w:pPr>
                  <w:r>
                    <w:rPr>
                      <w:rFonts w:hAnsiTheme="minorEastAsia" w:eastAsiaTheme="minorEastAsia"/>
                      <w:sz w:val="21"/>
                      <w:szCs w:val="21"/>
                    </w:rPr>
                    <w:t>本</w:t>
                  </w:r>
                  <w:r>
                    <w:rPr>
                      <w:rFonts w:hAnsiTheme="minorEastAsia" w:eastAsiaTheme="minorEastAsia"/>
                      <w:spacing w:val="-2"/>
                      <w:sz w:val="21"/>
                      <w:szCs w:val="21"/>
                    </w:rPr>
                    <w:t>项目位于</w:t>
                  </w:r>
                  <w:r>
                    <w:rPr>
                      <w:rFonts w:hint="eastAsia"/>
                      <w:sz w:val="21"/>
                      <w:szCs w:val="21"/>
                    </w:rPr>
                    <w:t>重庆市涪陵区鹤凤大道33号</w:t>
                  </w:r>
                  <w:r>
                    <w:rPr>
                      <w:rFonts w:hAnsiTheme="minorEastAsia" w:eastAsiaTheme="minorEastAsia"/>
                      <w:spacing w:val="-2"/>
                      <w:sz w:val="21"/>
                      <w:szCs w:val="21"/>
                    </w:rPr>
                    <w:t>，为</w:t>
                  </w:r>
                  <w:r>
                    <w:rPr>
                      <w:rFonts w:eastAsiaTheme="minorEastAsia"/>
                      <w:sz w:val="21"/>
                      <w:szCs w:val="21"/>
                    </w:rPr>
                    <w:t>C2459</w:t>
                  </w:r>
                  <w:r>
                    <w:rPr>
                      <w:rFonts w:hAnsiTheme="minorEastAsia" w:eastAsiaTheme="minorEastAsia"/>
                      <w:sz w:val="21"/>
                      <w:szCs w:val="21"/>
                    </w:rPr>
                    <w:t>其他玩具制造</w:t>
                  </w:r>
                  <w:r>
                    <w:rPr>
                      <w:rFonts w:hAnsiTheme="minorEastAsia" w:eastAsiaTheme="minorEastAsia"/>
                      <w:sz w:val="21"/>
                      <w:szCs w:val="21"/>
                      <w:lang w:val="en-GB"/>
                    </w:rPr>
                    <w:t>，涉及印刷工艺</w:t>
                  </w:r>
                  <w:r>
                    <w:rPr>
                      <w:rFonts w:hAnsiTheme="minorEastAsia" w:eastAsiaTheme="minorEastAsia"/>
                      <w:spacing w:val="-2"/>
                      <w:sz w:val="21"/>
                      <w:szCs w:val="21"/>
                    </w:rPr>
                    <w:t>，</w:t>
                  </w:r>
                  <w:r>
                    <w:rPr>
                      <w:rFonts w:hAnsiTheme="minorEastAsia" w:eastAsiaTheme="minorEastAsia"/>
                      <w:sz w:val="21"/>
                      <w:szCs w:val="21"/>
                    </w:rPr>
                    <w:t>项目生产过程中主要使用电能和天然气。</w:t>
                  </w:r>
                </w:p>
              </w:tc>
              <w:tc>
                <w:tcPr>
                  <w:tcW w:w="292" w:type="pct"/>
                  <w:vAlign w:val="center"/>
                </w:tcPr>
                <w:p w14:paraId="57000FC1">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r w14:paraId="036F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29" w:type="pct"/>
                  <w:vMerge w:val="restart"/>
                  <w:vAlign w:val="center"/>
                </w:tcPr>
                <w:p w14:paraId="2F11F9FB">
                  <w:pPr>
                    <w:pStyle w:val="7"/>
                    <w:spacing w:before="0" w:after="0" w:line="240" w:lineRule="auto"/>
                    <w:jc w:val="center"/>
                    <w:rPr>
                      <w:rFonts w:eastAsiaTheme="minorEastAsia"/>
                      <w:sz w:val="21"/>
                      <w:szCs w:val="21"/>
                    </w:rPr>
                  </w:pPr>
                  <w:r>
                    <w:rPr>
                      <w:rFonts w:hAnsiTheme="minorEastAsia" w:eastAsiaTheme="minorEastAsia"/>
                      <w:sz w:val="21"/>
                      <w:szCs w:val="21"/>
                    </w:rPr>
                    <w:t>区县总体管控要求（涪陵区）</w:t>
                  </w:r>
                </w:p>
              </w:tc>
              <w:tc>
                <w:tcPr>
                  <w:tcW w:w="339" w:type="pct"/>
                  <w:vMerge w:val="restart"/>
                  <w:vAlign w:val="center"/>
                </w:tcPr>
                <w:p w14:paraId="655EE58D">
                  <w:pPr>
                    <w:pStyle w:val="7"/>
                    <w:spacing w:before="0" w:after="0" w:line="240" w:lineRule="auto"/>
                    <w:jc w:val="center"/>
                    <w:rPr>
                      <w:rFonts w:eastAsiaTheme="minorEastAsia"/>
                      <w:sz w:val="21"/>
                      <w:szCs w:val="21"/>
                    </w:rPr>
                  </w:pPr>
                  <w:r>
                    <w:rPr>
                      <w:rFonts w:hAnsiTheme="minorEastAsia" w:eastAsiaTheme="minorEastAsia"/>
                      <w:sz w:val="21"/>
                      <w:szCs w:val="21"/>
                    </w:rPr>
                    <w:t>空间布局约束</w:t>
                  </w:r>
                </w:p>
              </w:tc>
              <w:tc>
                <w:tcPr>
                  <w:tcW w:w="3140" w:type="pct"/>
                  <w:vAlign w:val="center"/>
                </w:tcPr>
                <w:p w14:paraId="532D7CFE">
                  <w:pPr>
                    <w:numPr>
                      <w:ilvl w:val="0"/>
                      <w:numId w:val="2"/>
                    </w:numPr>
                    <w:snapToGrid w:val="0"/>
                    <w:spacing w:line="340" w:lineRule="exact"/>
                    <w:jc w:val="left"/>
                    <w:rPr>
                      <w:rFonts w:eastAsiaTheme="minorEastAsia"/>
                      <w:szCs w:val="21"/>
                    </w:rPr>
                  </w:pPr>
                  <w:r>
                    <w:rPr>
                      <w:rFonts w:hAnsiTheme="minorEastAsia" w:eastAsiaTheme="minorEastAsia"/>
                      <w:szCs w:val="21"/>
                    </w:rPr>
                    <w:t>页岩气勘探开发项目应符合城乡总体规划、土地利用规划、页岩气发展规划和生态环境功能区划等相关规划要求，禁止在生态红线内进行页岩气开发活动，页岩气平台选址应避开地下水饮用水源地及其主要补给、径流区。</w:t>
                  </w:r>
                </w:p>
              </w:tc>
              <w:tc>
                <w:tcPr>
                  <w:tcW w:w="900" w:type="pct"/>
                  <w:vAlign w:val="center"/>
                </w:tcPr>
                <w:p w14:paraId="0AAEE5E8">
                  <w:pPr>
                    <w:pStyle w:val="137"/>
                    <w:rPr>
                      <w:rFonts w:eastAsiaTheme="minorEastAsia"/>
                      <w:szCs w:val="21"/>
                      <w:highlight w:val="yellow"/>
                    </w:rPr>
                  </w:pPr>
                  <w:r>
                    <w:rPr>
                      <w:rFonts w:hAnsiTheme="minorEastAsia" w:eastAsiaTheme="minorEastAsia"/>
                      <w:szCs w:val="21"/>
                    </w:rPr>
                    <w:t>项目不属于页岩气勘探开发。</w:t>
                  </w:r>
                </w:p>
              </w:tc>
              <w:tc>
                <w:tcPr>
                  <w:tcW w:w="292" w:type="pct"/>
                  <w:vAlign w:val="center"/>
                </w:tcPr>
                <w:p w14:paraId="07F1B672">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1804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29" w:type="pct"/>
                  <w:vMerge w:val="continue"/>
                  <w:vAlign w:val="center"/>
                </w:tcPr>
                <w:p w14:paraId="7DB80BBE">
                  <w:pPr>
                    <w:pStyle w:val="7"/>
                    <w:spacing w:before="0" w:after="0" w:line="240" w:lineRule="auto"/>
                    <w:jc w:val="center"/>
                    <w:rPr>
                      <w:rFonts w:eastAsiaTheme="minorEastAsia"/>
                      <w:sz w:val="21"/>
                      <w:szCs w:val="21"/>
                    </w:rPr>
                  </w:pPr>
                </w:p>
              </w:tc>
              <w:tc>
                <w:tcPr>
                  <w:tcW w:w="339" w:type="pct"/>
                  <w:vMerge w:val="continue"/>
                  <w:vAlign w:val="center"/>
                </w:tcPr>
                <w:p w14:paraId="117AD125">
                  <w:pPr>
                    <w:pStyle w:val="7"/>
                    <w:spacing w:before="0" w:after="0" w:line="240" w:lineRule="auto"/>
                    <w:jc w:val="center"/>
                    <w:rPr>
                      <w:rFonts w:eastAsiaTheme="minorEastAsia"/>
                      <w:sz w:val="21"/>
                      <w:szCs w:val="21"/>
                    </w:rPr>
                  </w:pPr>
                </w:p>
              </w:tc>
              <w:tc>
                <w:tcPr>
                  <w:tcW w:w="3140" w:type="pct"/>
                  <w:vAlign w:val="center"/>
                </w:tcPr>
                <w:p w14:paraId="0AE416C2">
                  <w:pPr>
                    <w:numPr>
                      <w:ilvl w:val="0"/>
                      <w:numId w:val="2"/>
                    </w:numPr>
                    <w:snapToGrid w:val="0"/>
                    <w:spacing w:line="340" w:lineRule="exact"/>
                    <w:jc w:val="left"/>
                    <w:rPr>
                      <w:rFonts w:eastAsiaTheme="minorEastAsia"/>
                      <w:szCs w:val="21"/>
                    </w:rPr>
                  </w:pPr>
                  <w:r>
                    <w:rPr>
                      <w:rFonts w:hAnsiTheme="minorEastAsia" w:eastAsiaTheme="minorEastAsia"/>
                      <w:szCs w:val="21"/>
                    </w:rPr>
                    <w:t>禁止在长江、乌江干流岸线</w:t>
                  </w:r>
                  <w:r>
                    <w:rPr>
                      <w:rFonts w:eastAsiaTheme="minorEastAsia"/>
                      <w:szCs w:val="21"/>
                    </w:rPr>
                    <w:t>1</w:t>
                  </w:r>
                  <w:r>
                    <w:rPr>
                      <w:rFonts w:hAnsiTheme="minorEastAsia" w:eastAsiaTheme="minorEastAsia"/>
                      <w:szCs w:val="21"/>
                    </w:rPr>
                    <w:t>公里范围内新建重化工、纺织、造纸等存在污染风险的工业项目，</w:t>
                  </w:r>
                  <w:r>
                    <w:rPr>
                      <w:rFonts w:eastAsiaTheme="minorEastAsia"/>
                      <w:szCs w:val="21"/>
                    </w:rPr>
                    <w:t>5</w:t>
                  </w:r>
                  <w:r>
                    <w:rPr>
                      <w:rFonts w:hAnsiTheme="minorEastAsia" w:eastAsiaTheme="minorEastAsia"/>
                      <w:szCs w:val="21"/>
                    </w:rPr>
                    <w:t>公里范围内除现有园区拓展外严禁新布局工业园区。</w:t>
                  </w:r>
                </w:p>
              </w:tc>
              <w:tc>
                <w:tcPr>
                  <w:tcW w:w="900" w:type="pct"/>
                  <w:vAlign w:val="center"/>
                </w:tcPr>
                <w:p w14:paraId="4B1901CE">
                  <w:pPr>
                    <w:pStyle w:val="137"/>
                    <w:rPr>
                      <w:rFonts w:eastAsiaTheme="minorEastAsia"/>
                      <w:szCs w:val="21"/>
                    </w:rPr>
                  </w:pPr>
                  <w:r>
                    <w:rPr>
                      <w:rFonts w:hAnsiTheme="minorEastAsia" w:eastAsiaTheme="minorEastAsia"/>
                      <w:szCs w:val="21"/>
                    </w:rPr>
                    <w:t>项目在长江、乌江干流岸线</w:t>
                  </w:r>
                  <w:r>
                    <w:rPr>
                      <w:rFonts w:eastAsiaTheme="minorEastAsia"/>
                      <w:szCs w:val="21"/>
                    </w:rPr>
                    <w:t>1</w:t>
                  </w:r>
                  <w:r>
                    <w:rPr>
                      <w:rFonts w:hAnsiTheme="minorEastAsia" w:eastAsiaTheme="minorEastAsia"/>
                      <w:szCs w:val="21"/>
                    </w:rPr>
                    <w:t>公里范围外且位于现有园区内新建。</w:t>
                  </w:r>
                </w:p>
              </w:tc>
              <w:tc>
                <w:tcPr>
                  <w:tcW w:w="292" w:type="pct"/>
                  <w:vAlign w:val="center"/>
                </w:tcPr>
                <w:p w14:paraId="0DC98EE6">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6DD8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329" w:type="pct"/>
                  <w:vMerge w:val="continue"/>
                  <w:vAlign w:val="center"/>
                </w:tcPr>
                <w:p w14:paraId="3A9BA981">
                  <w:pPr>
                    <w:pStyle w:val="7"/>
                    <w:spacing w:before="0" w:after="0" w:line="240" w:lineRule="auto"/>
                    <w:jc w:val="center"/>
                    <w:rPr>
                      <w:rFonts w:eastAsiaTheme="minorEastAsia"/>
                      <w:sz w:val="21"/>
                      <w:szCs w:val="21"/>
                    </w:rPr>
                  </w:pPr>
                </w:p>
              </w:tc>
              <w:tc>
                <w:tcPr>
                  <w:tcW w:w="339" w:type="pct"/>
                  <w:vMerge w:val="continue"/>
                  <w:vAlign w:val="center"/>
                </w:tcPr>
                <w:p w14:paraId="43F77832">
                  <w:pPr>
                    <w:pStyle w:val="7"/>
                    <w:spacing w:before="0" w:after="0" w:line="240" w:lineRule="auto"/>
                    <w:jc w:val="center"/>
                    <w:rPr>
                      <w:rFonts w:eastAsiaTheme="minorEastAsia"/>
                      <w:sz w:val="21"/>
                      <w:szCs w:val="21"/>
                    </w:rPr>
                  </w:pPr>
                </w:p>
              </w:tc>
              <w:tc>
                <w:tcPr>
                  <w:tcW w:w="3140" w:type="pct"/>
                  <w:vAlign w:val="center"/>
                </w:tcPr>
                <w:p w14:paraId="6311C0A0">
                  <w:pPr>
                    <w:snapToGrid w:val="0"/>
                    <w:spacing w:line="340" w:lineRule="exact"/>
                    <w:jc w:val="left"/>
                    <w:rPr>
                      <w:rFonts w:eastAsiaTheme="minorEastAsia"/>
                      <w:szCs w:val="21"/>
                    </w:rPr>
                  </w:pPr>
                  <w:r>
                    <w:rPr>
                      <w:rFonts w:hAnsiTheme="minorEastAsia" w:eastAsiaTheme="minorEastAsia"/>
                      <w:szCs w:val="21"/>
                    </w:rPr>
                    <w:t>第三条</w:t>
                  </w:r>
                  <w:r>
                    <w:rPr>
                      <w:rFonts w:eastAsiaTheme="minorEastAsia"/>
                      <w:szCs w:val="21"/>
                    </w:rPr>
                    <w:t xml:space="preserve"> </w:t>
                  </w:r>
                  <w:r>
                    <w:rPr>
                      <w:rFonts w:hAnsiTheme="minorEastAsia" w:eastAsiaTheme="minorEastAsia"/>
                      <w:szCs w:val="21"/>
                    </w:rPr>
                    <w:t>利用综合标准依法依规推动长江、乌江干流沿岸</w:t>
                  </w:r>
                  <w:r>
                    <w:rPr>
                      <w:rFonts w:eastAsiaTheme="minorEastAsia"/>
                      <w:szCs w:val="21"/>
                    </w:rPr>
                    <w:t>1</w:t>
                  </w:r>
                  <w:r>
                    <w:rPr>
                      <w:rFonts w:hAnsiTheme="minorEastAsia" w:eastAsiaTheme="minorEastAsia"/>
                      <w:szCs w:val="21"/>
                    </w:rPr>
                    <w:t>公里范围内重庆白涛化工园区、涪陵工业园区龙桥组团、清溪组团落后产能企业</w:t>
                  </w:r>
                  <w:r>
                    <w:rPr>
                      <w:rFonts w:eastAsiaTheme="minorEastAsia"/>
                      <w:szCs w:val="21"/>
                    </w:rPr>
                    <w:t>“</w:t>
                  </w:r>
                  <w:r>
                    <w:rPr>
                      <w:rFonts w:hAnsiTheme="minorEastAsia" w:eastAsiaTheme="minorEastAsia"/>
                      <w:szCs w:val="21"/>
                    </w:rPr>
                    <w:t>清零</w:t>
                  </w:r>
                  <w:r>
                    <w:rPr>
                      <w:rFonts w:eastAsiaTheme="minorEastAsia"/>
                      <w:szCs w:val="21"/>
                    </w:rPr>
                    <w:t>”</w:t>
                  </w:r>
                  <w:r>
                    <w:rPr>
                      <w:rFonts w:hAnsiTheme="minorEastAsia" w:eastAsiaTheme="minorEastAsia"/>
                      <w:szCs w:val="21"/>
                    </w:rPr>
                    <w:t>。现有合规园区及企业应加强环境风险防控。</w:t>
                  </w:r>
                </w:p>
              </w:tc>
              <w:tc>
                <w:tcPr>
                  <w:tcW w:w="900" w:type="pct"/>
                  <w:vAlign w:val="center"/>
                </w:tcPr>
                <w:p w14:paraId="476367B1">
                  <w:pPr>
                    <w:pStyle w:val="137"/>
                    <w:rPr>
                      <w:rFonts w:eastAsiaTheme="minorEastAsia"/>
                      <w:szCs w:val="21"/>
                    </w:rPr>
                  </w:pPr>
                  <w:r>
                    <w:rPr>
                      <w:rFonts w:hAnsiTheme="minorEastAsia" w:eastAsiaTheme="minorEastAsia"/>
                      <w:szCs w:val="21"/>
                    </w:rPr>
                    <w:t>项目不属于落后产能企业，园区及企业已采取一系列环境风险防控措施。</w:t>
                  </w:r>
                </w:p>
              </w:tc>
              <w:tc>
                <w:tcPr>
                  <w:tcW w:w="292" w:type="pct"/>
                  <w:vAlign w:val="center"/>
                </w:tcPr>
                <w:p w14:paraId="5831FEAC">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0661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9" w:type="pct"/>
                  <w:vMerge w:val="continue"/>
                  <w:vAlign w:val="center"/>
                </w:tcPr>
                <w:p w14:paraId="37422069">
                  <w:pPr>
                    <w:pStyle w:val="7"/>
                    <w:spacing w:before="0" w:after="0" w:line="240" w:lineRule="auto"/>
                    <w:jc w:val="center"/>
                    <w:rPr>
                      <w:rFonts w:eastAsiaTheme="minorEastAsia"/>
                      <w:sz w:val="21"/>
                      <w:szCs w:val="21"/>
                    </w:rPr>
                  </w:pPr>
                </w:p>
              </w:tc>
              <w:tc>
                <w:tcPr>
                  <w:tcW w:w="339" w:type="pct"/>
                  <w:vMerge w:val="continue"/>
                  <w:vAlign w:val="center"/>
                </w:tcPr>
                <w:p w14:paraId="6AFCBAAF">
                  <w:pPr>
                    <w:pStyle w:val="7"/>
                    <w:spacing w:before="0" w:after="0" w:line="240" w:lineRule="auto"/>
                    <w:jc w:val="center"/>
                    <w:rPr>
                      <w:rFonts w:eastAsiaTheme="minorEastAsia"/>
                      <w:sz w:val="21"/>
                      <w:szCs w:val="21"/>
                    </w:rPr>
                  </w:pPr>
                </w:p>
              </w:tc>
              <w:tc>
                <w:tcPr>
                  <w:tcW w:w="3140" w:type="pct"/>
                  <w:vAlign w:val="center"/>
                </w:tcPr>
                <w:p w14:paraId="5B85975F">
                  <w:pPr>
                    <w:snapToGrid w:val="0"/>
                    <w:spacing w:line="340" w:lineRule="exact"/>
                    <w:jc w:val="left"/>
                    <w:rPr>
                      <w:rFonts w:eastAsiaTheme="minorEastAsia"/>
                      <w:szCs w:val="21"/>
                    </w:rPr>
                  </w:pPr>
                  <w:r>
                    <w:rPr>
                      <w:rFonts w:hAnsiTheme="minorEastAsia" w:eastAsiaTheme="minorEastAsia"/>
                      <w:szCs w:val="21"/>
                    </w:rPr>
                    <w:t>第四条</w:t>
                  </w:r>
                  <w:r>
                    <w:rPr>
                      <w:rFonts w:eastAsiaTheme="minorEastAsia"/>
                      <w:szCs w:val="21"/>
                    </w:rPr>
                    <w:t xml:space="preserve"> </w:t>
                  </w:r>
                  <w:r>
                    <w:rPr>
                      <w:rFonts w:hAnsiTheme="minorEastAsia" w:eastAsiaTheme="minorEastAsia"/>
                      <w:szCs w:val="21"/>
                    </w:rPr>
                    <w:t>新建有污染物排放的工业项目，除在安全生产或者产业布局等方面有特殊要求外，应当进入工业园区（工业聚集区）。</w:t>
                  </w:r>
                </w:p>
              </w:tc>
              <w:tc>
                <w:tcPr>
                  <w:tcW w:w="900" w:type="pct"/>
                  <w:vAlign w:val="center"/>
                </w:tcPr>
                <w:p w14:paraId="3A5EEA41">
                  <w:pPr>
                    <w:pStyle w:val="137"/>
                    <w:rPr>
                      <w:rFonts w:eastAsiaTheme="minorEastAsia"/>
                      <w:szCs w:val="21"/>
                    </w:rPr>
                  </w:pPr>
                  <w:r>
                    <w:rPr>
                      <w:rFonts w:hAnsiTheme="minorEastAsia" w:eastAsiaTheme="minorEastAsia"/>
                      <w:szCs w:val="21"/>
                    </w:rPr>
                    <w:t>项目为新建项目，选址位于李渡工业园区。</w:t>
                  </w:r>
                </w:p>
              </w:tc>
              <w:tc>
                <w:tcPr>
                  <w:tcW w:w="292" w:type="pct"/>
                  <w:vAlign w:val="center"/>
                </w:tcPr>
                <w:p w14:paraId="2F6F0461">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46A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329" w:type="pct"/>
                  <w:vMerge w:val="continue"/>
                  <w:vAlign w:val="center"/>
                </w:tcPr>
                <w:p w14:paraId="39F0B420">
                  <w:pPr>
                    <w:pStyle w:val="7"/>
                    <w:spacing w:before="0" w:after="0" w:line="240" w:lineRule="auto"/>
                    <w:jc w:val="center"/>
                    <w:rPr>
                      <w:rFonts w:eastAsiaTheme="minorEastAsia"/>
                      <w:sz w:val="21"/>
                      <w:szCs w:val="21"/>
                    </w:rPr>
                  </w:pPr>
                </w:p>
              </w:tc>
              <w:tc>
                <w:tcPr>
                  <w:tcW w:w="339" w:type="pct"/>
                  <w:vMerge w:val="continue"/>
                  <w:vAlign w:val="center"/>
                </w:tcPr>
                <w:p w14:paraId="76BC297C">
                  <w:pPr>
                    <w:pStyle w:val="7"/>
                    <w:spacing w:before="0" w:after="0" w:line="240" w:lineRule="auto"/>
                    <w:jc w:val="center"/>
                    <w:rPr>
                      <w:rFonts w:eastAsiaTheme="minorEastAsia"/>
                      <w:sz w:val="21"/>
                      <w:szCs w:val="21"/>
                    </w:rPr>
                  </w:pPr>
                </w:p>
              </w:tc>
              <w:tc>
                <w:tcPr>
                  <w:tcW w:w="3140" w:type="pct"/>
                  <w:vAlign w:val="center"/>
                </w:tcPr>
                <w:p w14:paraId="16E1B104">
                  <w:pPr>
                    <w:snapToGrid w:val="0"/>
                    <w:spacing w:line="340" w:lineRule="exact"/>
                    <w:jc w:val="left"/>
                    <w:rPr>
                      <w:rFonts w:eastAsiaTheme="minorEastAsia"/>
                      <w:szCs w:val="21"/>
                    </w:rPr>
                  </w:pPr>
                  <w:r>
                    <w:rPr>
                      <w:rFonts w:hAnsiTheme="minorEastAsia" w:eastAsiaTheme="minorEastAsia"/>
                      <w:szCs w:val="21"/>
                    </w:rPr>
                    <w:t>第五条</w:t>
                  </w:r>
                  <w:r>
                    <w:rPr>
                      <w:rFonts w:eastAsiaTheme="minorEastAsia"/>
                      <w:szCs w:val="21"/>
                    </w:rPr>
                    <w:t xml:space="preserve"> </w:t>
                  </w:r>
                  <w:r>
                    <w:rPr>
                      <w:rFonts w:hAnsiTheme="minorEastAsia" w:eastAsiaTheme="minorEastAsia"/>
                      <w:szCs w:val="21"/>
                    </w:rPr>
                    <w:t>重庆白涛化工园区主导产业为天然气化工、石油下游产品化工、氯氟化工，园区禁止新建或扩建以天然气为原料的生产甲醇装置（天然气制</w:t>
                  </w:r>
                  <w:r>
                    <w:rPr>
                      <w:rFonts w:eastAsiaTheme="minorEastAsia"/>
                      <w:szCs w:val="21"/>
                    </w:rPr>
                    <w:t>1,4-</w:t>
                  </w:r>
                  <w:r>
                    <w:rPr>
                      <w:rFonts w:hAnsiTheme="minorEastAsia" w:eastAsiaTheme="minorEastAsia"/>
                      <w:szCs w:val="21"/>
                    </w:rPr>
                    <w:t>丁二醇副产甲醇、甲醛除外）、环境风险较大的危废处置项目（园区配套的危险废物集中暂存设施、危险废物企业内部综合利用、页岩气油基岩屑处理、现有危险废物综合利用企业扩能改造除外）、食品等与园区主导产业环境相冲突的项目。不规划以天然气为原料的新建、扩建合成氨装置（区域规划搬迁、综合利用项目除外）。不规划以氟化氢为主要产品的生产装置。禁止新建以天然气为原料的新建、扩建合成氨装置（区域规划搬迁、综合利用项目除外），禁止新建以氟化氢为主要产品的生产装置。</w:t>
                  </w:r>
                </w:p>
              </w:tc>
              <w:tc>
                <w:tcPr>
                  <w:tcW w:w="900" w:type="pct"/>
                  <w:vAlign w:val="center"/>
                </w:tcPr>
                <w:p w14:paraId="08AD8125">
                  <w:pPr>
                    <w:pStyle w:val="137"/>
                    <w:rPr>
                      <w:rFonts w:eastAsiaTheme="minorEastAsia"/>
                      <w:szCs w:val="21"/>
                    </w:rPr>
                  </w:pPr>
                  <w:r>
                    <w:rPr>
                      <w:rFonts w:hAnsiTheme="minorEastAsia" w:eastAsiaTheme="minorEastAsia"/>
                      <w:szCs w:val="21"/>
                    </w:rPr>
                    <w:t>项目位于</w:t>
                  </w:r>
                  <w:r>
                    <w:rPr>
                      <w:rFonts w:hint="eastAsia"/>
                      <w:szCs w:val="21"/>
                    </w:rPr>
                    <w:t>重庆市涪陵区鹤凤大道33号</w:t>
                  </w:r>
                  <w:r>
                    <w:rPr>
                      <w:rFonts w:hAnsiTheme="minorEastAsia" w:eastAsiaTheme="minorEastAsia"/>
                      <w:szCs w:val="21"/>
                    </w:rPr>
                    <w:t>。</w:t>
                  </w:r>
                </w:p>
              </w:tc>
              <w:tc>
                <w:tcPr>
                  <w:tcW w:w="292" w:type="pct"/>
                  <w:vAlign w:val="center"/>
                </w:tcPr>
                <w:p w14:paraId="58371AB7">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3BB6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29" w:type="pct"/>
                  <w:vMerge w:val="continue"/>
                  <w:vAlign w:val="center"/>
                </w:tcPr>
                <w:p w14:paraId="26850D95">
                  <w:pPr>
                    <w:pStyle w:val="7"/>
                    <w:spacing w:before="0" w:after="0" w:line="240" w:lineRule="auto"/>
                    <w:jc w:val="center"/>
                    <w:rPr>
                      <w:rFonts w:eastAsiaTheme="minorEastAsia"/>
                      <w:sz w:val="21"/>
                      <w:szCs w:val="21"/>
                    </w:rPr>
                  </w:pPr>
                </w:p>
              </w:tc>
              <w:tc>
                <w:tcPr>
                  <w:tcW w:w="339" w:type="pct"/>
                  <w:vMerge w:val="continue"/>
                  <w:vAlign w:val="center"/>
                </w:tcPr>
                <w:p w14:paraId="0F163855">
                  <w:pPr>
                    <w:pStyle w:val="7"/>
                    <w:spacing w:before="0" w:after="0" w:line="240" w:lineRule="auto"/>
                    <w:jc w:val="center"/>
                    <w:rPr>
                      <w:rFonts w:eastAsiaTheme="minorEastAsia"/>
                      <w:sz w:val="21"/>
                      <w:szCs w:val="21"/>
                    </w:rPr>
                  </w:pPr>
                </w:p>
              </w:tc>
              <w:tc>
                <w:tcPr>
                  <w:tcW w:w="3140" w:type="pct"/>
                  <w:vAlign w:val="center"/>
                </w:tcPr>
                <w:p w14:paraId="3B8F77B8">
                  <w:pPr>
                    <w:snapToGrid w:val="0"/>
                    <w:spacing w:line="340" w:lineRule="exact"/>
                    <w:jc w:val="left"/>
                    <w:rPr>
                      <w:rFonts w:eastAsiaTheme="minorEastAsia"/>
                      <w:szCs w:val="21"/>
                    </w:rPr>
                  </w:pPr>
                  <w:r>
                    <w:rPr>
                      <w:rFonts w:hAnsiTheme="minorEastAsia" w:eastAsiaTheme="minorEastAsia"/>
                      <w:szCs w:val="21"/>
                    </w:rPr>
                    <w:t>第六条</w:t>
                  </w:r>
                  <w:r>
                    <w:rPr>
                      <w:rFonts w:eastAsiaTheme="minorEastAsia"/>
                      <w:szCs w:val="21"/>
                    </w:rPr>
                    <w:t xml:space="preserve"> </w:t>
                  </w:r>
                  <w:r>
                    <w:rPr>
                      <w:rFonts w:hAnsiTheme="minorEastAsia" w:eastAsiaTheme="minorEastAsia"/>
                      <w:szCs w:val="21"/>
                    </w:rPr>
                    <w:t>重庆白涛化工园区清溪组团：园区北侧、东侧</w:t>
                  </w:r>
                  <w:r>
                    <w:rPr>
                      <w:rFonts w:eastAsiaTheme="minorEastAsia"/>
                      <w:szCs w:val="21"/>
                    </w:rPr>
                    <w:t xml:space="preserve">1km </w:t>
                  </w:r>
                  <w:r>
                    <w:rPr>
                      <w:rFonts w:hAnsiTheme="minorEastAsia" w:eastAsiaTheme="minorEastAsia"/>
                      <w:szCs w:val="21"/>
                    </w:rPr>
                    <w:t>范围内不得新建农村集中居民点</w:t>
                  </w:r>
                </w:p>
              </w:tc>
              <w:tc>
                <w:tcPr>
                  <w:tcW w:w="900" w:type="pct"/>
                  <w:vAlign w:val="center"/>
                </w:tcPr>
                <w:p w14:paraId="03EF42E3">
                  <w:pPr>
                    <w:pStyle w:val="137"/>
                    <w:rPr>
                      <w:rFonts w:eastAsiaTheme="minorEastAsia"/>
                      <w:szCs w:val="21"/>
                    </w:rPr>
                  </w:pPr>
                  <w:r>
                    <w:rPr>
                      <w:rFonts w:hAnsiTheme="minorEastAsia" w:eastAsiaTheme="minorEastAsia"/>
                      <w:szCs w:val="21"/>
                    </w:rPr>
                    <w:t>项目位于</w:t>
                  </w:r>
                  <w:r>
                    <w:rPr>
                      <w:rFonts w:hint="eastAsia"/>
                      <w:szCs w:val="21"/>
                    </w:rPr>
                    <w:t>重庆市涪陵区鹤凤大道33号</w:t>
                  </w:r>
                  <w:r>
                    <w:rPr>
                      <w:rFonts w:hAnsiTheme="minorEastAsia" w:eastAsiaTheme="minorEastAsia"/>
                      <w:szCs w:val="21"/>
                    </w:rPr>
                    <w:t>。</w:t>
                  </w:r>
                </w:p>
              </w:tc>
              <w:tc>
                <w:tcPr>
                  <w:tcW w:w="292" w:type="pct"/>
                  <w:vAlign w:val="center"/>
                </w:tcPr>
                <w:p w14:paraId="017215E9">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635D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329" w:type="pct"/>
                  <w:vMerge w:val="continue"/>
                  <w:vAlign w:val="center"/>
                </w:tcPr>
                <w:p w14:paraId="34A08258">
                  <w:pPr>
                    <w:pStyle w:val="7"/>
                    <w:spacing w:before="0" w:after="0" w:line="240" w:lineRule="auto"/>
                    <w:jc w:val="center"/>
                    <w:rPr>
                      <w:rFonts w:eastAsiaTheme="minorEastAsia"/>
                      <w:sz w:val="21"/>
                      <w:szCs w:val="21"/>
                    </w:rPr>
                  </w:pPr>
                </w:p>
              </w:tc>
              <w:tc>
                <w:tcPr>
                  <w:tcW w:w="339" w:type="pct"/>
                  <w:vMerge w:val="continue"/>
                  <w:vAlign w:val="center"/>
                </w:tcPr>
                <w:p w14:paraId="4C5201C6">
                  <w:pPr>
                    <w:pStyle w:val="7"/>
                    <w:spacing w:before="0" w:after="0" w:line="240" w:lineRule="auto"/>
                    <w:jc w:val="center"/>
                    <w:rPr>
                      <w:rFonts w:eastAsiaTheme="minorEastAsia"/>
                      <w:sz w:val="21"/>
                      <w:szCs w:val="21"/>
                    </w:rPr>
                  </w:pPr>
                </w:p>
              </w:tc>
              <w:tc>
                <w:tcPr>
                  <w:tcW w:w="3140" w:type="pct"/>
                  <w:vAlign w:val="center"/>
                </w:tcPr>
                <w:p w14:paraId="06799012">
                  <w:pPr>
                    <w:snapToGrid w:val="0"/>
                    <w:spacing w:line="340" w:lineRule="exact"/>
                    <w:jc w:val="left"/>
                    <w:rPr>
                      <w:rFonts w:eastAsiaTheme="minorEastAsia"/>
                      <w:szCs w:val="21"/>
                    </w:rPr>
                  </w:pPr>
                  <w:r>
                    <w:rPr>
                      <w:rFonts w:hAnsiTheme="minorEastAsia" w:eastAsiaTheme="minorEastAsia"/>
                      <w:szCs w:val="21"/>
                    </w:rPr>
                    <w:t>第七条</w:t>
                  </w:r>
                  <w:r>
                    <w:rPr>
                      <w:rFonts w:eastAsiaTheme="minorEastAsia"/>
                      <w:szCs w:val="21"/>
                    </w:rPr>
                    <w:t xml:space="preserve"> </w:t>
                  </w:r>
                  <w:r>
                    <w:rPr>
                      <w:rFonts w:hAnsiTheme="minorEastAsia" w:eastAsiaTheme="minorEastAsia"/>
                      <w:szCs w:val="21"/>
                    </w:rPr>
                    <w:t>重庆涪陵工业园区李渡组团：禁止新建化工、印染业、化学原料药、造纸、水泥生产等重污染行业和其它不符合国家产业政策的项目，以及超出环境资源承载力的项目。禁止新建、扩建排放重金属（铬、镉、汞、砷、铅等五类重金属，下同）、剧毒物质和持久性有机污染物的工业项目。</w:t>
                  </w:r>
                </w:p>
              </w:tc>
              <w:tc>
                <w:tcPr>
                  <w:tcW w:w="900" w:type="pct"/>
                  <w:vAlign w:val="center"/>
                </w:tcPr>
                <w:p w14:paraId="2BE7BF39">
                  <w:pPr>
                    <w:pStyle w:val="137"/>
                    <w:rPr>
                      <w:rFonts w:eastAsiaTheme="minorEastAsia"/>
                      <w:szCs w:val="21"/>
                    </w:rPr>
                  </w:pPr>
                  <w:r>
                    <w:rPr>
                      <w:rFonts w:hAnsiTheme="minorEastAsia" w:eastAsiaTheme="minorEastAsia"/>
                      <w:szCs w:val="21"/>
                    </w:rPr>
                    <w:t>项目位于涪陵区李渡组团，</w:t>
                  </w:r>
                  <w:r>
                    <w:rPr>
                      <w:rFonts w:hAnsiTheme="minorEastAsia" w:eastAsiaTheme="minorEastAsia"/>
                      <w:szCs w:val="21"/>
                      <w:lang w:val="en-GB"/>
                    </w:rPr>
                    <w:t>为新建项目，属于</w:t>
                  </w:r>
                  <w:r>
                    <w:rPr>
                      <w:rFonts w:eastAsiaTheme="minorEastAsia"/>
                      <w:szCs w:val="21"/>
                    </w:rPr>
                    <w:t>C2459</w:t>
                  </w:r>
                  <w:r>
                    <w:rPr>
                      <w:rFonts w:hAnsiTheme="minorEastAsia" w:eastAsiaTheme="minorEastAsia"/>
                      <w:szCs w:val="21"/>
                    </w:rPr>
                    <w:t>其他玩具制造</w:t>
                  </w:r>
                  <w:r>
                    <w:rPr>
                      <w:rFonts w:hAnsiTheme="minorEastAsia" w:eastAsiaTheme="minorEastAsia"/>
                      <w:szCs w:val="21"/>
                      <w:lang w:val="en-GB"/>
                    </w:rPr>
                    <w:t>，涉及印刷工艺，不属于化工、</w:t>
                  </w:r>
                  <w:r>
                    <w:rPr>
                      <w:rFonts w:hAnsiTheme="minorEastAsia" w:eastAsiaTheme="minorEastAsia"/>
                      <w:szCs w:val="21"/>
                    </w:rPr>
                    <w:t>印染业、化学原料药、造纸、水泥生产等重污染行业，也不属于排放重金属（铬、镉、汞、砷、铅等五类重金属，下同）、剧毒物质和持久性有机污染物的工业项目</w:t>
                  </w:r>
                </w:p>
              </w:tc>
              <w:tc>
                <w:tcPr>
                  <w:tcW w:w="292" w:type="pct"/>
                  <w:vAlign w:val="center"/>
                </w:tcPr>
                <w:p w14:paraId="73EEE408">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6554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9" w:type="pct"/>
                  <w:vMerge w:val="continue"/>
                  <w:vAlign w:val="center"/>
                </w:tcPr>
                <w:p w14:paraId="627C7ECD">
                  <w:pPr>
                    <w:pStyle w:val="7"/>
                    <w:spacing w:before="0" w:after="0" w:line="240" w:lineRule="auto"/>
                    <w:jc w:val="center"/>
                    <w:rPr>
                      <w:rFonts w:eastAsiaTheme="minorEastAsia"/>
                      <w:sz w:val="21"/>
                      <w:szCs w:val="21"/>
                    </w:rPr>
                  </w:pPr>
                </w:p>
              </w:tc>
              <w:tc>
                <w:tcPr>
                  <w:tcW w:w="339" w:type="pct"/>
                  <w:vMerge w:val="continue"/>
                  <w:vAlign w:val="center"/>
                </w:tcPr>
                <w:p w14:paraId="63E695B1">
                  <w:pPr>
                    <w:pStyle w:val="7"/>
                    <w:spacing w:before="0" w:after="0" w:line="240" w:lineRule="auto"/>
                    <w:jc w:val="center"/>
                    <w:rPr>
                      <w:rFonts w:eastAsiaTheme="minorEastAsia"/>
                      <w:sz w:val="21"/>
                      <w:szCs w:val="21"/>
                    </w:rPr>
                  </w:pPr>
                </w:p>
              </w:tc>
              <w:tc>
                <w:tcPr>
                  <w:tcW w:w="3140" w:type="pct"/>
                  <w:vAlign w:val="center"/>
                </w:tcPr>
                <w:p w14:paraId="736AE892">
                  <w:pPr>
                    <w:snapToGrid w:val="0"/>
                    <w:spacing w:line="340" w:lineRule="exact"/>
                    <w:jc w:val="left"/>
                    <w:rPr>
                      <w:rFonts w:eastAsiaTheme="minorEastAsia"/>
                      <w:szCs w:val="21"/>
                    </w:rPr>
                  </w:pPr>
                  <w:r>
                    <w:rPr>
                      <w:rFonts w:hAnsiTheme="minorEastAsia" w:eastAsiaTheme="minorEastAsia"/>
                      <w:szCs w:val="21"/>
                    </w:rPr>
                    <w:t>第八条</w:t>
                  </w:r>
                  <w:r>
                    <w:rPr>
                      <w:rFonts w:eastAsiaTheme="minorEastAsia"/>
                      <w:szCs w:val="21"/>
                    </w:rPr>
                    <w:t xml:space="preserve"> </w:t>
                  </w:r>
                  <w:r>
                    <w:rPr>
                      <w:rFonts w:hAnsiTheme="minorEastAsia" w:eastAsiaTheme="minorEastAsia"/>
                      <w:szCs w:val="21"/>
                    </w:rPr>
                    <w:t>重庆涪陵工业园区龙桥组团：维持现有燃煤锅炉容量，不新增大型燃煤项目。</w:t>
                  </w:r>
                </w:p>
              </w:tc>
              <w:tc>
                <w:tcPr>
                  <w:tcW w:w="900" w:type="pct"/>
                  <w:vAlign w:val="center"/>
                </w:tcPr>
                <w:p w14:paraId="62021E5A">
                  <w:pPr>
                    <w:pStyle w:val="137"/>
                    <w:rPr>
                      <w:rFonts w:eastAsiaTheme="minorEastAsia"/>
                      <w:szCs w:val="21"/>
                    </w:rPr>
                  </w:pPr>
                  <w:r>
                    <w:rPr>
                      <w:rFonts w:hAnsiTheme="minorEastAsia" w:eastAsiaTheme="minorEastAsia"/>
                      <w:szCs w:val="21"/>
                    </w:rPr>
                    <w:t>项目位于涪陵区李渡组团</w:t>
                  </w:r>
                </w:p>
              </w:tc>
              <w:tc>
                <w:tcPr>
                  <w:tcW w:w="292" w:type="pct"/>
                  <w:vAlign w:val="center"/>
                </w:tcPr>
                <w:p w14:paraId="2095767D">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04CF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29" w:type="pct"/>
                  <w:vMerge w:val="continue"/>
                  <w:vAlign w:val="center"/>
                </w:tcPr>
                <w:p w14:paraId="3F7C97A7">
                  <w:pPr>
                    <w:pStyle w:val="7"/>
                    <w:spacing w:before="0" w:after="0" w:line="240" w:lineRule="auto"/>
                    <w:jc w:val="center"/>
                    <w:rPr>
                      <w:rFonts w:eastAsiaTheme="minorEastAsia"/>
                      <w:sz w:val="21"/>
                      <w:szCs w:val="21"/>
                      <w:highlight w:val="yellow"/>
                    </w:rPr>
                  </w:pPr>
                </w:p>
              </w:tc>
              <w:tc>
                <w:tcPr>
                  <w:tcW w:w="339" w:type="pct"/>
                  <w:vMerge w:val="restart"/>
                  <w:vAlign w:val="center"/>
                </w:tcPr>
                <w:p w14:paraId="36DB6314">
                  <w:pPr>
                    <w:pStyle w:val="7"/>
                    <w:spacing w:before="0" w:after="0" w:line="240" w:lineRule="auto"/>
                    <w:jc w:val="center"/>
                    <w:rPr>
                      <w:rFonts w:eastAsiaTheme="minorEastAsia"/>
                      <w:sz w:val="21"/>
                      <w:szCs w:val="21"/>
                      <w:highlight w:val="yellow"/>
                    </w:rPr>
                  </w:pPr>
                  <w:r>
                    <w:rPr>
                      <w:rFonts w:hAnsiTheme="minorEastAsia" w:eastAsiaTheme="minorEastAsia"/>
                      <w:sz w:val="21"/>
                      <w:szCs w:val="21"/>
                    </w:rPr>
                    <w:t>污染物排放管控</w:t>
                  </w:r>
                </w:p>
              </w:tc>
              <w:tc>
                <w:tcPr>
                  <w:tcW w:w="3140" w:type="pct"/>
                  <w:vAlign w:val="center"/>
                </w:tcPr>
                <w:p w14:paraId="01EEE28F">
                  <w:pPr>
                    <w:snapToGrid w:val="0"/>
                    <w:spacing w:line="340" w:lineRule="exact"/>
                    <w:jc w:val="left"/>
                    <w:rPr>
                      <w:rFonts w:eastAsiaTheme="minorEastAsia"/>
                      <w:szCs w:val="21"/>
                    </w:rPr>
                  </w:pPr>
                  <w:r>
                    <w:rPr>
                      <w:rFonts w:hAnsiTheme="minorEastAsia" w:eastAsiaTheme="minorEastAsia"/>
                      <w:szCs w:val="21"/>
                    </w:rPr>
                    <w:t>第九条</w:t>
                  </w:r>
                  <w:r>
                    <w:rPr>
                      <w:rFonts w:eastAsiaTheme="minorEastAsia"/>
                      <w:szCs w:val="21"/>
                    </w:rPr>
                    <w:t xml:space="preserve"> </w:t>
                  </w:r>
                  <w:r>
                    <w:rPr>
                      <w:rFonts w:hAnsiTheme="minorEastAsia" w:eastAsiaTheme="minorEastAsia"/>
                      <w:szCs w:val="21"/>
                    </w:rPr>
                    <w:t>完善涪陵城区污水处理设施及管网建设。推进实施乡镇污水管网建设。</w:t>
                  </w:r>
                </w:p>
              </w:tc>
              <w:tc>
                <w:tcPr>
                  <w:tcW w:w="900" w:type="pct"/>
                  <w:vAlign w:val="center"/>
                </w:tcPr>
                <w:p w14:paraId="5A7DA875">
                  <w:pPr>
                    <w:pStyle w:val="20"/>
                    <w:spacing w:before="0" w:beforeAutospacing="0" w:after="0" w:afterAutospacing="0" w:line="300" w:lineRule="atLeast"/>
                    <w:jc w:val="center"/>
                    <w:rPr>
                      <w:rFonts w:ascii="Times New Roman" w:hAnsi="Times New Roman" w:eastAsiaTheme="minorEastAsia"/>
                      <w:sz w:val="21"/>
                      <w:szCs w:val="21"/>
                      <w:highlight w:val="yellow"/>
                    </w:rPr>
                  </w:pPr>
                  <w:r>
                    <w:rPr>
                      <w:rFonts w:ascii="Times New Roman" w:hAnsiTheme="minorEastAsia" w:eastAsiaTheme="minorEastAsia"/>
                      <w:sz w:val="21"/>
                      <w:szCs w:val="21"/>
                    </w:rPr>
                    <w:t>项目不涉及涪陵城区污水处理设施及管网建设</w:t>
                  </w:r>
                </w:p>
              </w:tc>
              <w:tc>
                <w:tcPr>
                  <w:tcW w:w="292" w:type="pct"/>
                  <w:vAlign w:val="center"/>
                </w:tcPr>
                <w:p w14:paraId="5744D8D3">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0364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29" w:type="pct"/>
                  <w:vMerge w:val="continue"/>
                  <w:vAlign w:val="center"/>
                </w:tcPr>
                <w:p w14:paraId="016495C2">
                  <w:pPr>
                    <w:pStyle w:val="7"/>
                    <w:spacing w:before="0" w:after="0" w:line="240" w:lineRule="auto"/>
                    <w:jc w:val="center"/>
                    <w:rPr>
                      <w:rFonts w:eastAsiaTheme="minorEastAsia"/>
                      <w:sz w:val="21"/>
                      <w:szCs w:val="21"/>
                      <w:highlight w:val="yellow"/>
                    </w:rPr>
                  </w:pPr>
                </w:p>
              </w:tc>
              <w:tc>
                <w:tcPr>
                  <w:tcW w:w="339" w:type="pct"/>
                  <w:vMerge w:val="continue"/>
                  <w:vAlign w:val="center"/>
                </w:tcPr>
                <w:p w14:paraId="3EB95F80">
                  <w:pPr>
                    <w:pStyle w:val="7"/>
                    <w:spacing w:before="0" w:after="0" w:line="240" w:lineRule="auto"/>
                    <w:jc w:val="center"/>
                    <w:rPr>
                      <w:rFonts w:eastAsiaTheme="minorEastAsia"/>
                      <w:sz w:val="21"/>
                      <w:szCs w:val="21"/>
                      <w:highlight w:val="yellow"/>
                    </w:rPr>
                  </w:pPr>
                </w:p>
              </w:tc>
              <w:tc>
                <w:tcPr>
                  <w:tcW w:w="3140" w:type="pct"/>
                  <w:vAlign w:val="center"/>
                </w:tcPr>
                <w:p w14:paraId="21966AD3">
                  <w:pPr>
                    <w:pStyle w:val="138"/>
                    <w:ind w:firstLine="0" w:firstLineChars="0"/>
                    <w:jc w:val="left"/>
                    <w:rPr>
                      <w:rFonts w:eastAsiaTheme="minorEastAsia"/>
                      <w:szCs w:val="21"/>
                      <w:highlight w:val="yellow"/>
                    </w:rPr>
                  </w:pPr>
                  <w:r>
                    <w:rPr>
                      <w:rFonts w:hAnsiTheme="minorEastAsia" w:eastAsiaTheme="minorEastAsia"/>
                      <w:szCs w:val="21"/>
                    </w:rPr>
                    <w:t>第十条</w:t>
                  </w:r>
                  <w:r>
                    <w:rPr>
                      <w:rFonts w:eastAsiaTheme="minorEastAsia"/>
                      <w:szCs w:val="21"/>
                    </w:rPr>
                    <w:t xml:space="preserve"> </w:t>
                  </w:r>
                  <w:r>
                    <w:rPr>
                      <w:rFonts w:hAnsiTheme="minorEastAsia" w:eastAsiaTheme="minorEastAsia"/>
                      <w:szCs w:val="21"/>
                    </w:rPr>
                    <w:t>页岩气勘探开发产出水应优先进行回用。优化页岩气井场内高噪声设备布局，推广网电钻机和网电压裂工艺，降低噪声源强，切实做好工程周边居民的沟通解释工作，避免噪声投诉发生。建议规划建设集中的页岩气采出水处理设施和钻井固废处置中心，实现废物就地处置或资源化利用。</w:t>
                  </w:r>
                </w:p>
              </w:tc>
              <w:tc>
                <w:tcPr>
                  <w:tcW w:w="900" w:type="pct"/>
                  <w:vAlign w:val="center"/>
                </w:tcPr>
                <w:p w14:paraId="0572315C">
                  <w:pPr>
                    <w:pStyle w:val="20"/>
                    <w:spacing w:before="0" w:beforeAutospacing="0" w:after="0" w:afterAutospacing="0" w:line="300" w:lineRule="atLeast"/>
                    <w:jc w:val="center"/>
                    <w:rPr>
                      <w:rFonts w:ascii="Times New Roman" w:hAnsi="Times New Roman" w:eastAsiaTheme="minorEastAsia"/>
                      <w:sz w:val="21"/>
                      <w:szCs w:val="21"/>
                      <w:highlight w:val="yellow"/>
                    </w:rPr>
                  </w:pPr>
                  <w:r>
                    <w:rPr>
                      <w:rFonts w:ascii="Times New Roman" w:hAnsiTheme="minorEastAsia" w:eastAsiaTheme="minorEastAsia"/>
                      <w:sz w:val="21"/>
                      <w:szCs w:val="21"/>
                    </w:rPr>
                    <w:t>项目不涉及页岩气勘探开发</w:t>
                  </w:r>
                </w:p>
              </w:tc>
              <w:tc>
                <w:tcPr>
                  <w:tcW w:w="292" w:type="pct"/>
                  <w:vAlign w:val="center"/>
                </w:tcPr>
                <w:p w14:paraId="6DE46FDD">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2989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29" w:type="pct"/>
                  <w:vMerge w:val="continue"/>
                  <w:vAlign w:val="center"/>
                </w:tcPr>
                <w:p w14:paraId="36883F17">
                  <w:pPr>
                    <w:pStyle w:val="7"/>
                    <w:spacing w:before="0" w:after="0" w:line="240" w:lineRule="auto"/>
                    <w:jc w:val="center"/>
                    <w:rPr>
                      <w:rFonts w:eastAsiaTheme="minorEastAsia"/>
                      <w:sz w:val="21"/>
                      <w:szCs w:val="21"/>
                      <w:highlight w:val="yellow"/>
                    </w:rPr>
                  </w:pPr>
                </w:p>
              </w:tc>
              <w:tc>
                <w:tcPr>
                  <w:tcW w:w="339" w:type="pct"/>
                  <w:vMerge w:val="continue"/>
                  <w:vAlign w:val="center"/>
                </w:tcPr>
                <w:p w14:paraId="0DFC3233">
                  <w:pPr>
                    <w:pStyle w:val="7"/>
                    <w:spacing w:before="0" w:after="0" w:line="240" w:lineRule="auto"/>
                    <w:jc w:val="center"/>
                    <w:rPr>
                      <w:rFonts w:eastAsiaTheme="minorEastAsia"/>
                      <w:sz w:val="21"/>
                      <w:szCs w:val="21"/>
                      <w:highlight w:val="yellow"/>
                    </w:rPr>
                  </w:pPr>
                </w:p>
              </w:tc>
              <w:tc>
                <w:tcPr>
                  <w:tcW w:w="3140" w:type="pct"/>
                  <w:vAlign w:val="center"/>
                </w:tcPr>
                <w:p w14:paraId="49513671">
                  <w:pPr>
                    <w:pStyle w:val="138"/>
                    <w:ind w:firstLine="0" w:firstLineChars="0"/>
                    <w:jc w:val="left"/>
                    <w:rPr>
                      <w:rFonts w:eastAsiaTheme="minorEastAsia"/>
                      <w:szCs w:val="21"/>
                      <w:highlight w:val="yellow"/>
                    </w:rPr>
                  </w:pPr>
                  <w:r>
                    <w:rPr>
                      <w:rFonts w:hAnsiTheme="minorEastAsia" w:eastAsiaTheme="minorEastAsia"/>
                      <w:szCs w:val="21"/>
                    </w:rPr>
                    <w:t>第十一条</w:t>
                  </w:r>
                  <w:r>
                    <w:rPr>
                      <w:rFonts w:eastAsiaTheme="minorEastAsia"/>
                      <w:szCs w:val="21"/>
                    </w:rPr>
                    <w:t xml:space="preserve"> </w:t>
                  </w:r>
                  <w:r>
                    <w:rPr>
                      <w:rFonts w:hAnsiTheme="minorEastAsia" w:eastAsiaTheme="minorEastAsia"/>
                      <w:szCs w:val="21"/>
                    </w:rPr>
                    <w:t>加强涪陵区榨菜废水污染治理。</w:t>
                  </w:r>
                </w:p>
              </w:tc>
              <w:tc>
                <w:tcPr>
                  <w:tcW w:w="900" w:type="pct"/>
                  <w:vAlign w:val="center"/>
                </w:tcPr>
                <w:p w14:paraId="436A429C">
                  <w:pPr>
                    <w:pStyle w:val="20"/>
                    <w:spacing w:before="0" w:beforeAutospacing="0" w:after="0" w:afterAutospacing="0" w:line="300" w:lineRule="atLeast"/>
                    <w:jc w:val="center"/>
                    <w:rPr>
                      <w:rFonts w:ascii="Times New Roman" w:hAnsi="Times New Roman" w:eastAsiaTheme="minorEastAsia"/>
                      <w:sz w:val="21"/>
                      <w:szCs w:val="21"/>
                      <w:highlight w:val="yellow"/>
                    </w:rPr>
                  </w:pPr>
                  <w:r>
                    <w:rPr>
                      <w:rFonts w:ascii="Times New Roman" w:hAnsiTheme="minorEastAsia" w:eastAsiaTheme="minorEastAsia"/>
                      <w:sz w:val="21"/>
                      <w:szCs w:val="21"/>
                    </w:rPr>
                    <w:t>项目不涉及榨菜生产</w:t>
                  </w:r>
                </w:p>
              </w:tc>
              <w:tc>
                <w:tcPr>
                  <w:tcW w:w="292" w:type="pct"/>
                  <w:vAlign w:val="center"/>
                </w:tcPr>
                <w:p w14:paraId="1560CCC7">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1F83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9" w:type="pct"/>
                  <w:vMerge w:val="continue"/>
                  <w:vAlign w:val="center"/>
                </w:tcPr>
                <w:p w14:paraId="729F2C0B">
                  <w:pPr>
                    <w:pStyle w:val="7"/>
                    <w:spacing w:before="0" w:after="0" w:line="240" w:lineRule="auto"/>
                    <w:jc w:val="center"/>
                    <w:rPr>
                      <w:rFonts w:eastAsiaTheme="minorEastAsia"/>
                      <w:sz w:val="21"/>
                      <w:szCs w:val="21"/>
                      <w:highlight w:val="yellow"/>
                    </w:rPr>
                  </w:pPr>
                </w:p>
              </w:tc>
              <w:tc>
                <w:tcPr>
                  <w:tcW w:w="339" w:type="pct"/>
                  <w:vMerge w:val="restart"/>
                  <w:vAlign w:val="center"/>
                </w:tcPr>
                <w:p w14:paraId="7A5A05E6">
                  <w:pPr>
                    <w:pStyle w:val="7"/>
                    <w:spacing w:before="0" w:after="0" w:line="240" w:lineRule="auto"/>
                    <w:jc w:val="center"/>
                    <w:rPr>
                      <w:rFonts w:eastAsiaTheme="minorEastAsia"/>
                      <w:sz w:val="21"/>
                      <w:szCs w:val="21"/>
                      <w:highlight w:val="yellow"/>
                    </w:rPr>
                  </w:pPr>
                  <w:r>
                    <w:rPr>
                      <w:rFonts w:hAnsiTheme="minorEastAsia" w:eastAsiaTheme="minorEastAsia"/>
                      <w:sz w:val="21"/>
                      <w:szCs w:val="21"/>
                    </w:rPr>
                    <w:t>环境风险防控</w:t>
                  </w:r>
                </w:p>
              </w:tc>
              <w:tc>
                <w:tcPr>
                  <w:tcW w:w="3140" w:type="pct"/>
                  <w:vAlign w:val="center"/>
                </w:tcPr>
                <w:p w14:paraId="569CCB89">
                  <w:pPr>
                    <w:snapToGrid w:val="0"/>
                    <w:jc w:val="left"/>
                    <w:rPr>
                      <w:rFonts w:eastAsiaTheme="minorEastAsia"/>
                      <w:szCs w:val="21"/>
                    </w:rPr>
                  </w:pPr>
                  <w:r>
                    <w:rPr>
                      <w:rFonts w:hAnsiTheme="minorEastAsia" w:eastAsiaTheme="minorEastAsia"/>
                      <w:szCs w:val="21"/>
                    </w:rPr>
                    <w:t>第十二条</w:t>
                  </w:r>
                  <w:r>
                    <w:rPr>
                      <w:rFonts w:eastAsiaTheme="minorEastAsia"/>
                      <w:szCs w:val="21"/>
                    </w:rPr>
                    <w:t xml:space="preserve"> </w:t>
                  </w:r>
                  <w:r>
                    <w:rPr>
                      <w:rFonts w:hAnsiTheme="minorEastAsia" w:eastAsiaTheme="minorEastAsia"/>
                      <w:szCs w:val="21"/>
                    </w:rPr>
                    <w:t>加强水环境风险防范。严格环境风险控制。定期评估长江、乌江沿江工业企业、工业集聚区环境和健康风险，落实防控措施。对高风险化学品生产、使用进行严格限制，并逐步淘汰替代。以石油化工、合成氨、氯碱、磷化工、有色冶炼、页岩气开采等行业为重点，开展环境风险源调查，实施分类动态管理，督促落实环境风险主体责任，建设环境风险监控预警平台。</w:t>
                  </w:r>
                </w:p>
              </w:tc>
              <w:tc>
                <w:tcPr>
                  <w:tcW w:w="900" w:type="pct"/>
                  <w:vAlign w:val="center"/>
                </w:tcPr>
                <w:p w14:paraId="2D52A71B">
                  <w:pPr>
                    <w:pStyle w:val="20"/>
                    <w:spacing w:before="0" w:beforeAutospacing="0" w:after="0" w:afterAutospacing="0" w:line="300" w:lineRule="atLeast"/>
                    <w:jc w:val="center"/>
                    <w:rPr>
                      <w:rFonts w:ascii="Times New Roman" w:hAnsi="Times New Roman" w:eastAsiaTheme="minorEastAsia"/>
                      <w:sz w:val="21"/>
                      <w:szCs w:val="21"/>
                      <w:highlight w:val="yellow"/>
                    </w:rPr>
                  </w:pPr>
                  <w:r>
                    <w:rPr>
                      <w:rFonts w:ascii="Times New Roman" w:hAnsiTheme="minorEastAsia" w:eastAsiaTheme="minorEastAsia"/>
                      <w:sz w:val="21"/>
                      <w:szCs w:val="21"/>
                    </w:rPr>
                    <w:t>企业不属于沿江工业企业，不属于石油化工、合成氨、氯碱、磷化工、有色冶炼、页岩气开采等行业。</w:t>
                  </w:r>
                </w:p>
              </w:tc>
              <w:tc>
                <w:tcPr>
                  <w:tcW w:w="292" w:type="pct"/>
                  <w:vAlign w:val="center"/>
                </w:tcPr>
                <w:p w14:paraId="55959379">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1A8F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9" w:type="pct"/>
                  <w:vMerge w:val="continue"/>
                  <w:vAlign w:val="center"/>
                </w:tcPr>
                <w:p w14:paraId="08DE1691">
                  <w:pPr>
                    <w:pStyle w:val="7"/>
                    <w:spacing w:before="0" w:after="0" w:line="240" w:lineRule="auto"/>
                    <w:jc w:val="center"/>
                    <w:rPr>
                      <w:rFonts w:eastAsiaTheme="minorEastAsia"/>
                      <w:sz w:val="21"/>
                      <w:szCs w:val="21"/>
                      <w:highlight w:val="yellow"/>
                    </w:rPr>
                  </w:pPr>
                </w:p>
              </w:tc>
              <w:tc>
                <w:tcPr>
                  <w:tcW w:w="339" w:type="pct"/>
                  <w:vMerge w:val="continue"/>
                  <w:vAlign w:val="center"/>
                </w:tcPr>
                <w:p w14:paraId="2B745BAE">
                  <w:pPr>
                    <w:pStyle w:val="7"/>
                    <w:spacing w:before="0" w:after="0" w:line="240" w:lineRule="auto"/>
                    <w:jc w:val="center"/>
                    <w:rPr>
                      <w:rFonts w:eastAsiaTheme="minorEastAsia"/>
                      <w:sz w:val="21"/>
                      <w:szCs w:val="21"/>
                      <w:highlight w:val="yellow"/>
                    </w:rPr>
                  </w:pPr>
                </w:p>
              </w:tc>
              <w:tc>
                <w:tcPr>
                  <w:tcW w:w="3140" w:type="pct"/>
                  <w:vAlign w:val="center"/>
                </w:tcPr>
                <w:p w14:paraId="2F311AE0">
                  <w:pPr>
                    <w:snapToGrid w:val="0"/>
                    <w:jc w:val="left"/>
                    <w:rPr>
                      <w:rFonts w:eastAsiaTheme="minorEastAsia"/>
                      <w:szCs w:val="21"/>
                    </w:rPr>
                  </w:pPr>
                  <w:r>
                    <w:rPr>
                      <w:rFonts w:hAnsiTheme="minorEastAsia" w:eastAsiaTheme="minorEastAsia"/>
                      <w:szCs w:val="21"/>
                    </w:rPr>
                    <w:t>第十三条</w:t>
                  </w:r>
                  <w:r>
                    <w:rPr>
                      <w:rFonts w:eastAsiaTheme="minorEastAsia"/>
                      <w:szCs w:val="21"/>
                    </w:rPr>
                    <w:t xml:space="preserve"> </w:t>
                  </w:r>
                  <w:r>
                    <w:rPr>
                      <w:rFonts w:hAnsiTheme="minorEastAsia" w:eastAsiaTheme="minorEastAsia"/>
                      <w:szCs w:val="21"/>
                    </w:rPr>
                    <w:t>页岩气钻井平台、集气站、脱水站应配备可燃气体检测设备，实时监控输送管网运行压力。以区块为单位，制定自行监测方案，实现区域环境质量监控。</w:t>
                  </w:r>
                </w:p>
              </w:tc>
              <w:tc>
                <w:tcPr>
                  <w:tcW w:w="900" w:type="pct"/>
                  <w:vAlign w:val="center"/>
                </w:tcPr>
                <w:p w14:paraId="053388D5">
                  <w:pPr>
                    <w:pStyle w:val="20"/>
                    <w:spacing w:before="0" w:beforeAutospacing="0" w:after="0" w:afterAutospacing="0" w:line="300" w:lineRule="atLeast"/>
                    <w:jc w:val="center"/>
                    <w:rPr>
                      <w:rFonts w:ascii="Times New Roman" w:hAnsi="Times New Roman" w:eastAsiaTheme="minorEastAsia"/>
                      <w:sz w:val="21"/>
                      <w:szCs w:val="21"/>
                      <w:highlight w:val="yellow"/>
                    </w:rPr>
                  </w:pPr>
                  <w:r>
                    <w:rPr>
                      <w:rFonts w:ascii="Times New Roman" w:hAnsiTheme="minorEastAsia" w:eastAsiaTheme="minorEastAsia"/>
                      <w:sz w:val="21"/>
                      <w:szCs w:val="21"/>
                    </w:rPr>
                    <w:t>项目不涉及页岩气钻井。</w:t>
                  </w:r>
                </w:p>
              </w:tc>
              <w:tc>
                <w:tcPr>
                  <w:tcW w:w="292" w:type="pct"/>
                  <w:vAlign w:val="center"/>
                </w:tcPr>
                <w:p w14:paraId="4F445459">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09CF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9" w:type="pct"/>
                  <w:vMerge w:val="continue"/>
                  <w:vAlign w:val="center"/>
                </w:tcPr>
                <w:p w14:paraId="485252FB">
                  <w:pPr>
                    <w:pStyle w:val="7"/>
                    <w:spacing w:before="0" w:after="0" w:line="240" w:lineRule="auto"/>
                    <w:jc w:val="center"/>
                    <w:rPr>
                      <w:rFonts w:eastAsiaTheme="minorEastAsia"/>
                      <w:sz w:val="21"/>
                      <w:szCs w:val="21"/>
                    </w:rPr>
                  </w:pPr>
                </w:p>
              </w:tc>
              <w:tc>
                <w:tcPr>
                  <w:tcW w:w="339" w:type="pct"/>
                  <w:vMerge w:val="continue"/>
                  <w:vAlign w:val="center"/>
                </w:tcPr>
                <w:p w14:paraId="07131BF4">
                  <w:pPr>
                    <w:pStyle w:val="7"/>
                    <w:spacing w:before="0" w:after="0" w:line="240" w:lineRule="auto"/>
                    <w:jc w:val="center"/>
                    <w:rPr>
                      <w:rFonts w:eastAsiaTheme="minorEastAsia"/>
                      <w:sz w:val="21"/>
                      <w:szCs w:val="21"/>
                    </w:rPr>
                  </w:pPr>
                </w:p>
              </w:tc>
              <w:tc>
                <w:tcPr>
                  <w:tcW w:w="3140" w:type="pct"/>
                  <w:vAlign w:val="center"/>
                </w:tcPr>
                <w:p w14:paraId="2F4C7B19">
                  <w:pPr>
                    <w:snapToGrid w:val="0"/>
                    <w:jc w:val="left"/>
                    <w:rPr>
                      <w:rFonts w:eastAsiaTheme="minorEastAsia"/>
                      <w:szCs w:val="21"/>
                    </w:rPr>
                  </w:pPr>
                  <w:r>
                    <w:rPr>
                      <w:rFonts w:hAnsiTheme="minorEastAsia" w:eastAsiaTheme="minorEastAsia"/>
                      <w:szCs w:val="21"/>
                    </w:rPr>
                    <w:t>第十四条</w:t>
                  </w:r>
                  <w:r>
                    <w:rPr>
                      <w:rFonts w:eastAsiaTheme="minorEastAsia"/>
                      <w:szCs w:val="21"/>
                    </w:rPr>
                    <w:t xml:space="preserve"> </w:t>
                  </w:r>
                  <w:r>
                    <w:rPr>
                      <w:rFonts w:hAnsiTheme="minorEastAsia" w:eastAsiaTheme="minorEastAsia"/>
                      <w:szCs w:val="21"/>
                    </w:rPr>
                    <w:t>稳妥处置突发水环境污染事件。完善水污染事故预警预报与响应程序。严格落实环境应急</w:t>
                  </w:r>
                  <w:r>
                    <w:rPr>
                      <w:rFonts w:eastAsiaTheme="minorEastAsia"/>
                      <w:szCs w:val="21"/>
                    </w:rPr>
                    <w:t>“</w:t>
                  </w:r>
                  <w:r>
                    <w:rPr>
                      <w:rFonts w:hAnsiTheme="minorEastAsia" w:eastAsiaTheme="minorEastAsia"/>
                      <w:szCs w:val="21"/>
                    </w:rPr>
                    <w:t>五个第一</w:t>
                  </w:r>
                  <w:r>
                    <w:rPr>
                      <w:rFonts w:eastAsiaTheme="minorEastAsia"/>
                      <w:szCs w:val="21"/>
                    </w:rPr>
                    <w:t>”</w:t>
                  </w:r>
                  <w:r>
                    <w:rPr>
                      <w:rFonts w:hAnsiTheme="minorEastAsia" w:eastAsiaTheme="minorEastAsia"/>
                      <w:szCs w:val="21"/>
                    </w:rPr>
                    <w:t>（第一时间报告、第一时间处置、第一时间监测、第一时间调查、第一时间公开信息）要求，依法科学妥善处置突发环境事件。</w:t>
                  </w:r>
                </w:p>
              </w:tc>
              <w:tc>
                <w:tcPr>
                  <w:tcW w:w="900" w:type="pct"/>
                  <w:vAlign w:val="center"/>
                </w:tcPr>
                <w:p w14:paraId="1A42A47B">
                  <w:pPr>
                    <w:pStyle w:val="20"/>
                    <w:spacing w:before="0" w:beforeAutospacing="0" w:after="0" w:afterAutospacing="0" w:line="300" w:lineRule="atLeast"/>
                    <w:jc w:val="center"/>
                    <w:rPr>
                      <w:rFonts w:ascii="Times New Roman" w:hAnsi="Times New Roman" w:eastAsiaTheme="minorEastAsia"/>
                      <w:sz w:val="21"/>
                      <w:szCs w:val="21"/>
                    </w:rPr>
                  </w:pPr>
                  <w:r>
                    <w:rPr>
                      <w:rFonts w:ascii="Times New Roman" w:hAnsiTheme="minorEastAsia" w:eastAsiaTheme="minorEastAsia"/>
                      <w:sz w:val="21"/>
                      <w:szCs w:val="21"/>
                    </w:rPr>
                    <w:t>项目建成后按要求编制突发环境应急预案，并在企业内设应急科，完善好水污染事故预警预报与响应程序。</w:t>
                  </w:r>
                </w:p>
              </w:tc>
              <w:tc>
                <w:tcPr>
                  <w:tcW w:w="292" w:type="pct"/>
                  <w:vAlign w:val="center"/>
                </w:tcPr>
                <w:p w14:paraId="59A0AE2F">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47D0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0E1A0434">
                  <w:pPr>
                    <w:pStyle w:val="7"/>
                    <w:spacing w:before="0" w:after="0" w:line="240" w:lineRule="auto"/>
                    <w:jc w:val="center"/>
                    <w:rPr>
                      <w:rFonts w:eastAsiaTheme="minorEastAsia"/>
                      <w:sz w:val="21"/>
                      <w:szCs w:val="21"/>
                    </w:rPr>
                  </w:pPr>
                </w:p>
              </w:tc>
              <w:tc>
                <w:tcPr>
                  <w:tcW w:w="339" w:type="pct"/>
                  <w:vMerge w:val="continue"/>
                  <w:vAlign w:val="center"/>
                </w:tcPr>
                <w:p w14:paraId="58D4776D">
                  <w:pPr>
                    <w:pStyle w:val="7"/>
                    <w:spacing w:before="0" w:after="0" w:line="240" w:lineRule="auto"/>
                    <w:jc w:val="center"/>
                    <w:rPr>
                      <w:rFonts w:eastAsiaTheme="minorEastAsia"/>
                      <w:sz w:val="21"/>
                      <w:szCs w:val="21"/>
                    </w:rPr>
                  </w:pPr>
                </w:p>
              </w:tc>
              <w:tc>
                <w:tcPr>
                  <w:tcW w:w="3140" w:type="pct"/>
                  <w:vAlign w:val="center"/>
                </w:tcPr>
                <w:p w14:paraId="1187A391">
                  <w:pPr>
                    <w:pStyle w:val="138"/>
                    <w:ind w:firstLine="0" w:firstLineChars="0"/>
                    <w:jc w:val="left"/>
                    <w:rPr>
                      <w:rFonts w:eastAsiaTheme="minorEastAsia"/>
                      <w:b/>
                      <w:szCs w:val="21"/>
                    </w:rPr>
                  </w:pPr>
                  <w:r>
                    <w:rPr>
                      <w:rFonts w:hAnsiTheme="minorEastAsia" w:eastAsiaTheme="minorEastAsia"/>
                      <w:szCs w:val="21"/>
                    </w:rPr>
                    <w:t>第十五条</w:t>
                  </w:r>
                  <w:r>
                    <w:rPr>
                      <w:rFonts w:eastAsiaTheme="minorEastAsia"/>
                      <w:szCs w:val="21"/>
                    </w:rPr>
                    <w:t xml:space="preserve"> </w:t>
                  </w:r>
                  <w:r>
                    <w:rPr>
                      <w:rFonts w:hAnsiTheme="minorEastAsia" w:eastAsiaTheme="minorEastAsia"/>
                      <w:szCs w:val="21"/>
                    </w:rPr>
                    <w:t>完善涪陵区双水源建设，城区白鹤水厂和李渡二水厂全面建成供水。</w:t>
                  </w:r>
                </w:p>
              </w:tc>
              <w:tc>
                <w:tcPr>
                  <w:tcW w:w="900" w:type="pct"/>
                  <w:vAlign w:val="center"/>
                </w:tcPr>
                <w:p w14:paraId="55FAEB9A">
                  <w:pPr>
                    <w:pStyle w:val="20"/>
                    <w:spacing w:before="0" w:beforeAutospacing="0" w:after="0" w:afterAutospacing="0" w:line="300" w:lineRule="atLeast"/>
                    <w:jc w:val="center"/>
                    <w:rPr>
                      <w:rFonts w:ascii="Times New Roman" w:hAnsi="Times New Roman" w:eastAsiaTheme="minorEastAsia"/>
                      <w:sz w:val="21"/>
                      <w:szCs w:val="21"/>
                    </w:rPr>
                  </w:pPr>
                  <w:r>
                    <w:rPr>
                      <w:rFonts w:ascii="Times New Roman" w:hAnsiTheme="minorEastAsia" w:eastAsiaTheme="minorEastAsia"/>
                      <w:sz w:val="21"/>
                      <w:szCs w:val="21"/>
                    </w:rPr>
                    <w:t>项目不涉及涪陵区双水源建设。</w:t>
                  </w:r>
                </w:p>
              </w:tc>
              <w:tc>
                <w:tcPr>
                  <w:tcW w:w="292" w:type="pct"/>
                  <w:vAlign w:val="center"/>
                </w:tcPr>
                <w:p w14:paraId="597D980A">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4438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42577F71">
                  <w:pPr>
                    <w:pStyle w:val="7"/>
                    <w:spacing w:before="0" w:after="0" w:line="240" w:lineRule="auto"/>
                    <w:jc w:val="center"/>
                    <w:rPr>
                      <w:rFonts w:eastAsiaTheme="minorEastAsia"/>
                      <w:sz w:val="21"/>
                      <w:szCs w:val="21"/>
                    </w:rPr>
                  </w:pPr>
                </w:p>
              </w:tc>
              <w:tc>
                <w:tcPr>
                  <w:tcW w:w="339" w:type="pct"/>
                  <w:vMerge w:val="restart"/>
                  <w:vAlign w:val="center"/>
                </w:tcPr>
                <w:p w14:paraId="218B9446">
                  <w:pPr>
                    <w:pStyle w:val="7"/>
                    <w:spacing w:before="0" w:after="0" w:line="240" w:lineRule="auto"/>
                    <w:jc w:val="center"/>
                    <w:rPr>
                      <w:rFonts w:eastAsiaTheme="minorEastAsia"/>
                      <w:sz w:val="21"/>
                      <w:szCs w:val="21"/>
                    </w:rPr>
                  </w:pPr>
                  <w:r>
                    <w:rPr>
                      <w:rFonts w:hAnsiTheme="minorEastAsia" w:eastAsiaTheme="minorEastAsia"/>
                      <w:sz w:val="21"/>
                      <w:szCs w:val="21"/>
                    </w:rPr>
                    <w:t>资源开发利用效率</w:t>
                  </w:r>
                </w:p>
              </w:tc>
              <w:tc>
                <w:tcPr>
                  <w:tcW w:w="3140" w:type="pct"/>
                  <w:vAlign w:val="center"/>
                </w:tcPr>
                <w:p w14:paraId="7120CB56">
                  <w:pPr>
                    <w:snapToGrid w:val="0"/>
                    <w:spacing w:line="340" w:lineRule="exact"/>
                    <w:jc w:val="left"/>
                    <w:rPr>
                      <w:rFonts w:eastAsiaTheme="minorEastAsia"/>
                      <w:szCs w:val="21"/>
                    </w:rPr>
                  </w:pPr>
                  <w:r>
                    <w:rPr>
                      <w:rFonts w:hAnsiTheme="minorEastAsia" w:eastAsiaTheme="minorEastAsia"/>
                      <w:szCs w:val="21"/>
                    </w:rPr>
                    <w:t>第十六条</w:t>
                  </w:r>
                  <w:r>
                    <w:rPr>
                      <w:rFonts w:eastAsiaTheme="minorEastAsia"/>
                      <w:szCs w:val="21"/>
                    </w:rPr>
                    <w:t xml:space="preserve"> </w:t>
                  </w:r>
                  <w:r>
                    <w:rPr>
                      <w:rFonts w:hAnsiTheme="minorEastAsia" w:eastAsiaTheme="minorEastAsia"/>
                      <w:szCs w:val="21"/>
                    </w:rPr>
                    <w:t>到</w:t>
                  </w:r>
                  <w:r>
                    <w:rPr>
                      <w:rFonts w:eastAsiaTheme="minorEastAsia"/>
                      <w:szCs w:val="21"/>
                    </w:rPr>
                    <w:t>2020</w:t>
                  </w:r>
                  <w:r>
                    <w:rPr>
                      <w:rFonts w:hAnsiTheme="minorEastAsia" w:eastAsiaTheme="minorEastAsia"/>
                      <w:szCs w:val="21"/>
                    </w:rPr>
                    <w:t>年，测土配方施肥技术推广覆盖率达到</w:t>
                  </w:r>
                  <w:r>
                    <w:rPr>
                      <w:rFonts w:eastAsiaTheme="minorEastAsia"/>
                      <w:szCs w:val="21"/>
                    </w:rPr>
                    <w:t>90%</w:t>
                  </w:r>
                  <w:r>
                    <w:rPr>
                      <w:rFonts w:hAnsiTheme="minorEastAsia" w:eastAsiaTheme="minorEastAsia"/>
                      <w:szCs w:val="21"/>
                    </w:rPr>
                    <w:t>以上，化肥利用率提高到</w:t>
                  </w:r>
                  <w:r>
                    <w:rPr>
                      <w:rFonts w:eastAsiaTheme="minorEastAsia"/>
                      <w:szCs w:val="21"/>
                    </w:rPr>
                    <w:t>40%</w:t>
                  </w:r>
                  <w:r>
                    <w:rPr>
                      <w:rFonts w:hAnsiTheme="minorEastAsia" w:eastAsiaTheme="minorEastAsia"/>
                      <w:szCs w:val="21"/>
                    </w:rPr>
                    <w:t>以上，农作物病虫害统防统治覆盖率达到</w:t>
                  </w:r>
                  <w:r>
                    <w:rPr>
                      <w:rFonts w:eastAsiaTheme="minorEastAsia"/>
                      <w:szCs w:val="21"/>
                    </w:rPr>
                    <w:t>40%</w:t>
                  </w:r>
                  <w:r>
                    <w:rPr>
                      <w:rFonts w:hAnsiTheme="minorEastAsia" w:eastAsiaTheme="minorEastAsia"/>
                      <w:szCs w:val="21"/>
                    </w:rPr>
                    <w:t>以上。</w:t>
                  </w:r>
                </w:p>
              </w:tc>
              <w:tc>
                <w:tcPr>
                  <w:tcW w:w="900" w:type="pct"/>
                  <w:vAlign w:val="center"/>
                </w:tcPr>
                <w:p w14:paraId="5E8AFC52">
                  <w:pPr>
                    <w:pStyle w:val="20"/>
                    <w:spacing w:before="0" w:beforeAutospacing="0" w:after="0" w:afterAutospacing="0" w:line="300" w:lineRule="atLeast"/>
                    <w:jc w:val="center"/>
                    <w:rPr>
                      <w:rFonts w:ascii="Times New Roman" w:hAnsi="Times New Roman" w:eastAsiaTheme="minorEastAsia"/>
                      <w:sz w:val="21"/>
                      <w:szCs w:val="21"/>
                    </w:rPr>
                  </w:pPr>
                  <w:r>
                    <w:rPr>
                      <w:rFonts w:ascii="Times New Roman" w:hAnsiTheme="minorEastAsia" w:eastAsiaTheme="minorEastAsia"/>
                      <w:sz w:val="21"/>
                      <w:szCs w:val="21"/>
                    </w:rPr>
                    <w:t>不涉及</w:t>
                  </w:r>
                </w:p>
              </w:tc>
              <w:tc>
                <w:tcPr>
                  <w:tcW w:w="292" w:type="pct"/>
                  <w:vAlign w:val="center"/>
                </w:tcPr>
                <w:p w14:paraId="4D2EA4F4">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0FA4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6B015FAD">
                  <w:pPr>
                    <w:pStyle w:val="7"/>
                    <w:spacing w:before="0" w:after="0" w:line="240" w:lineRule="auto"/>
                    <w:jc w:val="center"/>
                    <w:rPr>
                      <w:rFonts w:eastAsiaTheme="minorEastAsia"/>
                      <w:sz w:val="21"/>
                      <w:szCs w:val="21"/>
                    </w:rPr>
                  </w:pPr>
                </w:p>
              </w:tc>
              <w:tc>
                <w:tcPr>
                  <w:tcW w:w="339" w:type="pct"/>
                  <w:vMerge w:val="continue"/>
                  <w:vAlign w:val="center"/>
                </w:tcPr>
                <w:p w14:paraId="62C937EB">
                  <w:pPr>
                    <w:pStyle w:val="7"/>
                    <w:spacing w:before="0" w:after="0" w:line="240" w:lineRule="auto"/>
                    <w:jc w:val="center"/>
                    <w:rPr>
                      <w:rFonts w:eastAsiaTheme="minorEastAsia"/>
                      <w:sz w:val="21"/>
                      <w:szCs w:val="21"/>
                    </w:rPr>
                  </w:pPr>
                </w:p>
              </w:tc>
              <w:tc>
                <w:tcPr>
                  <w:tcW w:w="3140" w:type="pct"/>
                  <w:vAlign w:val="center"/>
                </w:tcPr>
                <w:p w14:paraId="5E4D7842">
                  <w:pPr>
                    <w:pStyle w:val="20"/>
                    <w:spacing w:before="0" w:beforeAutospacing="0" w:after="0" w:afterAutospacing="0" w:line="300" w:lineRule="atLeast"/>
                    <w:rPr>
                      <w:rFonts w:ascii="Times New Roman" w:hAnsi="Times New Roman" w:eastAsiaTheme="minorEastAsia"/>
                      <w:sz w:val="21"/>
                      <w:szCs w:val="21"/>
                    </w:rPr>
                  </w:pPr>
                  <w:r>
                    <w:rPr>
                      <w:rFonts w:ascii="Times New Roman" w:hAnsiTheme="minorEastAsia" w:eastAsiaTheme="minorEastAsia"/>
                      <w:sz w:val="21"/>
                      <w:szCs w:val="21"/>
                    </w:rPr>
                    <w:t>第十七条</w:t>
                  </w:r>
                  <w:r>
                    <w:rPr>
                      <w:rFonts w:ascii="Times New Roman" w:hAnsi="Times New Roman" w:eastAsiaTheme="minorEastAsia"/>
                      <w:sz w:val="21"/>
                      <w:szCs w:val="21"/>
                    </w:rPr>
                    <w:t xml:space="preserve"> </w:t>
                  </w:r>
                  <w:r>
                    <w:rPr>
                      <w:rFonts w:ascii="Times New Roman" w:hAnsiTheme="minorEastAsia" w:eastAsiaTheme="minorEastAsia"/>
                      <w:sz w:val="21"/>
                      <w:szCs w:val="21"/>
                    </w:rPr>
                    <w:t>火电机组供电煤耗低于</w:t>
                  </w:r>
                  <w:r>
                    <w:rPr>
                      <w:rFonts w:ascii="Times New Roman" w:hAnsi="Times New Roman" w:eastAsiaTheme="minorEastAsia"/>
                      <w:sz w:val="21"/>
                      <w:szCs w:val="21"/>
                    </w:rPr>
                    <w:t>310</w:t>
                  </w:r>
                  <w:r>
                    <w:rPr>
                      <w:rFonts w:ascii="Times New Roman" w:hAnsiTheme="minorEastAsia" w:eastAsiaTheme="minorEastAsia"/>
                      <w:sz w:val="21"/>
                      <w:szCs w:val="21"/>
                    </w:rPr>
                    <w:t>克</w:t>
                  </w:r>
                  <w:r>
                    <w:rPr>
                      <w:rFonts w:ascii="Times New Roman" w:hAnsi="Times New Roman" w:eastAsiaTheme="minorEastAsia"/>
                      <w:sz w:val="21"/>
                      <w:szCs w:val="21"/>
                    </w:rPr>
                    <w:t>/</w:t>
                  </w:r>
                  <w:r>
                    <w:rPr>
                      <w:rFonts w:ascii="Times New Roman" w:hAnsiTheme="minorEastAsia" w:eastAsiaTheme="minorEastAsia"/>
                      <w:sz w:val="21"/>
                      <w:szCs w:val="21"/>
                    </w:rPr>
                    <w:t>千瓦时。</w:t>
                  </w:r>
                </w:p>
              </w:tc>
              <w:tc>
                <w:tcPr>
                  <w:tcW w:w="900" w:type="pct"/>
                  <w:vAlign w:val="center"/>
                </w:tcPr>
                <w:p w14:paraId="2866CFD8">
                  <w:pPr>
                    <w:pStyle w:val="20"/>
                    <w:spacing w:before="0" w:beforeAutospacing="0" w:after="0" w:afterAutospacing="0" w:line="300" w:lineRule="atLeast"/>
                    <w:jc w:val="center"/>
                    <w:rPr>
                      <w:rFonts w:ascii="Times New Roman" w:hAnsi="Times New Roman" w:eastAsiaTheme="minorEastAsia"/>
                      <w:sz w:val="21"/>
                      <w:szCs w:val="21"/>
                    </w:rPr>
                  </w:pPr>
                  <w:r>
                    <w:rPr>
                      <w:rFonts w:ascii="Times New Roman" w:hAnsiTheme="minorEastAsia" w:eastAsiaTheme="minorEastAsia"/>
                      <w:sz w:val="21"/>
                      <w:szCs w:val="21"/>
                    </w:rPr>
                    <w:t>不涉及</w:t>
                  </w:r>
                </w:p>
              </w:tc>
              <w:tc>
                <w:tcPr>
                  <w:tcW w:w="292" w:type="pct"/>
                  <w:vAlign w:val="center"/>
                </w:tcPr>
                <w:p w14:paraId="1B5B41EB">
                  <w:pPr>
                    <w:pStyle w:val="96"/>
                    <w:spacing w:before="0" w:beforeAutospacing="0" w:afterLines="0" w:afterAutospacing="0" w:line="240" w:lineRule="auto"/>
                    <w:ind w:right="-104"/>
                    <w:rPr>
                      <w:rFonts w:eastAsiaTheme="minorEastAsia"/>
                      <w:color w:val="auto"/>
                      <w:sz w:val="21"/>
                      <w:szCs w:val="21"/>
                    </w:rPr>
                  </w:pPr>
                  <w:r>
                    <w:rPr>
                      <w:rFonts w:hAnsiTheme="minorEastAsia" w:eastAsiaTheme="minorEastAsia"/>
                      <w:color w:val="auto"/>
                      <w:sz w:val="21"/>
                      <w:szCs w:val="21"/>
                    </w:rPr>
                    <w:t>符合</w:t>
                  </w:r>
                </w:p>
              </w:tc>
            </w:tr>
            <w:tr w14:paraId="1A9D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restart"/>
                  <w:vAlign w:val="center"/>
                </w:tcPr>
                <w:p w14:paraId="4F082BF8">
                  <w:pPr>
                    <w:pStyle w:val="7"/>
                    <w:spacing w:before="0" w:after="0" w:line="240" w:lineRule="auto"/>
                    <w:jc w:val="center"/>
                    <w:rPr>
                      <w:rFonts w:eastAsiaTheme="minorEastAsia"/>
                      <w:sz w:val="21"/>
                      <w:szCs w:val="21"/>
                    </w:rPr>
                  </w:pPr>
                  <w:r>
                    <w:rPr>
                      <w:rFonts w:hAnsiTheme="minorEastAsia" w:eastAsiaTheme="minorEastAsia"/>
                      <w:sz w:val="21"/>
                      <w:szCs w:val="21"/>
                    </w:rPr>
                    <w:t>单元管控要求</w:t>
                  </w:r>
                </w:p>
              </w:tc>
              <w:tc>
                <w:tcPr>
                  <w:tcW w:w="339" w:type="pct"/>
                  <w:vAlign w:val="center"/>
                </w:tcPr>
                <w:p w14:paraId="139E2F3A">
                  <w:pPr>
                    <w:pStyle w:val="7"/>
                    <w:spacing w:before="0" w:after="0" w:line="240" w:lineRule="auto"/>
                    <w:jc w:val="center"/>
                    <w:rPr>
                      <w:rFonts w:eastAsiaTheme="minorEastAsia"/>
                      <w:sz w:val="21"/>
                      <w:szCs w:val="21"/>
                    </w:rPr>
                  </w:pPr>
                  <w:r>
                    <w:rPr>
                      <w:rFonts w:hAnsiTheme="minorEastAsia" w:eastAsiaTheme="minorEastAsia"/>
                      <w:sz w:val="21"/>
                      <w:szCs w:val="21"/>
                    </w:rPr>
                    <w:t>空间布局约束</w:t>
                  </w:r>
                </w:p>
              </w:tc>
              <w:tc>
                <w:tcPr>
                  <w:tcW w:w="3140" w:type="pct"/>
                  <w:vAlign w:val="center"/>
                </w:tcPr>
                <w:p w14:paraId="127B6312">
                  <w:pPr>
                    <w:autoSpaceDE w:val="0"/>
                    <w:autoSpaceDN w:val="0"/>
                    <w:adjustRightInd w:val="0"/>
                    <w:jc w:val="left"/>
                    <w:rPr>
                      <w:rFonts w:eastAsiaTheme="minorEastAsia"/>
                      <w:kern w:val="0"/>
                      <w:szCs w:val="21"/>
                    </w:rPr>
                  </w:pPr>
                  <w:r>
                    <w:rPr>
                      <w:rFonts w:hint="eastAsia" w:hAnsiTheme="minorEastAsia" w:eastAsiaTheme="minorEastAsia"/>
                      <w:kern w:val="0"/>
                      <w:szCs w:val="21"/>
                    </w:rPr>
                    <w:t>1、</w:t>
                  </w:r>
                  <w:r>
                    <w:rPr>
                      <w:rFonts w:hAnsiTheme="minorEastAsia" w:eastAsiaTheme="minorEastAsia"/>
                      <w:kern w:val="0"/>
                      <w:szCs w:val="21"/>
                    </w:rPr>
                    <w:t>禁止重庆涪陵工业园区李渡组团、龙桥组团在长江干流岸线</w:t>
                  </w:r>
                  <w:r>
                    <w:rPr>
                      <w:rFonts w:eastAsiaTheme="minorEastAsia"/>
                      <w:kern w:val="0"/>
                      <w:szCs w:val="21"/>
                    </w:rPr>
                    <w:t>1</w:t>
                  </w:r>
                  <w:r>
                    <w:rPr>
                      <w:rFonts w:hAnsiTheme="minorEastAsia" w:eastAsiaTheme="minorEastAsia"/>
                      <w:kern w:val="0"/>
                      <w:szCs w:val="21"/>
                    </w:rPr>
                    <w:t>公里范围内新建重化工、纺织、造纸等存在污染风险的工业项目。</w:t>
                  </w:r>
                </w:p>
                <w:p w14:paraId="28FDF979">
                  <w:pPr>
                    <w:autoSpaceDE w:val="0"/>
                    <w:autoSpaceDN w:val="0"/>
                    <w:adjustRightInd w:val="0"/>
                    <w:jc w:val="left"/>
                    <w:rPr>
                      <w:rFonts w:eastAsiaTheme="minorEastAsia"/>
                      <w:kern w:val="0"/>
                      <w:szCs w:val="21"/>
                    </w:rPr>
                  </w:pPr>
                  <w:r>
                    <w:rPr>
                      <w:rFonts w:eastAsiaTheme="minorEastAsia"/>
                      <w:kern w:val="0"/>
                      <w:szCs w:val="21"/>
                    </w:rPr>
                    <w:t>2</w:t>
                  </w:r>
                  <w:r>
                    <w:rPr>
                      <w:rFonts w:hAnsiTheme="minorEastAsia" w:eastAsiaTheme="minorEastAsia"/>
                      <w:kern w:val="0"/>
                      <w:szCs w:val="21"/>
                    </w:rPr>
                    <w:t>、涪陵工业园区龙桥组团原则上不再布局高污染化工项目，李渡组团不得布局化工项目。</w:t>
                  </w:r>
                </w:p>
                <w:p w14:paraId="2422EE0C">
                  <w:pPr>
                    <w:autoSpaceDE w:val="0"/>
                    <w:autoSpaceDN w:val="0"/>
                    <w:adjustRightInd w:val="0"/>
                    <w:jc w:val="left"/>
                    <w:rPr>
                      <w:rFonts w:eastAsiaTheme="minorEastAsia"/>
                      <w:kern w:val="0"/>
                      <w:szCs w:val="21"/>
                    </w:rPr>
                  </w:pPr>
                  <w:r>
                    <w:rPr>
                      <w:rFonts w:eastAsiaTheme="minorEastAsia"/>
                      <w:kern w:val="0"/>
                      <w:szCs w:val="21"/>
                    </w:rPr>
                    <w:t>3</w:t>
                  </w:r>
                  <w:r>
                    <w:rPr>
                      <w:rFonts w:hAnsiTheme="minorEastAsia" w:eastAsiaTheme="minorEastAsia"/>
                      <w:kern w:val="0"/>
                      <w:szCs w:val="21"/>
                    </w:rPr>
                    <w:t>、崇义街道涪陵二水厂、李渡水厂饮用水水源取水口上游</w:t>
                  </w:r>
                  <w:r>
                    <w:rPr>
                      <w:rFonts w:eastAsiaTheme="minorEastAsia"/>
                      <w:kern w:val="0"/>
                      <w:szCs w:val="21"/>
                    </w:rPr>
                    <w:t>20</w:t>
                  </w:r>
                  <w:r>
                    <w:rPr>
                      <w:rFonts w:hAnsiTheme="minorEastAsia" w:eastAsiaTheme="minorEastAsia"/>
                      <w:kern w:val="0"/>
                      <w:szCs w:val="21"/>
                    </w:rPr>
                    <w:t>公里范围内的沿岸地区（江河</w:t>
                  </w:r>
                  <w:r>
                    <w:rPr>
                      <w:rFonts w:eastAsiaTheme="minorEastAsia"/>
                      <w:kern w:val="0"/>
                      <w:szCs w:val="21"/>
                    </w:rPr>
                    <w:t>50</w:t>
                  </w:r>
                  <w:r>
                    <w:rPr>
                      <w:rFonts w:hAnsiTheme="minorEastAsia" w:eastAsiaTheme="minorEastAsia"/>
                      <w:kern w:val="0"/>
                      <w:szCs w:val="21"/>
                    </w:rPr>
                    <w:t>年一遇洪水位向陆域一侧</w:t>
                  </w:r>
                  <w:r>
                    <w:rPr>
                      <w:rFonts w:eastAsiaTheme="minorEastAsia"/>
                      <w:kern w:val="0"/>
                      <w:szCs w:val="21"/>
                    </w:rPr>
                    <w:t>1</w:t>
                  </w:r>
                  <w:r>
                    <w:rPr>
                      <w:rFonts w:hAnsiTheme="minorEastAsia" w:eastAsiaTheme="minorEastAsia"/>
                      <w:kern w:val="0"/>
                      <w:szCs w:val="21"/>
                    </w:rPr>
                    <w:t>公里范围内），禁止新建、扩建排放重金属（铬、镉、汞、砷、铅等五类重金属，下同）、剧毒物质和持久性有机污染物的工业项目。</w:t>
                  </w:r>
                </w:p>
                <w:p w14:paraId="73248E13">
                  <w:pPr>
                    <w:autoSpaceDE w:val="0"/>
                    <w:autoSpaceDN w:val="0"/>
                    <w:adjustRightInd w:val="0"/>
                    <w:jc w:val="left"/>
                    <w:rPr>
                      <w:rFonts w:eastAsiaTheme="minorEastAsia"/>
                      <w:kern w:val="0"/>
                      <w:szCs w:val="21"/>
                    </w:rPr>
                  </w:pPr>
                  <w:r>
                    <w:rPr>
                      <w:rFonts w:eastAsiaTheme="minorEastAsia"/>
                      <w:kern w:val="0"/>
                      <w:szCs w:val="21"/>
                    </w:rPr>
                    <w:t>4</w:t>
                  </w:r>
                  <w:r>
                    <w:rPr>
                      <w:rFonts w:hAnsiTheme="minorEastAsia" w:eastAsiaTheme="minorEastAsia"/>
                      <w:kern w:val="0"/>
                      <w:szCs w:val="21"/>
                    </w:rPr>
                    <w:t>、李渡组团禁止建设印染业、燃煤电厂、造纸、水泥生产等重污染行业和其它不符合国家产业政策的项目，以及超出环境资源承载力的项目。</w:t>
                  </w:r>
                </w:p>
                <w:p w14:paraId="522DD3B4">
                  <w:pPr>
                    <w:autoSpaceDE w:val="0"/>
                    <w:autoSpaceDN w:val="0"/>
                    <w:adjustRightInd w:val="0"/>
                    <w:jc w:val="left"/>
                    <w:rPr>
                      <w:rFonts w:eastAsiaTheme="minorEastAsia"/>
                      <w:kern w:val="0"/>
                      <w:szCs w:val="21"/>
                    </w:rPr>
                  </w:pPr>
                  <w:r>
                    <w:rPr>
                      <w:rFonts w:eastAsiaTheme="minorEastAsia"/>
                      <w:kern w:val="0"/>
                      <w:szCs w:val="21"/>
                    </w:rPr>
                    <w:t>5</w:t>
                  </w:r>
                  <w:r>
                    <w:rPr>
                      <w:rFonts w:hAnsiTheme="minorEastAsia" w:eastAsiaTheme="minorEastAsia"/>
                      <w:kern w:val="0"/>
                      <w:szCs w:val="21"/>
                    </w:rPr>
                    <w:t>、重庆涪陵工业园区龙桥组团：南岸浦片区维持现有燃煤锅炉容量，不新增燃煤热电项目。</w:t>
                  </w:r>
                </w:p>
              </w:tc>
              <w:tc>
                <w:tcPr>
                  <w:tcW w:w="900" w:type="pct"/>
                  <w:vAlign w:val="center"/>
                </w:tcPr>
                <w:p w14:paraId="1789D302">
                  <w:pPr>
                    <w:autoSpaceDE w:val="0"/>
                    <w:autoSpaceDN w:val="0"/>
                    <w:adjustRightInd w:val="0"/>
                    <w:jc w:val="center"/>
                    <w:rPr>
                      <w:rFonts w:eastAsiaTheme="minorEastAsia"/>
                      <w:kern w:val="0"/>
                      <w:szCs w:val="21"/>
                    </w:rPr>
                  </w:pPr>
                  <w:r>
                    <w:rPr>
                      <w:rFonts w:hAnsiTheme="minorEastAsia" w:eastAsiaTheme="minorEastAsia"/>
                      <w:szCs w:val="21"/>
                    </w:rPr>
                    <w:t>项目位于涪陵区李渡工业园区内，距离长江最近距离约</w:t>
                  </w:r>
                  <w:r>
                    <w:rPr>
                      <w:rFonts w:eastAsiaTheme="minorEastAsia"/>
                      <w:szCs w:val="21"/>
                    </w:rPr>
                    <w:t>3.8</w:t>
                  </w:r>
                  <w:r>
                    <w:rPr>
                      <w:rFonts w:hAnsiTheme="minorEastAsia" w:eastAsiaTheme="minorEastAsia"/>
                      <w:szCs w:val="21"/>
                    </w:rPr>
                    <w:t>公里。项目属于</w:t>
                  </w:r>
                  <w:r>
                    <w:rPr>
                      <w:rFonts w:eastAsiaTheme="minorEastAsia"/>
                      <w:szCs w:val="21"/>
                    </w:rPr>
                    <w:t>C2459</w:t>
                  </w:r>
                  <w:r>
                    <w:rPr>
                      <w:rFonts w:hAnsiTheme="minorEastAsia" w:eastAsiaTheme="minorEastAsia"/>
                      <w:szCs w:val="21"/>
                    </w:rPr>
                    <w:t>其他玩具制造</w:t>
                  </w:r>
                  <w:r>
                    <w:rPr>
                      <w:rFonts w:hAnsiTheme="minorEastAsia" w:eastAsiaTheme="minorEastAsia"/>
                      <w:szCs w:val="21"/>
                      <w:lang w:val="en-GB"/>
                    </w:rPr>
                    <w:t>，涉及印刷工艺，</w:t>
                  </w:r>
                  <w:r>
                    <w:rPr>
                      <w:rFonts w:hAnsiTheme="minorEastAsia" w:eastAsiaTheme="minorEastAsia"/>
                      <w:szCs w:val="21"/>
                    </w:rPr>
                    <w:t>不属于印染业、燃煤电厂、造纸、水泥生产等重污染行业和其它不符合国家产业政策的项目，以及超出环境资源承载力的项目。</w:t>
                  </w:r>
                </w:p>
              </w:tc>
              <w:tc>
                <w:tcPr>
                  <w:tcW w:w="292" w:type="pct"/>
                  <w:vAlign w:val="center"/>
                </w:tcPr>
                <w:p w14:paraId="7F2F281B">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r w14:paraId="0919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56CE621F">
                  <w:pPr>
                    <w:pStyle w:val="7"/>
                    <w:spacing w:before="0" w:after="0" w:line="240" w:lineRule="auto"/>
                    <w:jc w:val="center"/>
                    <w:rPr>
                      <w:rFonts w:eastAsiaTheme="minorEastAsia"/>
                      <w:sz w:val="21"/>
                      <w:szCs w:val="21"/>
                    </w:rPr>
                  </w:pPr>
                </w:p>
              </w:tc>
              <w:tc>
                <w:tcPr>
                  <w:tcW w:w="339" w:type="pct"/>
                  <w:vAlign w:val="center"/>
                </w:tcPr>
                <w:p w14:paraId="6C40BA1D">
                  <w:pPr>
                    <w:pStyle w:val="7"/>
                    <w:spacing w:before="0" w:after="0" w:line="240" w:lineRule="auto"/>
                    <w:jc w:val="center"/>
                    <w:rPr>
                      <w:rFonts w:eastAsiaTheme="minorEastAsia"/>
                      <w:sz w:val="21"/>
                      <w:szCs w:val="21"/>
                    </w:rPr>
                  </w:pPr>
                  <w:r>
                    <w:rPr>
                      <w:rFonts w:hAnsiTheme="minorEastAsia" w:eastAsiaTheme="minorEastAsia"/>
                      <w:sz w:val="21"/>
                      <w:szCs w:val="21"/>
                    </w:rPr>
                    <w:t>污染物排放管控</w:t>
                  </w:r>
                </w:p>
              </w:tc>
              <w:tc>
                <w:tcPr>
                  <w:tcW w:w="3140" w:type="pct"/>
                  <w:vAlign w:val="center"/>
                </w:tcPr>
                <w:p w14:paraId="19FFFA6E">
                  <w:pPr>
                    <w:autoSpaceDE w:val="0"/>
                    <w:autoSpaceDN w:val="0"/>
                    <w:adjustRightInd w:val="0"/>
                    <w:jc w:val="left"/>
                    <w:rPr>
                      <w:rFonts w:eastAsiaTheme="minorEastAsia"/>
                      <w:kern w:val="0"/>
                      <w:szCs w:val="21"/>
                    </w:rPr>
                  </w:pPr>
                  <w:r>
                    <w:rPr>
                      <w:rFonts w:hint="eastAsia" w:hAnsiTheme="minorEastAsia" w:eastAsiaTheme="minorEastAsia"/>
                      <w:kern w:val="0"/>
                      <w:szCs w:val="21"/>
                    </w:rPr>
                    <w:t>1、</w:t>
                  </w:r>
                  <w:r>
                    <w:rPr>
                      <w:rFonts w:hAnsiTheme="minorEastAsia" w:eastAsiaTheme="minorEastAsia"/>
                      <w:kern w:val="0"/>
                      <w:szCs w:val="21"/>
                    </w:rPr>
                    <w:t>改扩建龙桥园区北拱污水处理厂，提高废水排放标准。</w:t>
                  </w:r>
                </w:p>
                <w:p w14:paraId="775A5A36">
                  <w:pPr>
                    <w:autoSpaceDE w:val="0"/>
                    <w:autoSpaceDN w:val="0"/>
                    <w:adjustRightInd w:val="0"/>
                    <w:jc w:val="left"/>
                    <w:rPr>
                      <w:rFonts w:eastAsiaTheme="minorEastAsia"/>
                      <w:kern w:val="0"/>
                      <w:szCs w:val="21"/>
                    </w:rPr>
                  </w:pPr>
                  <w:r>
                    <w:rPr>
                      <w:rFonts w:eastAsiaTheme="minorEastAsia"/>
                      <w:kern w:val="0"/>
                      <w:szCs w:val="21"/>
                    </w:rPr>
                    <w:t>2</w:t>
                  </w:r>
                  <w:r>
                    <w:rPr>
                      <w:rFonts w:hAnsiTheme="minorEastAsia" w:eastAsiaTheme="minorEastAsia"/>
                      <w:kern w:val="0"/>
                      <w:szCs w:val="21"/>
                    </w:rPr>
                    <w:t>、改扩乡镇废水处理工程。完善二、三级管网。</w:t>
                  </w:r>
                </w:p>
                <w:p w14:paraId="368F42CC">
                  <w:pPr>
                    <w:autoSpaceDE w:val="0"/>
                    <w:autoSpaceDN w:val="0"/>
                    <w:adjustRightInd w:val="0"/>
                    <w:jc w:val="left"/>
                    <w:rPr>
                      <w:rFonts w:eastAsiaTheme="minorEastAsia"/>
                      <w:kern w:val="0"/>
                      <w:szCs w:val="21"/>
                    </w:rPr>
                  </w:pPr>
                  <w:r>
                    <w:rPr>
                      <w:rFonts w:eastAsiaTheme="minorEastAsia"/>
                      <w:kern w:val="0"/>
                      <w:szCs w:val="21"/>
                    </w:rPr>
                    <w:t>3</w:t>
                  </w:r>
                  <w:r>
                    <w:rPr>
                      <w:rFonts w:hAnsiTheme="minorEastAsia" w:eastAsiaTheme="minorEastAsia"/>
                      <w:kern w:val="0"/>
                      <w:szCs w:val="21"/>
                    </w:rPr>
                    <w:t>、建成并投运涪陵化工磷石膏渣坝渗滤液处理设施。完成涪陵化工磷石膏渣坝坝体及坝顶的覆土、复绿。</w:t>
                  </w:r>
                </w:p>
                <w:p w14:paraId="56308F33">
                  <w:pPr>
                    <w:autoSpaceDE w:val="0"/>
                    <w:autoSpaceDN w:val="0"/>
                    <w:adjustRightInd w:val="0"/>
                    <w:jc w:val="left"/>
                    <w:rPr>
                      <w:rFonts w:eastAsiaTheme="minorEastAsia"/>
                      <w:kern w:val="0"/>
                      <w:szCs w:val="21"/>
                    </w:rPr>
                  </w:pPr>
                  <w:r>
                    <w:rPr>
                      <w:rFonts w:eastAsiaTheme="minorEastAsia"/>
                      <w:kern w:val="0"/>
                      <w:szCs w:val="21"/>
                    </w:rPr>
                    <w:t>4</w:t>
                  </w:r>
                  <w:r>
                    <w:rPr>
                      <w:rFonts w:hAnsiTheme="minorEastAsia" w:eastAsiaTheme="minorEastAsia"/>
                      <w:kern w:val="0"/>
                      <w:szCs w:val="21"/>
                    </w:rPr>
                    <w:t>、对重点企业和和石化储油罐区有机废气深度治理。</w:t>
                  </w:r>
                </w:p>
              </w:tc>
              <w:tc>
                <w:tcPr>
                  <w:tcW w:w="900" w:type="pct"/>
                  <w:vAlign w:val="center"/>
                </w:tcPr>
                <w:p w14:paraId="4FABD11B">
                  <w:pPr>
                    <w:pStyle w:val="77"/>
                    <w:jc w:val="center"/>
                    <w:rPr>
                      <w:rFonts w:ascii="Times New Roman" w:hAnsi="Times New Roman" w:eastAsiaTheme="minorEastAsia"/>
                      <w:color w:val="auto"/>
                      <w:sz w:val="21"/>
                      <w:szCs w:val="21"/>
                    </w:rPr>
                  </w:pPr>
                  <w:r>
                    <w:rPr>
                      <w:rFonts w:ascii="Times New Roman" w:hAnsiTheme="minorEastAsia" w:eastAsiaTheme="minorEastAsia"/>
                      <w:color w:val="auto"/>
                      <w:sz w:val="21"/>
                      <w:szCs w:val="21"/>
                    </w:rPr>
                    <w:t>项目位于涪陵区李渡工业园区内，属于</w:t>
                  </w:r>
                  <w:r>
                    <w:rPr>
                      <w:rFonts w:ascii="Times New Roman" w:hAnsi="Times New Roman" w:eastAsiaTheme="minorEastAsia"/>
                      <w:color w:val="auto"/>
                      <w:sz w:val="21"/>
                      <w:szCs w:val="21"/>
                    </w:rPr>
                    <w:t>C2459</w:t>
                  </w:r>
                  <w:r>
                    <w:rPr>
                      <w:rFonts w:ascii="Times New Roman" w:hAnsiTheme="minorEastAsia" w:eastAsiaTheme="minorEastAsia"/>
                      <w:color w:val="auto"/>
                      <w:sz w:val="21"/>
                      <w:szCs w:val="21"/>
                    </w:rPr>
                    <w:t>其他玩具制造</w:t>
                  </w:r>
                  <w:r>
                    <w:rPr>
                      <w:rFonts w:ascii="Times New Roman" w:hAnsiTheme="minorEastAsia" w:eastAsiaTheme="minorEastAsia"/>
                      <w:color w:val="auto"/>
                      <w:sz w:val="21"/>
                      <w:szCs w:val="21"/>
                      <w:lang w:val="en-GB"/>
                    </w:rPr>
                    <w:t>，涉及印刷工艺，</w:t>
                  </w:r>
                  <w:r>
                    <w:rPr>
                      <w:rFonts w:ascii="Times New Roman" w:hAnsiTheme="minorEastAsia" w:eastAsiaTheme="minorEastAsia"/>
                      <w:color w:val="auto"/>
                      <w:sz w:val="21"/>
                      <w:szCs w:val="21"/>
                    </w:rPr>
                    <w:t>不涉及磷石膏渣坝渗滤液和储油罐区有机废气。</w:t>
                  </w:r>
                </w:p>
              </w:tc>
              <w:tc>
                <w:tcPr>
                  <w:tcW w:w="292" w:type="pct"/>
                  <w:vAlign w:val="center"/>
                </w:tcPr>
                <w:p w14:paraId="1A5A920A">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r w14:paraId="75E2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7223C1EB">
                  <w:pPr>
                    <w:pStyle w:val="7"/>
                    <w:spacing w:before="0" w:after="0" w:line="240" w:lineRule="auto"/>
                    <w:jc w:val="center"/>
                    <w:rPr>
                      <w:rFonts w:eastAsiaTheme="minorEastAsia"/>
                      <w:sz w:val="21"/>
                      <w:szCs w:val="21"/>
                    </w:rPr>
                  </w:pPr>
                </w:p>
              </w:tc>
              <w:tc>
                <w:tcPr>
                  <w:tcW w:w="339" w:type="pct"/>
                  <w:vAlign w:val="center"/>
                </w:tcPr>
                <w:p w14:paraId="5AC90D3D">
                  <w:pPr>
                    <w:pStyle w:val="7"/>
                    <w:spacing w:before="0" w:after="0" w:line="240" w:lineRule="auto"/>
                    <w:jc w:val="center"/>
                    <w:rPr>
                      <w:rFonts w:eastAsiaTheme="minorEastAsia"/>
                      <w:sz w:val="21"/>
                      <w:szCs w:val="21"/>
                    </w:rPr>
                  </w:pPr>
                  <w:r>
                    <w:rPr>
                      <w:rFonts w:hAnsiTheme="minorEastAsia" w:eastAsiaTheme="minorEastAsia"/>
                      <w:sz w:val="21"/>
                      <w:szCs w:val="21"/>
                    </w:rPr>
                    <w:t>环境风险防控</w:t>
                  </w:r>
                </w:p>
              </w:tc>
              <w:tc>
                <w:tcPr>
                  <w:tcW w:w="3140" w:type="pct"/>
                  <w:vAlign w:val="center"/>
                </w:tcPr>
                <w:p w14:paraId="4D2FC19F">
                  <w:pPr>
                    <w:autoSpaceDE w:val="0"/>
                    <w:autoSpaceDN w:val="0"/>
                    <w:adjustRightInd w:val="0"/>
                    <w:jc w:val="left"/>
                    <w:rPr>
                      <w:rFonts w:eastAsiaTheme="minorEastAsia"/>
                      <w:szCs w:val="21"/>
                    </w:rPr>
                  </w:pPr>
                  <w:r>
                    <w:rPr>
                      <w:rFonts w:hint="eastAsia" w:hAnsiTheme="minorEastAsia" w:eastAsiaTheme="minorEastAsia"/>
                      <w:szCs w:val="21"/>
                    </w:rPr>
                    <w:t>1、</w:t>
                  </w:r>
                  <w:r>
                    <w:rPr>
                      <w:rFonts w:hAnsiTheme="minorEastAsia" w:eastAsiaTheme="minorEastAsia"/>
                      <w:szCs w:val="21"/>
                    </w:rPr>
                    <w:t>完成涪陵区城市双水源建设，城区白鹤水厂和李渡二水厂全面建成供水。</w:t>
                  </w:r>
                </w:p>
                <w:p w14:paraId="350DF496">
                  <w:pPr>
                    <w:autoSpaceDE w:val="0"/>
                    <w:autoSpaceDN w:val="0"/>
                    <w:adjustRightInd w:val="0"/>
                    <w:jc w:val="left"/>
                    <w:rPr>
                      <w:rFonts w:eastAsiaTheme="minorEastAsia"/>
                      <w:szCs w:val="21"/>
                    </w:rPr>
                  </w:pPr>
                  <w:r>
                    <w:rPr>
                      <w:rFonts w:hint="eastAsia" w:hAnsiTheme="minorEastAsia" w:eastAsiaTheme="minorEastAsia"/>
                      <w:szCs w:val="21"/>
                    </w:rPr>
                    <w:t>2、</w:t>
                  </w:r>
                  <w:r>
                    <w:rPr>
                      <w:rFonts w:hAnsiTheme="minorEastAsia" w:eastAsiaTheme="minorEastAsia"/>
                      <w:szCs w:val="21"/>
                    </w:rPr>
                    <w:t>强化化工企业环境风险管控，加强长江水质和下游饮用水供水安全。</w:t>
                  </w:r>
                </w:p>
                <w:p w14:paraId="297A6397">
                  <w:pPr>
                    <w:autoSpaceDE w:val="0"/>
                    <w:autoSpaceDN w:val="0"/>
                    <w:adjustRightInd w:val="0"/>
                    <w:jc w:val="left"/>
                    <w:rPr>
                      <w:rFonts w:eastAsiaTheme="minorEastAsia"/>
                      <w:kern w:val="0"/>
                      <w:szCs w:val="21"/>
                    </w:rPr>
                  </w:pPr>
                  <w:r>
                    <w:rPr>
                      <w:rFonts w:eastAsiaTheme="minorEastAsia"/>
                      <w:szCs w:val="21"/>
                    </w:rPr>
                    <w:t>3</w:t>
                  </w:r>
                  <w:r>
                    <w:rPr>
                      <w:rFonts w:hAnsiTheme="minorEastAsia" w:eastAsiaTheme="minorEastAsia"/>
                      <w:szCs w:val="21"/>
                    </w:rPr>
                    <w:t>、加强涪陵工业园区生活垃圾、龙桥组团一般工业固体废物处置场渣场和涪陵化工磷石膏渣坝地下水污染防治措施。</w:t>
                  </w:r>
                </w:p>
              </w:tc>
              <w:tc>
                <w:tcPr>
                  <w:tcW w:w="900" w:type="pct"/>
                  <w:vAlign w:val="center"/>
                </w:tcPr>
                <w:p w14:paraId="3E8CB527">
                  <w:pPr>
                    <w:autoSpaceDE w:val="0"/>
                    <w:autoSpaceDN w:val="0"/>
                    <w:adjustRightInd w:val="0"/>
                    <w:jc w:val="center"/>
                    <w:rPr>
                      <w:rFonts w:eastAsiaTheme="minorEastAsia"/>
                      <w:kern w:val="0"/>
                      <w:szCs w:val="21"/>
                    </w:rPr>
                  </w:pPr>
                  <w:r>
                    <w:rPr>
                      <w:rFonts w:hAnsiTheme="minorEastAsia" w:eastAsiaTheme="minorEastAsia"/>
                      <w:szCs w:val="21"/>
                    </w:rPr>
                    <w:t>项目按照本环评的要求采取针对性的环境风险防范措施。</w:t>
                  </w:r>
                </w:p>
              </w:tc>
              <w:tc>
                <w:tcPr>
                  <w:tcW w:w="292" w:type="pct"/>
                  <w:vAlign w:val="center"/>
                </w:tcPr>
                <w:p w14:paraId="00B33F9D">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r w14:paraId="0A54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9" w:type="pct"/>
                  <w:vMerge w:val="continue"/>
                  <w:vAlign w:val="center"/>
                </w:tcPr>
                <w:p w14:paraId="60DF7B98">
                  <w:pPr>
                    <w:pStyle w:val="7"/>
                    <w:spacing w:before="0" w:after="0" w:line="240" w:lineRule="auto"/>
                    <w:jc w:val="center"/>
                    <w:rPr>
                      <w:rFonts w:eastAsiaTheme="minorEastAsia"/>
                      <w:sz w:val="21"/>
                      <w:szCs w:val="21"/>
                    </w:rPr>
                  </w:pPr>
                </w:p>
              </w:tc>
              <w:tc>
                <w:tcPr>
                  <w:tcW w:w="339" w:type="pct"/>
                  <w:vAlign w:val="center"/>
                </w:tcPr>
                <w:p w14:paraId="481FD285">
                  <w:pPr>
                    <w:pStyle w:val="7"/>
                    <w:spacing w:before="0" w:after="0" w:line="240" w:lineRule="auto"/>
                    <w:jc w:val="center"/>
                    <w:rPr>
                      <w:rFonts w:eastAsiaTheme="minorEastAsia"/>
                      <w:sz w:val="21"/>
                      <w:szCs w:val="21"/>
                    </w:rPr>
                  </w:pPr>
                  <w:r>
                    <w:rPr>
                      <w:rFonts w:hAnsiTheme="minorEastAsia" w:eastAsiaTheme="minorEastAsia"/>
                      <w:sz w:val="21"/>
                      <w:szCs w:val="21"/>
                    </w:rPr>
                    <w:t>资源开发利用效率</w:t>
                  </w:r>
                </w:p>
              </w:tc>
              <w:tc>
                <w:tcPr>
                  <w:tcW w:w="3140" w:type="pct"/>
                  <w:vAlign w:val="center"/>
                </w:tcPr>
                <w:p w14:paraId="7066AFA1">
                  <w:pPr>
                    <w:autoSpaceDE w:val="0"/>
                    <w:autoSpaceDN w:val="0"/>
                    <w:adjustRightInd w:val="0"/>
                    <w:jc w:val="left"/>
                    <w:rPr>
                      <w:rFonts w:eastAsiaTheme="minorEastAsia"/>
                      <w:kern w:val="0"/>
                      <w:szCs w:val="21"/>
                    </w:rPr>
                  </w:pPr>
                  <w:r>
                    <w:rPr>
                      <w:rFonts w:hAnsiTheme="minorEastAsia" w:eastAsiaTheme="minorEastAsia"/>
                      <w:szCs w:val="21"/>
                    </w:rPr>
                    <w:t>火电机组供电煤耗低于</w:t>
                  </w:r>
                  <w:r>
                    <w:rPr>
                      <w:rFonts w:eastAsiaTheme="minorEastAsia"/>
                      <w:szCs w:val="21"/>
                    </w:rPr>
                    <w:t>310</w:t>
                  </w:r>
                  <w:r>
                    <w:rPr>
                      <w:rFonts w:hAnsiTheme="minorEastAsia" w:eastAsiaTheme="minorEastAsia"/>
                      <w:szCs w:val="21"/>
                    </w:rPr>
                    <w:t>克</w:t>
                  </w:r>
                  <w:r>
                    <w:rPr>
                      <w:rFonts w:eastAsiaTheme="minorEastAsia"/>
                      <w:szCs w:val="21"/>
                    </w:rPr>
                    <w:t>/</w:t>
                  </w:r>
                  <w:r>
                    <w:rPr>
                      <w:rFonts w:hAnsiTheme="minorEastAsia" w:eastAsiaTheme="minorEastAsia"/>
                      <w:szCs w:val="21"/>
                    </w:rPr>
                    <w:t>千瓦时。</w:t>
                  </w:r>
                </w:p>
              </w:tc>
              <w:tc>
                <w:tcPr>
                  <w:tcW w:w="900" w:type="pct"/>
                  <w:vAlign w:val="center"/>
                </w:tcPr>
                <w:p w14:paraId="4B86017E">
                  <w:pPr>
                    <w:autoSpaceDE w:val="0"/>
                    <w:autoSpaceDN w:val="0"/>
                    <w:adjustRightInd w:val="0"/>
                    <w:jc w:val="center"/>
                    <w:rPr>
                      <w:rFonts w:eastAsiaTheme="minorEastAsia"/>
                      <w:kern w:val="0"/>
                      <w:szCs w:val="21"/>
                    </w:rPr>
                  </w:pPr>
                  <w:r>
                    <w:rPr>
                      <w:rFonts w:hAnsiTheme="minorEastAsia" w:eastAsiaTheme="minorEastAsia"/>
                      <w:kern w:val="0"/>
                      <w:szCs w:val="21"/>
                    </w:rPr>
                    <w:t>项目不涉及火电机组。</w:t>
                  </w:r>
                </w:p>
              </w:tc>
              <w:tc>
                <w:tcPr>
                  <w:tcW w:w="292" w:type="pct"/>
                  <w:vAlign w:val="center"/>
                </w:tcPr>
                <w:p w14:paraId="2365133B">
                  <w:pPr>
                    <w:pStyle w:val="7"/>
                    <w:spacing w:before="0" w:after="0" w:line="240" w:lineRule="auto"/>
                    <w:jc w:val="center"/>
                    <w:rPr>
                      <w:rFonts w:eastAsiaTheme="minorEastAsia"/>
                      <w:sz w:val="21"/>
                      <w:szCs w:val="21"/>
                    </w:rPr>
                  </w:pPr>
                  <w:r>
                    <w:rPr>
                      <w:rFonts w:hAnsiTheme="minorEastAsia" w:eastAsiaTheme="minorEastAsia"/>
                      <w:sz w:val="21"/>
                      <w:szCs w:val="21"/>
                    </w:rPr>
                    <w:t>符合</w:t>
                  </w:r>
                </w:p>
              </w:tc>
            </w:tr>
          </w:tbl>
          <w:p w14:paraId="35AF04AA">
            <w:pPr>
              <w:adjustRightInd w:val="0"/>
              <w:snapToGrid w:val="0"/>
              <w:spacing w:line="480" w:lineRule="exact"/>
              <w:jc w:val="center"/>
              <w:rPr>
                <w:rFonts w:hAnsi="宋体"/>
                <w:b/>
                <w:bCs/>
                <w:szCs w:val="21"/>
              </w:rPr>
            </w:pPr>
          </w:p>
          <w:p w14:paraId="1DEC2D9B">
            <w:pPr>
              <w:spacing w:line="480" w:lineRule="exact"/>
              <w:ind w:firstLine="472" w:firstLineChars="200"/>
              <w:rPr>
                <w:rFonts w:hAnsi="宋体"/>
                <w:spacing w:val="-2"/>
                <w:sz w:val="24"/>
              </w:rPr>
            </w:pPr>
          </w:p>
          <w:p w14:paraId="07977190">
            <w:pPr>
              <w:spacing w:line="360" w:lineRule="auto"/>
              <w:ind w:firstLine="482"/>
              <w:rPr>
                <w:rFonts w:ascii="宋体" w:hAnsi="宋体" w:cs="宋体"/>
                <w:kern w:val="0"/>
                <w:sz w:val="24"/>
              </w:rPr>
            </w:pPr>
          </w:p>
        </w:tc>
      </w:tr>
    </w:tbl>
    <w:p w14:paraId="5474917F">
      <w:pPr>
        <w:pStyle w:val="20"/>
        <w:jc w:val="center"/>
        <w:outlineLvl w:val="0"/>
        <w:rPr>
          <w:rFonts w:ascii="黑体" w:hAnsi="黑体" w:eastAsia="黑体"/>
          <w:snapToGrid w:val="0"/>
          <w:sz w:val="30"/>
          <w:szCs w:val="30"/>
        </w:rPr>
        <w:sectPr>
          <w:pgSz w:w="16838" w:h="11906" w:orient="landscape"/>
          <w:pgMar w:top="1531" w:right="1701" w:bottom="1531" w:left="1701" w:header="851" w:footer="851" w:gutter="0"/>
          <w:cols w:space="720" w:num="1"/>
          <w:docGrid w:linePitch="312" w:charSpace="0"/>
        </w:sectPr>
      </w:pPr>
    </w:p>
    <w:tbl>
      <w:tblPr>
        <w:tblStyle w:val="24"/>
        <w:tblW w:w="93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7813"/>
      </w:tblGrid>
      <w:tr w14:paraId="18625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22" w:type="dxa"/>
            <w:vAlign w:val="center"/>
          </w:tcPr>
          <w:p w14:paraId="73A0D7DF">
            <w:pPr>
              <w:autoSpaceDE w:val="0"/>
              <w:autoSpaceDN w:val="0"/>
              <w:adjustRightInd w:val="0"/>
              <w:snapToGrid w:val="0"/>
              <w:jc w:val="center"/>
              <w:rPr>
                <w:rFonts w:ascii="宋体" w:hAnsi="宋体" w:cs="宋体"/>
                <w:kern w:val="0"/>
                <w:sz w:val="24"/>
              </w:rPr>
            </w:pPr>
            <w:r>
              <w:rPr>
                <w:rFonts w:hint="eastAsia" w:ascii="宋体" w:hAnsi="宋体" w:cs="宋体"/>
                <w:kern w:val="0"/>
                <w:sz w:val="24"/>
              </w:rPr>
              <w:t>其他符合性分析</w:t>
            </w:r>
          </w:p>
        </w:tc>
        <w:tc>
          <w:tcPr>
            <w:tcW w:w="7813" w:type="dxa"/>
            <w:vAlign w:val="center"/>
          </w:tcPr>
          <w:p w14:paraId="3E28AE5F">
            <w:pPr>
              <w:spacing w:line="480" w:lineRule="exact"/>
              <w:rPr>
                <w:b/>
                <w:spacing w:val="-2"/>
                <w:sz w:val="24"/>
              </w:rPr>
            </w:pPr>
            <w:r>
              <w:rPr>
                <w:rFonts w:hint="eastAsia"/>
                <w:b/>
                <w:spacing w:val="-2"/>
                <w:sz w:val="24"/>
              </w:rPr>
              <w:t>1.3与长江保护相关政策符合性分析</w:t>
            </w:r>
          </w:p>
          <w:p w14:paraId="57F4751D">
            <w:pPr>
              <w:spacing w:line="480" w:lineRule="exact"/>
              <w:ind w:firstLine="474" w:firstLineChars="200"/>
              <w:rPr>
                <w:b/>
                <w:spacing w:val="-2"/>
                <w:sz w:val="24"/>
              </w:rPr>
            </w:pPr>
            <w:r>
              <w:rPr>
                <w:rFonts w:hint="eastAsia"/>
                <w:b/>
                <w:spacing w:val="-2"/>
                <w:sz w:val="24"/>
              </w:rPr>
              <w:t>1</w:t>
            </w:r>
            <w:r>
              <w:rPr>
                <w:b/>
                <w:spacing w:val="-2"/>
                <w:sz w:val="24"/>
              </w:rPr>
              <w:t>.</w:t>
            </w:r>
            <w:r>
              <w:rPr>
                <w:rFonts w:hint="eastAsia"/>
                <w:b/>
                <w:spacing w:val="-2"/>
                <w:sz w:val="24"/>
              </w:rPr>
              <w:t>3</w:t>
            </w:r>
            <w:r>
              <w:rPr>
                <w:b/>
                <w:spacing w:val="-2"/>
                <w:sz w:val="24"/>
              </w:rPr>
              <w:t xml:space="preserve">.1 </w:t>
            </w:r>
            <w:r>
              <w:rPr>
                <w:rFonts w:hint="eastAsia"/>
                <w:b/>
                <w:spacing w:val="-2"/>
                <w:sz w:val="24"/>
              </w:rPr>
              <w:t>与《中华人民共和国长江保护法》符合性分析</w:t>
            </w:r>
          </w:p>
          <w:p w14:paraId="32056287">
            <w:pPr>
              <w:spacing w:line="480" w:lineRule="exact"/>
              <w:ind w:firstLine="472" w:firstLineChars="200"/>
              <w:rPr>
                <w:bCs/>
                <w:spacing w:val="-2"/>
                <w:sz w:val="24"/>
              </w:rPr>
            </w:pPr>
            <w:r>
              <w:rPr>
                <w:rFonts w:hint="eastAsia"/>
                <w:bCs/>
                <w:spacing w:val="-2"/>
                <w:sz w:val="24"/>
              </w:rPr>
              <w:t>项目与《中华人民共和国长江保护法》符合性分析见表1</w:t>
            </w:r>
            <w:r>
              <w:rPr>
                <w:bCs/>
                <w:spacing w:val="-2"/>
                <w:sz w:val="24"/>
              </w:rPr>
              <w:t>.</w:t>
            </w:r>
            <w:r>
              <w:rPr>
                <w:rFonts w:hint="eastAsia"/>
                <w:bCs/>
                <w:spacing w:val="-2"/>
                <w:sz w:val="24"/>
              </w:rPr>
              <w:t>3-1。</w:t>
            </w:r>
          </w:p>
          <w:p w14:paraId="7113C509">
            <w:pPr>
              <w:spacing w:line="480" w:lineRule="exact"/>
              <w:jc w:val="center"/>
              <w:rPr>
                <w:b/>
                <w:spacing w:val="-2"/>
                <w:szCs w:val="21"/>
              </w:rPr>
            </w:pPr>
            <w:r>
              <w:rPr>
                <w:rFonts w:hint="eastAsia"/>
                <w:b/>
                <w:spacing w:val="-2"/>
                <w:szCs w:val="21"/>
              </w:rPr>
              <w:t>表1</w:t>
            </w:r>
            <w:r>
              <w:rPr>
                <w:b/>
                <w:spacing w:val="-2"/>
                <w:szCs w:val="21"/>
              </w:rPr>
              <w:t>.</w:t>
            </w:r>
            <w:r>
              <w:rPr>
                <w:rFonts w:hint="eastAsia"/>
                <w:b/>
                <w:spacing w:val="-2"/>
                <w:szCs w:val="21"/>
              </w:rPr>
              <w:t>3-1</w:t>
            </w:r>
            <w:r>
              <w:rPr>
                <w:b/>
                <w:spacing w:val="-2"/>
                <w:szCs w:val="21"/>
              </w:rPr>
              <w:t xml:space="preserve"> </w:t>
            </w:r>
            <w:r>
              <w:rPr>
                <w:rFonts w:hint="eastAsia"/>
                <w:b/>
                <w:spacing w:val="-2"/>
                <w:szCs w:val="21"/>
              </w:rPr>
              <w:t>项目与《中华人民共和国长江保护法》符合性分析</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394"/>
              <w:gridCol w:w="1701"/>
              <w:gridCol w:w="888"/>
            </w:tblGrid>
            <w:tr w14:paraId="6B6C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5EFF312A">
                  <w:pPr>
                    <w:jc w:val="center"/>
                    <w:rPr>
                      <w:rFonts w:eastAsiaTheme="minorEastAsia"/>
                      <w:bCs/>
                      <w:spacing w:val="-2"/>
                      <w:szCs w:val="21"/>
                    </w:rPr>
                  </w:pPr>
                  <w:r>
                    <w:rPr>
                      <w:rFonts w:eastAsiaTheme="minorEastAsia"/>
                      <w:bCs/>
                      <w:spacing w:val="-2"/>
                      <w:szCs w:val="21"/>
                    </w:rPr>
                    <w:t>序号</w:t>
                  </w:r>
                </w:p>
              </w:tc>
              <w:tc>
                <w:tcPr>
                  <w:tcW w:w="4394" w:type="dxa"/>
                  <w:vAlign w:val="center"/>
                </w:tcPr>
                <w:p w14:paraId="2C70E29F">
                  <w:pPr>
                    <w:jc w:val="center"/>
                    <w:rPr>
                      <w:rFonts w:eastAsiaTheme="minorEastAsia"/>
                      <w:bCs/>
                      <w:spacing w:val="-2"/>
                      <w:szCs w:val="21"/>
                    </w:rPr>
                  </w:pPr>
                  <w:r>
                    <w:rPr>
                      <w:rFonts w:eastAsiaTheme="minorEastAsia"/>
                      <w:bCs/>
                      <w:spacing w:val="-2"/>
                      <w:szCs w:val="21"/>
                    </w:rPr>
                    <w:t>相关规定</w:t>
                  </w:r>
                </w:p>
              </w:tc>
              <w:tc>
                <w:tcPr>
                  <w:tcW w:w="1701" w:type="dxa"/>
                  <w:vAlign w:val="center"/>
                </w:tcPr>
                <w:p w14:paraId="6F980C73">
                  <w:pPr>
                    <w:jc w:val="center"/>
                    <w:rPr>
                      <w:rFonts w:eastAsiaTheme="minorEastAsia"/>
                      <w:bCs/>
                      <w:spacing w:val="-2"/>
                      <w:szCs w:val="21"/>
                    </w:rPr>
                  </w:pPr>
                  <w:r>
                    <w:rPr>
                      <w:rFonts w:eastAsiaTheme="minorEastAsia"/>
                      <w:bCs/>
                      <w:spacing w:val="-2"/>
                      <w:szCs w:val="21"/>
                    </w:rPr>
                    <w:t>项目情况</w:t>
                  </w:r>
                </w:p>
              </w:tc>
              <w:tc>
                <w:tcPr>
                  <w:tcW w:w="888" w:type="dxa"/>
                  <w:vAlign w:val="center"/>
                </w:tcPr>
                <w:p w14:paraId="65CA8E24">
                  <w:pPr>
                    <w:jc w:val="center"/>
                    <w:rPr>
                      <w:rFonts w:eastAsiaTheme="minorEastAsia"/>
                      <w:bCs/>
                      <w:spacing w:val="-2"/>
                      <w:szCs w:val="21"/>
                    </w:rPr>
                  </w:pPr>
                  <w:r>
                    <w:rPr>
                      <w:rFonts w:eastAsiaTheme="minorEastAsia"/>
                      <w:bCs/>
                      <w:spacing w:val="-2"/>
                      <w:szCs w:val="21"/>
                    </w:rPr>
                    <w:t>符合性</w:t>
                  </w:r>
                </w:p>
              </w:tc>
            </w:tr>
            <w:tr w14:paraId="496C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38750A5">
                  <w:pPr>
                    <w:jc w:val="center"/>
                    <w:rPr>
                      <w:rFonts w:eastAsiaTheme="minorEastAsia"/>
                      <w:bCs/>
                      <w:spacing w:val="-2"/>
                      <w:szCs w:val="21"/>
                    </w:rPr>
                  </w:pPr>
                  <w:r>
                    <w:rPr>
                      <w:rFonts w:eastAsiaTheme="minorEastAsia"/>
                      <w:bCs/>
                      <w:spacing w:val="-2"/>
                      <w:szCs w:val="21"/>
                    </w:rPr>
                    <w:t>1</w:t>
                  </w:r>
                </w:p>
              </w:tc>
              <w:tc>
                <w:tcPr>
                  <w:tcW w:w="4394" w:type="dxa"/>
                  <w:vAlign w:val="center"/>
                </w:tcPr>
                <w:p w14:paraId="76281C06">
                  <w:pPr>
                    <w:jc w:val="center"/>
                    <w:rPr>
                      <w:rFonts w:eastAsiaTheme="minorEastAsia"/>
                      <w:bCs/>
                      <w:spacing w:val="-2"/>
                      <w:szCs w:val="21"/>
                    </w:rPr>
                  </w:pPr>
                  <w:r>
                    <w:rPr>
                      <w:rFonts w:eastAsiaTheme="minorEastAsia"/>
                      <w:bCs/>
                      <w:szCs w:val="21"/>
                    </w:rPr>
                    <w:t>第二十六条 国家对长江流域河湖岸线实施特殊管制。国家长江流域协调机制统筹协调国务院自然资源、水行政、生态环境、住房和城乡建设、农业农村、交通运输、林业和草原等部门和长江流域省级人民政府划定河湖岸线保护 范围，制定河湖岸线保护规划，严格控制岸线开发建设，促进岸线合理高效利用。禁止在长江干支流岸线一公里范围内新建、扩建化工园区和化工项目。禁止在长江干流岸线三公里范围内和重要支流岸线一公里范围内新建、改扩建、扩建尾矿库；但是以提升安全、生态环境保护水平为目的的改扩建除外。</w:t>
                  </w:r>
                </w:p>
              </w:tc>
              <w:tc>
                <w:tcPr>
                  <w:tcW w:w="1701" w:type="dxa"/>
                  <w:vAlign w:val="center"/>
                </w:tcPr>
                <w:p w14:paraId="116B663E">
                  <w:pPr>
                    <w:jc w:val="center"/>
                    <w:rPr>
                      <w:rFonts w:eastAsiaTheme="minorEastAsia"/>
                      <w:bCs/>
                      <w:spacing w:val="-2"/>
                      <w:szCs w:val="21"/>
                    </w:rPr>
                  </w:pPr>
                  <w:r>
                    <w:rPr>
                      <w:rFonts w:eastAsiaTheme="minorEastAsia"/>
                      <w:bCs/>
                      <w:szCs w:val="21"/>
                    </w:rPr>
                    <w:t>项目属于</w:t>
                  </w:r>
                  <w:r>
                    <w:rPr>
                      <w:rFonts w:hint="eastAsia"/>
                      <w:szCs w:val="21"/>
                    </w:rPr>
                    <w:t>C2459其他玩具制造</w:t>
                  </w:r>
                  <w:r>
                    <w:rPr>
                      <w:rFonts w:hAnsi="宋体"/>
                      <w:szCs w:val="21"/>
                      <w:lang w:val="en-GB"/>
                    </w:rPr>
                    <w:t>，</w:t>
                  </w:r>
                  <w:r>
                    <w:rPr>
                      <w:rFonts w:hint="eastAsia" w:hAnsi="宋体"/>
                      <w:szCs w:val="21"/>
                      <w:lang w:val="en-GB"/>
                    </w:rPr>
                    <w:t>涉及印刷工艺</w:t>
                  </w:r>
                  <w:r>
                    <w:rPr>
                      <w:rFonts w:eastAsiaTheme="minorEastAsia"/>
                      <w:bCs/>
                      <w:szCs w:val="21"/>
                    </w:rPr>
                    <w:t>，不属于化工项目，且不在长江干支流岸线一公里 范围内。</w:t>
                  </w:r>
                </w:p>
              </w:tc>
              <w:tc>
                <w:tcPr>
                  <w:tcW w:w="888" w:type="dxa"/>
                  <w:vAlign w:val="center"/>
                </w:tcPr>
                <w:p w14:paraId="08439F82">
                  <w:pPr>
                    <w:jc w:val="center"/>
                    <w:rPr>
                      <w:rFonts w:eastAsiaTheme="minorEastAsia"/>
                      <w:bCs/>
                      <w:spacing w:val="-2"/>
                      <w:szCs w:val="21"/>
                    </w:rPr>
                  </w:pPr>
                  <w:r>
                    <w:rPr>
                      <w:rFonts w:eastAsiaTheme="minorEastAsia"/>
                      <w:bCs/>
                      <w:spacing w:val="-2"/>
                      <w:szCs w:val="21"/>
                    </w:rPr>
                    <w:t>符合</w:t>
                  </w:r>
                </w:p>
              </w:tc>
            </w:tr>
            <w:tr w14:paraId="087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5A1A7DF9">
                  <w:pPr>
                    <w:jc w:val="center"/>
                    <w:rPr>
                      <w:rFonts w:eastAsiaTheme="minorEastAsia"/>
                      <w:bCs/>
                      <w:spacing w:val="-2"/>
                      <w:szCs w:val="21"/>
                    </w:rPr>
                  </w:pPr>
                  <w:r>
                    <w:rPr>
                      <w:rFonts w:eastAsiaTheme="minorEastAsia"/>
                      <w:bCs/>
                      <w:spacing w:val="-2"/>
                      <w:szCs w:val="21"/>
                    </w:rPr>
                    <w:t>2</w:t>
                  </w:r>
                </w:p>
              </w:tc>
              <w:tc>
                <w:tcPr>
                  <w:tcW w:w="4394" w:type="dxa"/>
                  <w:vAlign w:val="center"/>
                </w:tcPr>
                <w:p w14:paraId="33AA7AF9">
                  <w:pPr>
                    <w:jc w:val="center"/>
                    <w:rPr>
                      <w:rFonts w:eastAsiaTheme="minorEastAsia"/>
                      <w:bCs/>
                      <w:spacing w:val="-2"/>
                      <w:szCs w:val="21"/>
                    </w:rPr>
                  </w:pPr>
                  <w:r>
                    <w:rPr>
                      <w:rFonts w:eastAsiaTheme="minorEastAsia"/>
                      <w:bCs/>
                      <w:szCs w:val="21"/>
                    </w:rPr>
                    <w:t>第四十七条 长江流域县级以上地方人民政府应当统筹长江流域城乡污水集中处理设施及配套管网建设，并保障其正常运行，提高城乡污水收集处理能力。长江流域县级以上地方人民政府应当组织对本行政区域的江河、湖泊排污口开展排查整治，明确责任主体，实施分类管理。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tc>
              <w:tc>
                <w:tcPr>
                  <w:tcW w:w="1701" w:type="dxa"/>
                  <w:vAlign w:val="center"/>
                </w:tcPr>
                <w:p w14:paraId="6478A91F">
                  <w:pPr>
                    <w:jc w:val="center"/>
                    <w:rPr>
                      <w:rFonts w:eastAsiaTheme="minorEastAsia"/>
                      <w:bCs/>
                      <w:spacing w:val="-2"/>
                      <w:szCs w:val="21"/>
                    </w:rPr>
                  </w:pPr>
                  <w:r>
                    <w:rPr>
                      <w:rFonts w:eastAsiaTheme="minorEastAsia"/>
                      <w:bCs/>
                      <w:szCs w:val="21"/>
                    </w:rPr>
                    <w:t>项目废水经自建废水处理设施处理达标后，再经</w:t>
                  </w:r>
                  <w:r>
                    <w:rPr>
                      <w:rFonts w:hint="eastAsia" w:eastAsiaTheme="minorEastAsia"/>
                      <w:bCs/>
                      <w:szCs w:val="21"/>
                    </w:rPr>
                    <w:t>李渡大耍坝</w:t>
                  </w:r>
                  <w:r>
                    <w:rPr>
                      <w:rFonts w:eastAsiaTheme="minorEastAsia"/>
                      <w:bCs/>
                      <w:szCs w:val="21"/>
                    </w:rPr>
                    <w:t>污水厂处理达标后外排</w:t>
                  </w:r>
                </w:p>
              </w:tc>
              <w:tc>
                <w:tcPr>
                  <w:tcW w:w="888" w:type="dxa"/>
                  <w:vAlign w:val="center"/>
                </w:tcPr>
                <w:p w14:paraId="0E8FBE8F">
                  <w:pPr>
                    <w:jc w:val="center"/>
                    <w:rPr>
                      <w:rFonts w:eastAsiaTheme="minorEastAsia"/>
                      <w:bCs/>
                      <w:spacing w:val="-2"/>
                      <w:szCs w:val="21"/>
                    </w:rPr>
                  </w:pPr>
                  <w:r>
                    <w:rPr>
                      <w:rFonts w:eastAsiaTheme="minorEastAsia"/>
                      <w:bCs/>
                      <w:spacing w:val="-2"/>
                      <w:szCs w:val="21"/>
                    </w:rPr>
                    <w:t>符合</w:t>
                  </w:r>
                </w:p>
              </w:tc>
            </w:tr>
            <w:tr w14:paraId="5141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7FB2FA3D">
                  <w:pPr>
                    <w:jc w:val="center"/>
                    <w:rPr>
                      <w:rFonts w:eastAsiaTheme="minorEastAsia"/>
                      <w:bCs/>
                      <w:spacing w:val="-2"/>
                      <w:szCs w:val="21"/>
                    </w:rPr>
                  </w:pPr>
                  <w:r>
                    <w:rPr>
                      <w:rFonts w:eastAsiaTheme="minorEastAsia"/>
                      <w:bCs/>
                      <w:spacing w:val="-2"/>
                      <w:szCs w:val="21"/>
                    </w:rPr>
                    <w:t>3</w:t>
                  </w:r>
                </w:p>
              </w:tc>
              <w:tc>
                <w:tcPr>
                  <w:tcW w:w="4394" w:type="dxa"/>
                  <w:vAlign w:val="center"/>
                </w:tcPr>
                <w:p w14:paraId="42298E26">
                  <w:pPr>
                    <w:jc w:val="center"/>
                    <w:rPr>
                      <w:rFonts w:eastAsiaTheme="minorEastAsia"/>
                      <w:bCs/>
                      <w:spacing w:val="-2"/>
                      <w:szCs w:val="21"/>
                    </w:rPr>
                  </w:pPr>
                  <w:r>
                    <w:rPr>
                      <w:rFonts w:eastAsiaTheme="minorEastAsia"/>
                      <w:bCs/>
                      <w:szCs w:val="21"/>
                    </w:rPr>
                    <w:t>禁止在长江流域水上运输剧毒化学品和国家规定禁止通过内河运输的其他危险化学品。</w:t>
                  </w:r>
                </w:p>
              </w:tc>
              <w:tc>
                <w:tcPr>
                  <w:tcW w:w="1701" w:type="dxa"/>
                  <w:vAlign w:val="center"/>
                </w:tcPr>
                <w:p w14:paraId="745BED01">
                  <w:pPr>
                    <w:jc w:val="center"/>
                    <w:rPr>
                      <w:rFonts w:eastAsiaTheme="minorEastAsia"/>
                      <w:bCs/>
                      <w:spacing w:val="-2"/>
                      <w:szCs w:val="21"/>
                    </w:rPr>
                  </w:pPr>
                  <w:r>
                    <w:rPr>
                      <w:rFonts w:eastAsiaTheme="minorEastAsia"/>
                      <w:bCs/>
                      <w:szCs w:val="21"/>
                    </w:rPr>
                    <w:t>原辅料运输均为陆路运输</w:t>
                  </w:r>
                </w:p>
              </w:tc>
              <w:tc>
                <w:tcPr>
                  <w:tcW w:w="888" w:type="dxa"/>
                  <w:vAlign w:val="center"/>
                </w:tcPr>
                <w:p w14:paraId="37977CBE">
                  <w:pPr>
                    <w:jc w:val="center"/>
                    <w:rPr>
                      <w:rFonts w:eastAsiaTheme="minorEastAsia"/>
                      <w:bCs/>
                      <w:spacing w:val="-2"/>
                      <w:szCs w:val="21"/>
                    </w:rPr>
                  </w:pPr>
                  <w:r>
                    <w:rPr>
                      <w:rFonts w:eastAsiaTheme="minorEastAsia"/>
                      <w:bCs/>
                      <w:spacing w:val="-2"/>
                      <w:szCs w:val="21"/>
                    </w:rPr>
                    <w:t>符合</w:t>
                  </w:r>
                </w:p>
              </w:tc>
            </w:tr>
          </w:tbl>
          <w:p w14:paraId="34933450">
            <w:pPr>
              <w:spacing w:line="480" w:lineRule="exact"/>
              <w:ind w:firstLine="480" w:firstLineChars="200"/>
              <w:rPr>
                <w:b/>
                <w:spacing w:val="-2"/>
                <w:sz w:val="24"/>
              </w:rPr>
            </w:pPr>
            <w:r>
              <w:rPr>
                <w:sz w:val="24"/>
              </w:rPr>
              <w:t>根据上表分析可知，</w:t>
            </w:r>
            <w:r>
              <w:rPr>
                <w:rFonts w:hint="eastAsia"/>
                <w:sz w:val="24"/>
              </w:rPr>
              <w:t>拟建</w:t>
            </w:r>
            <w:r>
              <w:rPr>
                <w:sz w:val="24"/>
              </w:rPr>
              <w:t>项目满足《中华人民共和国长江保护法》要求。</w:t>
            </w:r>
          </w:p>
          <w:p w14:paraId="0BCFB040">
            <w:pPr>
              <w:spacing w:line="480" w:lineRule="exact"/>
              <w:ind w:firstLine="474" w:firstLineChars="200"/>
              <w:rPr>
                <w:rFonts w:hAnsi="宋体"/>
                <w:b/>
                <w:spacing w:val="-2"/>
                <w:sz w:val="24"/>
              </w:rPr>
            </w:pPr>
            <w:r>
              <w:rPr>
                <w:rFonts w:hint="eastAsia" w:hAnsi="宋体"/>
                <w:b/>
                <w:spacing w:val="-2"/>
                <w:sz w:val="24"/>
              </w:rPr>
              <w:t>1.3.</w:t>
            </w:r>
            <w:r>
              <w:rPr>
                <w:rFonts w:hAnsi="宋体"/>
                <w:b/>
                <w:spacing w:val="-2"/>
                <w:sz w:val="24"/>
              </w:rPr>
              <w:t>2</w:t>
            </w:r>
            <w:r>
              <w:rPr>
                <w:rFonts w:hint="eastAsia" w:hAnsi="宋体"/>
                <w:b/>
                <w:spacing w:val="-2"/>
                <w:sz w:val="24"/>
              </w:rPr>
              <w:t xml:space="preserve"> 与《重庆市长江经济带发展负面清单实施细则（试行）》（渝推长办发〔2019〕40 号）符合性分析</w:t>
            </w:r>
          </w:p>
          <w:p w14:paraId="1B94F22D">
            <w:pPr>
              <w:spacing w:line="480" w:lineRule="exact"/>
              <w:ind w:firstLine="472" w:firstLineChars="200"/>
              <w:rPr>
                <w:rFonts w:hAnsi="宋体"/>
                <w:spacing w:val="-2"/>
                <w:sz w:val="24"/>
              </w:rPr>
            </w:pPr>
            <w:r>
              <w:rPr>
                <w:rFonts w:hint="eastAsia" w:hAnsi="宋体"/>
                <w:spacing w:val="-2"/>
                <w:sz w:val="24"/>
              </w:rPr>
              <w:t>项目与重庆市长江经济带发展负面清单实施细则的符合性分析见下表。</w:t>
            </w:r>
          </w:p>
          <w:p w14:paraId="39B4B546">
            <w:pPr>
              <w:spacing w:line="480" w:lineRule="exact"/>
              <w:ind w:firstLine="472" w:firstLineChars="200"/>
              <w:rPr>
                <w:rFonts w:hAnsi="宋体"/>
                <w:spacing w:val="-2"/>
                <w:sz w:val="24"/>
              </w:rPr>
            </w:pPr>
          </w:p>
          <w:p w14:paraId="77D67196">
            <w:pPr>
              <w:spacing w:line="480" w:lineRule="exact"/>
              <w:ind w:firstLine="472" w:firstLineChars="200"/>
              <w:rPr>
                <w:rFonts w:hAnsi="宋体"/>
                <w:spacing w:val="-2"/>
                <w:sz w:val="24"/>
              </w:rPr>
            </w:pPr>
          </w:p>
          <w:p w14:paraId="7D537D21">
            <w:pPr>
              <w:adjustRightInd w:val="0"/>
              <w:snapToGrid w:val="0"/>
              <w:spacing w:line="480" w:lineRule="exact"/>
              <w:jc w:val="center"/>
              <w:rPr>
                <w:b/>
                <w:szCs w:val="21"/>
              </w:rPr>
            </w:pPr>
            <w:r>
              <w:rPr>
                <w:rFonts w:hAnsi="宋体"/>
                <w:b/>
                <w:szCs w:val="21"/>
              </w:rPr>
              <w:t>表</w:t>
            </w:r>
            <w:r>
              <w:rPr>
                <w:rFonts w:hint="eastAsia"/>
                <w:b/>
                <w:szCs w:val="21"/>
              </w:rPr>
              <w:t>1.3-2 项</w:t>
            </w:r>
            <w:r>
              <w:rPr>
                <w:rFonts w:hint="eastAsia" w:hAnsi="宋体"/>
                <w:b/>
                <w:szCs w:val="21"/>
              </w:rPr>
              <w:t>目与重庆市长江经济带发展负面清单实施细则的符合性分析</w:t>
            </w:r>
          </w:p>
          <w:tbl>
            <w:tblPr>
              <w:tblStyle w:val="24"/>
              <w:tblW w:w="7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74"/>
              <w:gridCol w:w="2095"/>
              <w:gridCol w:w="964"/>
            </w:tblGrid>
            <w:tr w14:paraId="516C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91" w:type="dxa"/>
                  <w:vAlign w:val="center"/>
                </w:tcPr>
                <w:p w14:paraId="6B8904D1">
                  <w:pPr>
                    <w:jc w:val="center"/>
                    <w:rPr>
                      <w:spacing w:val="-2"/>
                      <w:szCs w:val="21"/>
                    </w:rPr>
                  </w:pPr>
                  <w:r>
                    <w:rPr>
                      <w:rFonts w:hint="eastAsia"/>
                      <w:spacing w:val="-2"/>
                      <w:szCs w:val="21"/>
                    </w:rPr>
                    <w:t>序号</w:t>
                  </w:r>
                </w:p>
              </w:tc>
              <w:tc>
                <w:tcPr>
                  <w:tcW w:w="3974" w:type="dxa"/>
                  <w:vAlign w:val="center"/>
                </w:tcPr>
                <w:p w14:paraId="26C77008">
                  <w:pPr>
                    <w:jc w:val="center"/>
                    <w:rPr>
                      <w:spacing w:val="-2"/>
                      <w:szCs w:val="21"/>
                    </w:rPr>
                  </w:pPr>
                  <w:r>
                    <w:rPr>
                      <w:rFonts w:hint="eastAsia"/>
                      <w:spacing w:val="-2"/>
                      <w:szCs w:val="21"/>
                    </w:rPr>
                    <w:t>条件</w:t>
                  </w:r>
                </w:p>
              </w:tc>
              <w:tc>
                <w:tcPr>
                  <w:tcW w:w="2095" w:type="dxa"/>
                  <w:vAlign w:val="center"/>
                </w:tcPr>
                <w:p w14:paraId="7D67A63B">
                  <w:pPr>
                    <w:jc w:val="center"/>
                    <w:rPr>
                      <w:spacing w:val="-2"/>
                      <w:szCs w:val="21"/>
                    </w:rPr>
                  </w:pPr>
                  <w:r>
                    <w:rPr>
                      <w:rFonts w:hint="eastAsia"/>
                      <w:spacing w:val="-2"/>
                      <w:szCs w:val="21"/>
                    </w:rPr>
                    <w:t>符合性分析</w:t>
                  </w:r>
                </w:p>
              </w:tc>
              <w:tc>
                <w:tcPr>
                  <w:tcW w:w="964" w:type="dxa"/>
                </w:tcPr>
                <w:p w14:paraId="37811061">
                  <w:pPr>
                    <w:jc w:val="center"/>
                    <w:rPr>
                      <w:spacing w:val="-2"/>
                      <w:szCs w:val="21"/>
                    </w:rPr>
                  </w:pPr>
                  <w:r>
                    <w:rPr>
                      <w:rFonts w:hint="eastAsia"/>
                      <w:spacing w:val="-2"/>
                      <w:szCs w:val="21"/>
                    </w:rPr>
                    <w:t>符合性</w:t>
                  </w:r>
                </w:p>
              </w:tc>
            </w:tr>
            <w:tr w14:paraId="1736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91" w:type="dxa"/>
                  <w:vAlign w:val="center"/>
                </w:tcPr>
                <w:p w14:paraId="01655D60">
                  <w:pPr>
                    <w:jc w:val="center"/>
                    <w:rPr>
                      <w:spacing w:val="-2"/>
                      <w:szCs w:val="21"/>
                    </w:rPr>
                  </w:pPr>
                  <w:r>
                    <w:rPr>
                      <w:rFonts w:hint="eastAsia"/>
                      <w:spacing w:val="-2"/>
                      <w:szCs w:val="21"/>
                    </w:rPr>
                    <w:t>1</w:t>
                  </w:r>
                </w:p>
              </w:tc>
              <w:tc>
                <w:tcPr>
                  <w:tcW w:w="3974" w:type="dxa"/>
                  <w:vAlign w:val="center"/>
                </w:tcPr>
                <w:p w14:paraId="4224EDF7">
                  <w:pPr>
                    <w:jc w:val="center"/>
                    <w:rPr>
                      <w:spacing w:val="-2"/>
                      <w:szCs w:val="21"/>
                      <w:highlight w:val="yellow"/>
                    </w:rPr>
                  </w:pPr>
                  <w:r>
                    <w:rPr>
                      <w:rFonts w:hint="eastAsia"/>
                      <w:spacing w:val="-2"/>
                      <w:szCs w:val="21"/>
                    </w:rPr>
                    <w:t>禁止建设不符合全国和省级港口布局规划以及港口总体规划的码头项目，禁止建设不符合《长江干线过江通道布局规划》的过长江通道项目。</w:t>
                  </w:r>
                </w:p>
              </w:tc>
              <w:tc>
                <w:tcPr>
                  <w:tcW w:w="2095" w:type="dxa"/>
                  <w:vAlign w:val="center"/>
                </w:tcPr>
                <w:p w14:paraId="7F836C49">
                  <w:pPr>
                    <w:jc w:val="center"/>
                    <w:rPr>
                      <w:spacing w:val="-2"/>
                      <w:szCs w:val="21"/>
                      <w:highlight w:val="yellow"/>
                    </w:rPr>
                  </w:pPr>
                  <w:r>
                    <w:rPr>
                      <w:rFonts w:hint="eastAsia"/>
                      <w:spacing w:val="-2"/>
                      <w:szCs w:val="21"/>
                    </w:rPr>
                    <w:t>本项目为</w:t>
                  </w:r>
                  <w:r>
                    <w:rPr>
                      <w:rFonts w:hint="eastAsia"/>
                      <w:szCs w:val="21"/>
                    </w:rPr>
                    <w:t>C2459其他玩具制造</w:t>
                  </w:r>
                  <w:r>
                    <w:rPr>
                      <w:rFonts w:hAnsi="宋体"/>
                      <w:szCs w:val="21"/>
                      <w:lang w:val="en-GB"/>
                    </w:rPr>
                    <w:t>，</w:t>
                  </w:r>
                  <w:r>
                    <w:rPr>
                      <w:rFonts w:hint="eastAsia" w:hAnsi="宋体"/>
                      <w:szCs w:val="21"/>
                      <w:lang w:val="en-GB"/>
                    </w:rPr>
                    <w:t>涉及印刷工艺</w:t>
                  </w:r>
                  <w:r>
                    <w:rPr>
                      <w:rFonts w:hint="eastAsia"/>
                      <w:spacing w:val="-2"/>
                      <w:szCs w:val="21"/>
                    </w:rPr>
                    <w:t>，不属于码头项目，也不属于过长江通道项目</w:t>
                  </w:r>
                </w:p>
              </w:tc>
              <w:tc>
                <w:tcPr>
                  <w:tcW w:w="964" w:type="dxa"/>
                  <w:vAlign w:val="center"/>
                </w:tcPr>
                <w:p w14:paraId="16357863">
                  <w:pPr>
                    <w:jc w:val="center"/>
                    <w:rPr>
                      <w:spacing w:val="-2"/>
                      <w:szCs w:val="21"/>
                    </w:rPr>
                  </w:pPr>
                  <w:r>
                    <w:rPr>
                      <w:rFonts w:hint="eastAsia"/>
                      <w:spacing w:val="-2"/>
                      <w:szCs w:val="21"/>
                    </w:rPr>
                    <w:t>符合</w:t>
                  </w:r>
                </w:p>
              </w:tc>
            </w:tr>
            <w:tr w14:paraId="6BBE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91" w:type="dxa"/>
                  <w:vAlign w:val="center"/>
                </w:tcPr>
                <w:p w14:paraId="3507F11F">
                  <w:pPr>
                    <w:jc w:val="center"/>
                    <w:rPr>
                      <w:spacing w:val="-2"/>
                      <w:szCs w:val="21"/>
                    </w:rPr>
                  </w:pPr>
                  <w:r>
                    <w:rPr>
                      <w:rFonts w:hint="eastAsia"/>
                      <w:spacing w:val="-2"/>
                      <w:szCs w:val="21"/>
                    </w:rPr>
                    <w:t>2</w:t>
                  </w:r>
                </w:p>
              </w:tc>
              <w:tc>
                <w:tcPr>
                  <w:tcW w:w="3974" w:type="dxa"/>
                  <w:vAlign w:val="center"/>
                </w:tcPr>
                <w:p w14:paraId="6B6E5EA6">
                  <w:pPr>
                    <w:jc w:val="center"/>
                    <w:rPr>
                      <w:spacing w:val="-2"/>
                      <w:szCs w:val="21"/>
                      <w:highlight w:val="yellow"/>
                    </w:rPr>
                  </w:pPr>
                  <w:r>
                    <w:rPr>
                      <w:rFonts w:hint="eastAsia"/>
                      <w:spacing w:val="-2"/>
                      <w:szCs w:val="21"/>
                    </w:rPr>
                    <w:t>禁止在自然保护区核心区、缓冲区的岸线和河段范围内投资建设旅游和生产经营项目。禁止在风景名胜区核心景区的岸线和河段范围内投资建设与风景名胜资源保护无关的项目。</w:t>
                  </w:r>
                </w:p>
              </w:tc>
              <w:tc>
                <w:tcPr>
                  <w:tcW w:w="2095" w:type="dxa"/>
                  <w:vAlign w:val="center"/>
                </w:tcPr>
                <w:p w14:paraId="41264D8C">
                  <w:pPr>
                    <w:jc w:val="center"/>
                    <w:rPr>
                      <w:spacing w:val="-2"/>
                      <w:szCs w:val="21"/>
                      <w:highlight w:val="yellow"/>
                    </w:rPr>
                  </w:pPr>
                  <w:r>
                    <w:rPr>
                      <w:rFonts w:hint="eastAsia"/>
                      <w:spacing w:val="-2"/>
                      <w:szCs w:val="21"/>
                    </w:rPr>
                    <w:t>项目位于涪陵李渡工业园区内，不涉及自然保护区、风景名胜区等</w:t>
                  </w:r>
                </w:p>
              </w:tc>
              <w:tc>
                <w:tcPr>
                  <w:tcW w:w="964" w:type="dxa"/>
                  <w:vAlign w:val="center"/>
                </w:tcPr>
                <w:p w14:paraId="2845583E">
                  <w:pPr>
                    <w:jc w:val="center"/>
                    <w:rPr>
                      <w:spacing w:val="-2"/>
                      <w:szCs w:val="21"/>
                    </w:rPr>
                  </w:pPr>
                  <w:r>
                    <w:rPr>
                      <w:rFonts w:hint="eastAsia"/>
                      <w:spacing w:val="-2"/>
                      <w:szCs w:val="21"/>
                    </w:rPr>
                    <w:t>符合</w:t>
                  </w:r>
                </w:p>
              </w:tc>
            </w:tr>
            <w:tr w14:paraId="5106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91" w:type="dxa"/>
                  <w:vAlign w:val="center"/>
                </w:tcPr>
                <w:p w14:paraId="270C9D55">
                  <w:pPr>
                    <w:jc w:val="center"/>
                    <w:rPr>
                      <w:spacing w:val="-2"/>
                      <w:szCs w:val="21"/>
                    </w:rPr>
                  </w:pPr>
                  <w:r>
                    <w:rPr>
                      <w:rFonts w:hint="eastAsia"/>
                      <w:spacing w:val="-2"/>
                      <w:szCs w:val="21"/>
                    </w:rPr>
                    <w:t>3</w:t>
                  </w:r>
                </w:p>
              </w:tc>
              <w:tc>
                <w:tcPr>
                  <w:tcW w:w="3974" w:type="dxa"/>
                  <w:vAlign w:val="center"/>
                </w:tcPr>
                <w:p w14:paraId="0FEC22EB">
                  <w:pPr>
                    <w:jc w:val="center"/>
                    <w:rPr>
                      <w:spacing w:val="-2"/>
                      <w:szCs w:val="21"/>
                      <w:highlight w:val="yellow"/>
                    </w:rPr>
                  </w:pPr>
                  <w:r>
                    <w:rPr>
                      <w:rFonts w:hint="eastAsia"/>
                      <w:spacing w:val="-2"/>
                      <w:szCs w:val="21"/>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2095" w:type="dxa"/>
                  <w:vAlign w:val="center"/>
                </w:tcPr>
                <w:p w14:paraId="67F191B3">
                  <w:pPr>
                    <w:jc w:val="center"/>
                    <w:rPr>
                      <w:spacing w:val="-2"/>
                      <w:szCs w:val="21"/>
                      <w:highlight w:val="yellow"/>
                    </w:rPr>
                  </w:pPr>
                  <w:r>
                    <w:rPr>
                      <w:rFonts w:hint="eastAsia"/>
                      <w:spacing w:val="-2"/>
                      <w:szCs w:val="21"/>
                    </w:rPr>
                    <w:t>项目不涉及饮用水源保护区</w:t>
                  </w:r>
                </w:p>
              </w:tc>
              <w:tc>
                <w:tcPr>
                  <w:tcW w:w="964" w:type="dxa"/>
                  <w:vAlign w:val="center"/>
                </w:tcPr>
                <w:p w14:paraId="1C587763">
                  <w:pPr>
                    <w:jc w:val="center"/>
                    <w:rPr>
                      <w:spacing w:val="-2"/>
                      <w:szCs w:val="21"/>
                    </w:rPr>
                  </w:pPr>
                  <w:r>
                    <w:rPr>
                      <w:rFonts w:hint="eastAsia"/>
                      <w:spacing w:val="-2"/>
                      <w:szCs w:val="21"/>
                    </w:rPr>
                    <w:t>符合</w:t>
                  </w:r>
                </w:p>
              </w:tc>
            </w:tr>
            <w:tr w14:paraId="570F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91" w:type="dxa"/>
                  <w:vAlign w:val="center"/>
                </w:tcPr>
                <w:p w14:paraId="221553E6">
                  <w:pPr>
                    <w:jc w:val="center"/>
                    <w:rPr>
                      <w:spacing w:val="-2"/>
                      <w:szCs w:val="21"/>
                    </w:rPr>
                  </w:pPr>
                  <w:r>
                    <w:rPr>
                      <w:rFonts w:hint="eastAsia"/>
                      <w:spacing w:val="-2"/>
                      <w:szCs w:val="21"/>
                    </w:rPr>
                    <w:t>4</w:t>
                  </w:r>
                </w:p>
              </w:tc>
              <w:tc>
                <w:tcPr>
                  <w:tcW w:w="3974" w:type="dxa"/>
                  <w:vAlign w:val="center"/>
                </w:tcPr>
                <w:p w14:paraId="6D9342AA">
                  <w:pPr>
                    <w:jc w:val="center"/>
                    <w:rPr>
                      <w:spacing w:val="-2"/>
                      <w:szCs w:val="21"/>
                      <w:highlight w:val="yellow"/>
                    </w:rPr>
                  </w:pPr>
                  <w:r>
                    <w:rPr>
                      <w:rFonts w:hint="eastAsia"/>
                      <w:spacing w:val="-2"/>
                      <w:szCs w:val="21"/>
                    </w:rPr>
                    <w:t>禁止在水产种质资源保护区的岸线和河段范围内新建排污口， 以及围湖造田、围海造地或围填海等投资建设项目。禁止在国家湿地公园的岸线和河段范围内挖砂、采矿，以及任何不符合主体功能定位的投资建设项目。</w:t>
                  </w:r>
                </w:p>
              </w:tc>
              <w:tc>
                <w:tcPr>
                  <w:tcW w:w="2095" w:type="dxa"/>
                  <w:vAlign w:val="center"/>
                </w:tcPr>
                <w:p w14:paraId="507FDD41">
                  <w:pPr>
                    <w:jc w:val="center"/>
                    <w:rPr>
                      <w:spacing w:val="-2"/>
                      <w:szCs w:val="21"/>
                      <w:highlight w:val="yellow"/>
                    </w:rPr>
                  </w:pPr>
                  <w:r>
                    <w:rPr>
                      <w:rFonts w:hint="eastAsia"/>
                      <w:spacing w:val="-2"/>
                      <w:szCs w:val="21"/>
                    </w:rPr>
                    <w:t>项目不涉及水产种质资源保护区与国家湿地公园</w:t>
                  </w:r>
                </w:p>
              </w:tc>
              <w:tc>
                <w:tcPr>
                  <w:tcW w:w="964" w:type="dxa"/>
                  <w:vAlign w:val="center"/>
                </w:tcPr>
                <w:p w14:paraId="20EDCCB4">
                  <w:pPr>
                    <w:jc w:val="center"/>
                    <w:rPr>
                      <w:spacing w:val="-2"/>
                      <w:szCs w:val="21"/>
                    </w:rPr>
                  </w:pPr>
                  <w:r>
                    <w:rPr>
                      <w:rFonts w:hint="eastAsia"/>
                      <w:spacing w:val="-2"/>
                      <w:szCs w:val="21"/>
                    </w:rPr>
                    <w:t>符合</w:t>
                  </w:r>
                </w:p>
              </w:tc>
            </w:tr>
            <w:tr w14:paraId="5165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691" w:type="dxa"/>
                  <w:vAlign w:val="center"/>
                </w:tcPr>
                <w:p w14:paraId="60FFFF44">
                  <w:pPr>
                    <w:jc w:val="center"/>
                    <w:rPr>
                      <w:spacing w:val="-2"/>
                      <w:szCs w:val="21"/>
                    </w:rPr>
                  </w:pPr>
                  <w:r>
                    <w:rPr>
                      <w:rFonts w:hint="eastAsia"/>
                      <w:spacing w:val="-2"/>
                      <w:szCs w:val="21"/>
                    </w:rPr>
                    <w:t>5</w:t>
                  </w:r>
                </w:p>
              </w:tc>
              <w:tc>
                <w:tcPr>
                  <w:tcW w:w="3974" w:type="dxa"/>
                  <w:vAlign w:val="center"/>
                </w:tcPr>
                <w:p w14:paraId="7490A9F4">
                  <w:pPr>
                    <w:jc w:val="center"/>
                    <w:rPr>
                      <w:spacing w:val="-2"/>
                      <w:szCs w:val="21"/>
                      <w:highlight w:val="yellow"/>
                    </w:rPr>
                  </w:pPr>
                  <w:r>
                    <w:rPr>
                      <w:rFonts w:hint="eastAsia"/>
                      <w:spacing w:val="-2"/>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2095" w:type="dxa"/>
                  <w:vAlign w:val="center"/>
                </w:tcPr>
                <w:p w14:paraId="1B13DA1E">
                  <w:pPr>
                    <w:jc w:val="center"/>
                    <w:rPr>
                      <w:spacing w:val="-2"/>
                      <w:szCs w:val="21"/>
                      <w:highlight w:val="yellow"/>
                    </w:rPr>
                  </w:pPr>
                  <w:r>
                    <w:rPr>
                      <w:rFonts w:hint="eastAsia"/>
                      <w:spacing w:val="-2"/>
                      <w:szCs w:val="21"/>
                    </w:rPr>
                    <w:t>项目不涉及《长江岸线保护和开发利用总体规划》划定的岸线保护区和《全国重要江河湖泊水功能区划》划定的河段保护区、保留区</w:t>
                  </w:r>
                </w:p>
              </w:tc>
              <w:tc>
                <w:tcPr>
                  <w:tcW w:w="964" w:type="dxa"/>
                  <w:vAlign w:val="center"/>
                </w:tcPr>
                <w:p w14:paraId="40558BF7">
                  <w:pPr>
                    <w:jc w:val="center"/>
                    <w:rPr>
                      <w:spacing w:val="-2"/>
                      <w:szCs w:val="21"/>
                    </w:rPr>
                  </w:pPr>
                  <w:r>
                    <w:rPr>
                      <w:rFonts w:hint="eastAsia"/>
                      <w:spacing w:val="-2"/>
                      <w:szCs w:val="21"/>
                    </w:rPr>
                    <w:t>符合</w:t>
                  </w:r>
                </w:p>
              </w:tc>
            </w:tr>
            <w:tr w14:paraId="68A5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91" w:type="dxa"/>
                  <w:vAlign w:val="center"/>
                </w:tcPr>
                <w:p w14:paraId="596D71C7">
                  <w:pPr>
                    <w:jc w:val="center"/>
                    <w:rPr>
                      <w:spacing w:val="-2"/>
                      <w:szCs w:val="21"/>
                    </w:rPr>
                  </w:pPr>
                  <w:r>
                    <w:rPr>
                      <w:rFonts w:hint="eastAsia"/>
                      <w:spacing w:val="-2"/>
                      <w:szCs w:val="21"/>
                    </w:rPr>
                    <w:t>6</w:t>
                  </w:r>
                </w:p>
              </w:tc>
              <w:tc>
                <w:tcPr>
                  <w:tcW w:w="3974" w:type="dxa"/>
                  <w:vAlign w:val="center"/>
                </w:tcPr>
                <w:p w14:paraId="1F799A7B">
                  <w:pPr>
                    <w:jc w:val="center"/>
                    <w:rPr>
                      <w:spacing w:val="-2"/>
                      <w:szCs w:val="21"/>
                      <w:highlight w:val="yellow"/>
                    </w:rPr>
                  </w:pPr>
                  <w:r>
                    <w:rPr>
                      <w:rFonts w:hint="eastAsia"/>
                      <w:spacing w:val="-2"/>
                      <w:szCs w:val="21"/>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2095" w:type="dxa"/>
                  <w:vAlign w:val="center"/>
                </w:tcPr>
                <w:p w14:paraId="5B019FB3">
                  <w:pPr>
                    <w:jc w:val="center"/>
                    <w:rPr>
                      <w:spacing w:val="-2"/>
                      <w:szCs w:val="21"/>
                      <w:highlight w:val="yellow"/>
                    </w:rPr>
                  </w:pPr>
                  <w:r>
                    <w:rPr>
                      <w:rFonts w:hint="eastAsia"/>
                      <w:spacing w:val="-2"/>
                      <w:szCs w:val="21"/>
                    </w:rPr>
                    <w:t>项目占地不涉及生态保护红线和永久基本农田</w:t>
                  </w:r>
                </w:p>
              </w:tc>
              <w:tc>
                <w:tcPr>
                  <w:tcW w:w="964" w:type="dxa"/>
                  <w:vAlign w:val="center"/>
                </w:tcPr>
                <w:p w14:paraId="06E84AD8">
                  <w:pPr>
                    <w:jc w:val="center"/>
                    <w:rPr>
                      <w:spacing w:val="-2"/>
                      <w:szCs w:val="21"/>
                    </w:rPr>
                  </w:pPr>
                  <w:r>
                    <w:rPr>
                      <w:rFonts w:hint="eastAsia"/>
                      <w:spacing w:val="-2"/>
                      <w:szCs w:val="21"/>
                    </w:rPr>
                    <w:t>符合</w:t>
                  </w:r>
                </w:p>
              </w:tc>
            </w:tr>
            <w:tr w14:paraId="0EA4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91" w:type="dxa"/>
                  <w:vAlign w:val="center"/>
                </w:tcPr>
                <w:p w14:paraId="2D0DDC07">
                  <w:pPr>
                    <w:jc w:val="center"/>
                    <w:rPr>
                      <w:spacing w:val="-2"/>
                      <w:szCs w:val="21"/>
                    </w:rPr>
                  </w:pPr>
                  <w:r>
                    <w:rPr>
                      <w:rFonts w:hint="eastAsia"/>
                      <w:spacing w:val="-2"/>
                      <w:szCs w:val="21"/>
                    </w:rPr>
                    <w:t>7</w:t>
                  </w:r>
                </w:p>
              </w:tc>
              <w:tc>
                <w:tcPr>
                  <w:tcW w:w="3974" w:type="dxa"/>
                  <w:vAlign w:val="center"/>
                </w:tcPr>
                <w:p w14:paraId="4DEEA28C">
                  <w:pPr>
                    <w:jc w:val="center"/>
                    <w:rPr>
                      <w:spacing w:val="-2"/>
                      <w:szCs w:val="21"/>
                      <w:highlight w:val="yellow"/>
                    </w:rPr>
                  </w:pPr>
                  <w:r>
                    <w:rPr>
                      <w:rFonts w:hint="eastAsia"/>
                      <w:spacing w:val="-2"/>
                      <w:szCs w:val="21"/>
                    </w:rPr>
                    <w:t>禁止在长江干支流 1 公里范围内新建、扩建化工园区和化工项目。禁止在合规园区外新建、扩建钢铁、石化、化工、焦化、建材、有色等高污染项目</w:t>
                  </w:r>
                </w:p>
              </w:tc>
              <w:tc>
                <w:tcPr>
                  <w:tcW w:w="2095" w:type="dxa"/>
                  <w:vAlign w:val="center"/>
                </w:tcPr>
                <w:p w14:paraId="47A45302">
                  <w:pPr>
                    <w:jc w:val="center"/>
                    <w:rPr>
                      <w:spacing w:val="-2"/>
                      <w:szCs w:val="21"/>
                      <w:highlight w:val="yellow"/>
                    </w:rPr>
                  </w:pPr>
                  <w:r>
                    <w:rPr>
                      <w:rFonts w:hint="eastAsia"/>
                      <w:spacing w:val="-2"/>
                      <w:szCs w:val="21"/>
                    </w:rPr>
                    <w:t>项目不涉及长江干支流 1 公里，项目不属于钢铁、石化、化工、焦化、建材、有色项目</w:t>
                  </w:r>
                </w:p>
              </w:tc>
              <w:tc>
                <w:tcPr>
                  <w:tcW w:w="964" w:type="dxa"/>
                  <w:vAlign w:val="center"/>
                </w:tcPr>
                <w:p w14:paraId="75112D51">
                  <w:pPr>
                    <w:jc w:val="center"/>
                    <w:rPr>
                      <w:spacing w:val="-2"/>
                      <w:szCs w:val="21"/>
                    </w:rPr>
                  </w:pPr>
                  <w:r>
                    <w:rPr>
                      <w:rFonts w:hint="eastAsia"/>
                      <w:spacing w:val="-2"/>
                      <w:szCs w:val="21"/>
                    </w:rPr>
                    <w:t>符合</w:t>
                  </w:r>
                </w:p>
              </w:tc>
            </w:tr>
            <w:tr w14:paraId="5839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1" w:type="dxa"/>
                  <w:vAlign w:val="center"/>
                </w:tcPr>
                <w:p w14:paraId="566E2B46">
                  <w:pPr>
                    <w:jc w:val="center"/>
                    <w:rPr>
                      <w:spacing w:val="-2"/>
                      <w:szCs w:val="21"/>
                    </w:rPr>
                  </w:pPr>
                  <w:r>
                    <w:rPr>
                      <w:rFonts w:hint="eastAsia"/>
                      <w:spacing w:val="-2"/>
                      <w:szCs w:val="21"/>
                    </w:rPr>
                    <w:t>8</w:t>
                  </w:r>
                </w:p>
              </w:tc>
              <w:tc>
                <w:tcPr>
                  <w:tcW w:w="3974" w:type="dxa"/>
                  <w:vAlign w:val="center"/>
                </w:tcPr>
                <w:p w14:paraId="06B219C9">
                  <w:pPr>
                    <w:jc w:val="center"/>
                    <w:rPr>
                      <w:spacing w:val="-2"/>
                      <w:szCs w:val="21"/>
                    </w:rPr>
                  </w:pPr>
                  <w:r>
                    <w:rPr>
                      <w:rFonts w:hint="eastAsia"/>
                      <w:spacing w:val="-2"/>
                      <w:szCs w:val="21"/>
                    </w:rPr>
                    <w:t>禁止新建、扩建不符合国家石化、现代煤化工等产业布局规划的项目</w:t>
                  </w:r>
                </w:p>
              </w:tc>
              <w:tc>
                <w:tcPr>
                  <w:tcW w:w="2095" w:type="dxa"/>
                  <w:vAlign w:val="center"/>
                </w:tcPr>
                <w:p w14:paraId="40ED2AA8">
                  <w:pPr>
                    <w:jc w:val="center"/>
                    <w:rPr>
                      <w:spacing w:val="-2"/>
                      <w:szCs w:val="21"/>
                    </w:rPr>
                  </w:pPr>
                  <w:r>
                    <w:rPr>
                      <w:rFonts w:hint="eastAsia"/>
                      <w:spacing w:val="-2"/>
                      <w:szCs w:val="21"/>
                    </w:rPr>
                    <w:t>项目不属于石化、现代煤化工</w:t>
                  </w:r>
                </w:p>
              </w:tc>
              <w:tc>
                <w:tcPr>
                  <w:tcW w:w="964" w:type="dxa"/>
                  <w:vAlign w:val="center"/>
                </w:tcPr>
                <w:p w14:paraId="01C57942">
                  <w:pPr>
                    <w:jc w:val="center"/>
                    <w:rPr>
                      <w:spacing w:val="-2"/>
                      <w:szCs w:val="21"/>
                    </w:rPr>
                  </w:pPr>
                  <w:r>
                    <w:rPr>
                      <w:rFonts w:hint="eastAsia"/>
                      <w:spacing w:val="-2"/>
                      <w:szCs w:val="21"/>
                    </w:rPr>
                    <w:t>符合</w:t>
                  </w:r>
                </w:p>
              </w:tc>
            </w:tr>
            <w:tr w14:paraId="7F11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691" w:type="dxa"/>
                  <w:vAlign w:val="center"/>
                </w:tcPr>
                <w:p w14:paraId="423AF552">
                  <w:pPr>
                    <w:jc w:val="center"/>
                    <w:rPr>
                      <w:spacing w:val="-2"/>
                      <w:szCs w:val="21"/>
                    </w:rPr>
                  </w:pPr>
                  <w:r>
                    <w:rPr>
                      <w:rFonts w:hint="eastAsia"/>
                      <w:spacing w:val="-2"/>
                      <w:szCs w:val="21"/>
                    </w:rPr>
                    <w:t>9</w:t>
                  </w:r>
                </w:p>
              </w:tc>
              <w:tc>
                <w:tcPr>
                  <w:tcW w:w="3974" w:type="dxa"/>
                  <w:vAlign w:val="center"/>
                </w:tcPr>
                <w:p w14:paraId="5AFF3A8E">
                  <w:pPr>
                    <w:jc w:val="center"/>
                    <w:rPr>
                      <w:spacing w:val="-2"/>
                      <w:szCs w:val="21"/>
                    </w:rPr>
                  </w:pPr>
                  <w:r>
                    <w:rPr>
                      <w:rFonts w:hint="eastAsia"/>
                      <w:spacing w:val="-2"/>
                      <w:szCs w:val="21"/>
                    </w:rPr>
                    <w:t>禁止新建、扩建法律法规和相关政策命令禁止的落后产能项目</w:t>
                  </w:r>
                </w:p>
              </w:tc>
              <w:tc>
                <w:tcPr>
                  <w:tcW w:w="2095" w:type="dxa"/>
                  <w:vAlign w:val="center"/>
                </w:tcPr>
                <w:p w14:paraId="16434B90">
                  <w:pPr>
                    <w:jc w:val="center"/>
                    <w:rPr>
                      <w:spacing w:val="-2"/>
                      <w:szCs w:val="21"/>
                    </w:rPr>
                  </w:pPr>
                  <w:r>
                    <w:rPr>
                      <w:rFonts w:hint="eastAsia"/>
                      <w:spacing w:val="-2"/>
                      <w:szCs w:val="21"/>
                    </w:rPr>
                    <w:t>项目属于《产业结构调整指导目录（2019 年）》中允许类项目，不属于禁止的落后产能项目</w:t>
                  </w:r>
                </w:p>
              </w:tc>
              <w:tc>
                <w:tcPr>
                  <w:tcW w:w="964" w:type="dxa"/>
                  <w:vAlign w:val="center"/>
                </w:tcPr>
                <w:p w14:paraId="1FA8A316">
                  <w:pPr>
                    <w:jc w:val="center"/>
                    <w:rPr>
                      <w:spacing w:val="-2"/>
                      <w:szCs w:val="21"/>
                    </w:rPr>
                  </w:pPr>
                  <w:r>
                    <w:rPr>
                      <w:rFonts w:hint="eastAsia"/>
                      <w:spacing w:val="-2"/>
                      <w:szCs w:val="21"/>
                    </w:rPr>
                    <w:t>符合</w:t>
                  </w:r>
                </w:p>
              </w:tc>
            </w:tr>
            <w:tr w14:paraId="3BBB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1" w:type="dxa"/>
                  <w:vAlign w:val="center"/>
                </w:tcPr>
                <w:p w14:paraId="675C4A54">
                  <w:pPr>
                    <w:jc w:val="center"/>
                    <w:rPr>
                      <w:spacing w:val="-2"/>
                      <w:szCs w:val="21"/>
                    </w:rPr>
                  </w:pPr>
                  <w:r>
                    <w:rPr>
                      <w:rFonts w:hint="eastAsia"/>
                      <w:spacing w:val="-2"/>
                      <w:szCs w:val="21"/>
                    </w:rPr>
                    <w:t>10</w:t>
                  </w:r>
                </w:p>
              </w:tc>
              <w:tc>
                <w:tcPr>
                  <w:tcW w:w="3974" w:type="dxa"/>
                  <w:vAlign w:val="center"/>
                </w:tcPr>
                <w:p w14:paraId="1FF5E1CE">
                  <w:pPr>
                    <w:jc w:val="center"/>
                    <w:rPr>
                      <w:spacing w:val="-2"/>
                      <w:szCs w:val="21"/>
                    </w:rPr>
                  </w:pPr>
                  <w:r>
                    <w:rPr>
                      <w:rFonts w:hint="eastAsia"/>
                      <w:spacing w:val="-2"/>
                      <w:szCs w:val="21"/>
                    </w:rPr>
                    <w:t>禁止新建、扩建不符合国家产能置换要求的严重过剩产能行业的项目</w:t>
                  </w:r>
                </w:p>
              </w:tc>
              <w:tc>
                <w:tcPr>
                  <w:tcW w:w="2095" w:type="dxa"/>
                  <w:vAlign w:val="center"/>
                </w:tcPr>
                <w:p w14:paraId="1BC470FA">
                  <w:pPr>
                    <w:jc w:val="center"/>
                    <w:rPr>
                      <w:spacing w:val="-2"/>
                      <w:szCs w:val="21"/>
                    </w:rPr>
                  </w:pPr>
                  <w:r>
                    <w:rPr>
                      <w:rFonts w:hint="eastAsia"/>
                      <w:spacing w:val="-2"/>
                      <w:szCs w:val="21"/>
                    </w:rPr>
                    <w:t>项目不属于严重过剩产能行业的项目</w:t>
                  </w:r>
                </w:p>
              </w:tc>
              <w:tc>
                <w:tcPr>
                  <w:tcW w:w="964" w:type="dxa"/>
                  <w:vAlign w:val="center"/>
                </w:tcPr>
                <w:p w14:paraId="0B9CDF0C">
                  <w:pPr>
                    <w:jc w:val="center"/>
                    <w:rPr>
                      <w:spacing w:val="-2"/>
                      <w:szCs w:val="21"/>
                    </w:rPr>
                  </w:pPr>
                  <w:r>
                    <w:rPr>
                      <w:rFonts w:hint="eastAsia"/>
                      <w:spacing w:val="-2"/>
                      <w:szCs w:val="21"/>
                    </w:rPr>
                    <w:t>符合</w:t>
                  </w:r>
                </w:p>
              </w:tc>
            </w:tr>
          </w:tbl>
          <w:p w14:paraId="1A1B516D">
            <w:pPr>
              <w:spacing w:line="480" w:lineRule="exact"/>
              <w:ind w:firstLine="474" w:firstLineChars="200"/>
              <w:rPr>
                <w:rFonts w:hAnsi="宋体"/>
                <w:b/>
                <w:spacing w:val="-2"/>
                <w:sz w:val="24"/>
              </w:rPr>
            </w:pPr>
            <w:r>
              <w:rPr>
                <w:rFonts w:hint="eastAsia" w:hAnsi="宋体"/>
                <w:b/>
                <w:spacing w:val="-2"/>
                <w:sz w:val="24"/>
              </w:rPr>
              <w:t>1.3.</w:t>
            </w:r>
            <w:r>
              <w:rPr>
                <w:rFonts w:hAnsi="宋体"/>
                <w:b/>
                <w:spacing w:val="-2"/>
                <w:sz w:val="24"/>
              </w:rPr>
              <w:t>3</w:t>
            </w:r>
            <w:r>
              <w:rPr>
                <w:rFonts w:hint="eastAsia" w:hAnsi="宋体"/>
                <w:b/>
                <w:spacing w:val="-2"/>
                <w:sz w:val="24"/>
              </w:rPr>
              <w:t xml:space="preserve"> 与《长江经济带发展负面清单指南（试行，2</w:t>
            </w:r>
            <w:r>
              <w:rPr>
                <w:rFonts w:hAnsi="宋体"/>
                <w:b/>
                <w:spacing w:val="-2"/>
                <w:sz w:val="24"/>
              </w:rPr>
              <w:t>022</w:t>
            </w:r>
            <w:r>
              <w:rPr>
                <w:rFonts w:hint="eastAsia" w:hAnsi="宋体"/>
                <w:b/>
                <w:spacing w:val="-2"/>
                <w:sz w:val="24"/>
              </w:rPr>
              <w:t>年版）》符合性分析</w:t>
            </w:r>
          </w:p>
          <w:p w14:paraId="4F89E391">
            <w:pPr>
              <w:spacing w:line="480" w:lineRule="exact"/>
              <w:ind w:firstLine="472" w:firstLineChars="200"/>
              <w:rPr>
                <w:rFonts w:hAnsi="宋体"/>
                <w:spacing w:val="-2"/>
                <w:sz w:val="24"/>
              </w:rPr>
            </w:pPr>
            <w:r>
              <w:rPr>
                <w:rFonts w:hint="eastAsia" w:hAnsi="宋体"/>
                <w:spacing w:val="-2"/>
                <w:sz w:val="24"/>
              </w:rPr>
              <w:t>项目与</w:t>
            </w:r>
            <w:r>
              <w:rPr>
                <w:rFonts w:hint="eastAsia" w:hAnsi="宋体"/>
                <w:bCs/>
                <w:spacing w:val="-2"/>
                <w:sz w:val="24"/>
              </w:rPr>
              <w:t>《长江经济带发展负面清单指南（试行）》（长江办〔20</w:t>
            </w:r>
            <w:r>
              <w:rPr>
                <w:rFonts w:hAnsi="宋体"/>
                <w:bCs/>
                <w:spacing w:val="-2"/>
                <w:sz w:val="24"/>
              </w:rPr>
              <w:t>22</w:t>
            </w:r>
            <w:r>
              <w:rPr>
                <w:rFonts w:hint="eastAsia" w:hAnsi="宋体"/>
                <w:bCs/>
                <w:spacing w:val="-2"/>
                <w:sz w:val="24"/>
              </w:rPr>
              <w:t>〕</w:t>
            </w:r>
            <w:r>
              <w:rPr>
                <w:rFonts w:hAnsi="宋体"/>
                <w:bCs/>
                <w:spacing w:val="-2"/>
                <w:sz w:val="24"/>
              </w:rPr>
              <w:t>7</w:t>
            </w:r>
            <w:r>
              <w:rPr>
                <w:rFonts w:hint="eastAsia" w:hAnsi="宋体"/>
                <w:bCs/>
                <w:spacing w:val="-2"/>
                <w:sz w:val="24"/>
              </w:rPr>
              <w:t>号）</w:t>
            </w:r>
            <w:r>
              <w:rPr>
                <w:rFonts w:hint="eastAsia" w:hAnsi="宋体"/>
                <w:spacing w:val="-2"/>
                <w:sz w:val="24"/>
              </w:rPr>
              <w:t>的符合性分析见下表。</w:t>
            </w:r>
          </w:p>
          <w:p w14:paraId="744C3D49">
            <w:pPr>
              <w:adjustRightInd w:val="0"/>
              <w:snapToGrid w:val="0"/>
              <w:jc w:val="center"/>
              <w:rPr>
                <w:b/>
                <w:szCs w:val="21"/>
              </w:rPr>
            </w:pPr>
            <w:r>
              <w:rPr>
                <w:rFonts w:hAnsi="宋体"/>
                <w:b/>
                <w:szCs w:val="21"/>
              </w:rPr>
              <w:t>表</w:t>
            </w:r>
            <w:r>
              <w:rPr>
                <w:rFonts w:hint="eastAsia"/>
                <w:b/>
                <w:szCs w:val="21"/>
              </w:rPr>
              <w:t>1.3-3 项</w:t>
            </w:r>
            <w:r>
              <w:rPr>
                <w:rFonts w:hint="eastAsia" w:hAnsi="宋体"/>
                <w:b/>
                <w:szCs w:val="21"/>
              </w:rPr>
              <w:t>目与《长江经济带发展负面清单指南</w:t>
            </w:r>
            <w:r>
              <w:rPr>
                <w:rFonts w:hint="eastAsia" w:hAnsi="宋体"/>
                <w:b/>
                <w:spacing w:val="-2"/>
                <w:sz w:val="24"/>
              </w:rPr>
              <w:t>（试行，2</w:t>
            </w:r>
            <w:r>
              <w:rPr>
                <w:rFonts w:hAnsi="宋体"/>
                <w:b/>
                <w:spacing w:val="-2"/>
                <w:sz w:val="24"/>
              </w:rPr>
              <w:t>022</w:t>
            </w:r>
            <w:r>
              <w:rPr>
                <w:rFonts w:hint="eastAsia" w:hAnsi="宋体"/>
                <w:b/>
                <w:spacing w:val="-2"/>
                <w:sz w:val="24"/>
              </w:rPr>
              <w:t>年版）</w:t>
            </w:r>
            <w:r>
              <w:rPr>
                <w:rFonts w:hint="eastAsia" w:hAnsi="宋体"/>
                <w:b/>
                <w:szCs w:val="21"/>
              </w:rPr>
              <w:t>》的符合性分析</w:t>
            </w:r>
          </w:p>
          <w:tbl>
            <w:tblPr>
              <w:tblStyle w:val="24"/>
              <w:tblW w:w="7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4201"/>
              <w:gridCol w:w="2242"/>
              <w:gridCol w:w="835"/>
            </w:tblGrid>
            <w:tr w14:paraId="328C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91" w:type="dxa"/>
                  <w:vAlign w:val="center"/>
                </w:tcPr>
                <w:p w14:paraId="2F10A2B9">
                  <w:pPr>
                    <w:jc w:val="center"/>
                    <w:rPr>
                      <w:spacing w:val="-2"/>
                      <w:szCs w:val="21"/>
                    </w:rPr>
                  </w:pPr>
                  <w:r>
                    <w:rPr>
                      <w:rFonts w:hint="eastAsia"/>
                      <w:spacing w:val="-2"/>
                      <w:szCs w:val="21"/>
                    </w:rPr>
                    <w:t>序号</w:t>
                  </w:r>
                </w:p>
              </w:tc>
              <w:tc>
                <w:tcPr>
                  <w:tcW w:w="4201" w:type="dxa"/>
                  <w:vAlign w:val="center"/>
                </w:tcPr>
                <w:p w14:paraId="61B2B062">
                  <w:pPr>
                    <w:jc w:val="center"/>
                    <w:rPr>
                      <w:spacing w:val="-2"/>
                      <w:szCs w:val="21"/>
                    </w:rPr>
                  </w:pPr>
                  <w:r>
                    <w:rPr>
                      <w:rFonts w:hint="eastAsia"/>
                      <w:spacing w:val="-2"/>
                      <w:szCs w:val="21"/>
                    </w:rPr>
                    <w:t>条件</w:t>
                  </w:r>
                </w:p>
              </w:tc>
              <w:tc>
                <w:tcPr>
                  <w:tcW w:w="2242" w:type="dxa"/>
                  <w:vAlign w:val="center"/>
                </w:tcPr>
                <w:p w14:paraId="7906E9E1">
                  <w:pPr>
                    <w:jc w:val="center"/>
                    <w:rPr>
                      <w:spacing w:val="-2"/>
                      <w:szCs w:val="21"/>
                    </w:rPr>
                  </w:pPr>
                  <w:r>
                    <w:rPr>
                      <w:rFonts w:hint="eastAsia"/>
                      <w:spacing w:val="-2"/>
                      <w:szCs w:val="21"/>
                    </w:rPr>
                    <w:t>符合性分析</w:t>
                  </w:r>
                </w:p>
              </w:tc>
              <w:tc>
                <w:tcPr>
                  <w:tcW w:w="835" w:type="dxa"/>
                </w:tcPr>
                <w:p w14:paraId="042DBCAF">
                  <w:pPr>
                    <w:jc w:val="center"/>
                    <w:rPr>
                      <w:spacing w:val="-2"/>
                      <w:szCs w:val="21"/>
                    </w:rPr>
                  </w:pPr>
                  <w:r>
                    <w:rPr>
                      <w:rFonts w:hint="eastAsia"/>
                      <w:spacing w:val="-2"/>
                      <w:szCs w:val="21"/>
                    </w:rPr>
                    <w:t>符合性</w:t>
                  </w:r>
                </w:p>
              </w:tc>
            </w:tr>
            <w:tr w14:paraId="08DD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91" w:type="dxa"/>
                  <w:vAlign w:val="center"/>
                </w:tcPr>
                <w:p w14:paraId="06B8C869">
                  <w:pPr>
                    <w:jc w:val="center"/>
                    <w:rPr>
                      <w:spacing w:val="-2"/>
                      <w:szCs w:val="21"/>
                    </w:rPr>
                  </w:pPr>
                  <w:r>
                    <w:rPr>
                      <w:rFonts w:hint="eastAsia"/>
                      <w:spacing w:val="-2"/>
                      <w:szCs w:val="21"/>
                    </w:rPr>
                    <w:t>1</w:t>
                  </w:r>
                </w:p>
              </w:tc>
              <w:tc>
                <w:tcPr>
                  <w:tcW w:w="4201" w:type="dxa"/>
                  <w:vAlign w:val="center"/>
                </w:tcPr>
                <w:p w14:paraId="7E83DC95">
                  <w:pPr>
                    <w:jc w:val="center"/>
                    <w:rPr>
                      <w:spacing w:val="-2"/>
                      <w:szCs w:val="21"/>
                      <w:highlight w:val="yellow"/>
                    </w:rPr>
                  </w:pPr>
                  <w:r>
                    <w:t>禁止建设不符合全国和省级港口布局规划以及港口总体规划的码头项目，禁止建设不符合《长江干线过江通道布局规划》的过长江通道项目。</w:t>
                  </w:r>
                </w:p>
              </w:tc>
              <w:tc>
                <w:tcPr>
                  <w:tcW w:w="2242" w:type="dxa"/>
                  <w:vAlign w:val="center"/>
                </w:tcPr>
                <w:p w14:paraId="2B60A738">
                  <w:pPr>
                    <w:jc w:val="center"/>
                    <w:rPr>
                      <w:spacing w:val="-2"/>
                      <w:szCs w:val="21"/>
                      <w:highlight w:val="yellow"/>
                    </w:rPr>
                  </w:pPr>
                  <w:r>
                    <w:rPr>
                      <w:rFonts w:hint="eastAsia"/>
                      <w:spacing w:val="-2"/>
                      <w:szCs w:val="21"/>
                    </w:rPr>
                    <w:t>本项目为</w:t>
                  </w:r>
                  <w:r>
                    <w:rPr>
                      <w:rFonts w:hint="eastAsia"/>
                      <w:szCs w:val="21"/>
                    </w:rPr>
                    <w:t>C2459其他玩具制造</w:t>
                  </w:r>
                  <w:r>
                    <w:rPr>
                      <w:rFonts w:hAnsi="宋体"/>
                      <w:szCs w:val="21"/>
                      <w:lang w:val="en-GB"/>
                    </w:rPr>
                    <w:t>，</w:t>
                  </w:r>
                  <w:r>
                    <w:rPr>
                      <w:rFonts w:hint="eastAsia" w:hAnsi="宋体"/>
                      <w:szCs w:val="21"/>
                      <w:lang w:val="en-GB"/>
                    </w:rPr>
                    <w:t>涉及印刷工艺</w:t>
                  </w:r>
                  <w:r>
                    <w:rPr>
                      <w:rFonts w:hint="eastAsia"/>
                      <w:spacing w:val="-2"/>
                      <w:szCs w:val="21"/>
                    </w:rPr>
                    <w:t>，不涉及港口和码头</w:t>
                  </w:r>
                </w:p>
              </w:tc>
              <w:tc>
                <w:tcPr>
                  <w:tcW w:w="835" w:type="dxa"/>
                  <w:vAlign w:val="center"/>
                </w:tcPr>
                <w:p w14:paraId="723AB23B">
                  <w:pPr>
                    <w:jc w:val="center"/>
                    <w:rPr>
                      <w:spacing w:val="-2"/>
                      <w:szCs w:val="21"/>
                    </w:rPr>
                  </w:pPr>
                  <w:r>
                    <w:rPr>
                      <w:rFonts w:hint="eastAsia"/>
                      <w:spacing w:val="-2"/>
                      <w:szCs w:val="21"/>
                    </w:rPr>
                    <w:t>符合</w:t>
                  </w:r>
                </w:p>
              </w:tc>
            </w:tr>
            <w:tr w14:paraId="3CD3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91" w:type="dxa"/>
                  <w:vAlign w:val="center"/>
                </w:tcPr>
                <w:p w14:paraId="0F4280BD">
                  <w:pPr>
                    <w:jc w:val="center"/>
                    <w:rPr>
                      <w:spacing w:val="-2"/>
                      <w:szCs w:val="21"/>
                    </w:rPr>
                  </w:pPr>
                  <w:r>
                    <w:rPr>
                      <w:rFonts w:hint="eastAsia"/>
                      <w:spacing w:val="-2"/>
                      <w:szCs w:val="21"/>
                    </w:rPr>
                    <w:t>2</w:t>
                  </w:r>
                </w:p>
              </w:tc>
              <w:tc>
                <w:tcPr>
                  <w:tcW w:w="4201" w:type="dxa"/>
                  <w:vAlign w:val="center"/>
                </w:tcPr>
                <w:p w14:paraId="15DDD383">
                  <w:pPr>
                    <w:jc w:val="center"/>
                    <w:rPr>
                      <w:spacing w:val="-2"/>
                      <w:szCs w:val="21"/>
                      <w:highlight w:val="yellow"/>
                    </w:rPr>
                  </w:pPr>
                  <w:r>
                    <w:t>禁止在自然保护区核心区、缓冲区的岸线和河段范围内投资建设旅游和生产经营项目。禁止在风景名胜区核心景区的岸线和河段范围内投资建设与风景名胜资源保护 无关的项目。</w:t>
                  </w:r>
                </w:p>
              </w:tc>
              <w:tc>
                <w:tcPr>
                  <w:tcW w:w="2242" w:type="dxa"/>
                  <w:vAlign w:val="center"/>
                </w:tcPr>
                <w:p w14:paraId="371BCFB8">
                  <w:pPr>
                    <w:jc w:val="center"/>
                    <w:rPr>
                      <w:spacing w:val="-2"/>
                      <w:szCs w:val="21"/>
                      <w:highlight w:val="yellow"/>
                    </w:rPr>
                  </w:pPr>
                  <w:r>
                    <w:rPr>
                      <w:rFonts w:hint="eastAsia"/>
                      <w:spacing w:val="-2"/>
                      <w:szCs w:val="21"/>
                    </w:rPr>
                    <w:t>项目位于涪陵李渡工业园区内，不涉及自然保护区、风景名胜区等</w:t>
                  </w:r>
                </w:p>
              </w:tc>
              <w:tc>
                <w:tcPr>
                  <w:tcW w:w="835" w:type="dxa"/>
                  <w:vAlign w:val="center"/>
                </w:tcPr>
                <w:p w14:paraId="7F5888C2">
                  <w:pPr>
                    <w:jc w:val="center"/>
                    <w:rPr>
                      <w:spacing w:val="-2"/>
                      <w:szCs w:val="21"/>
                    </w:rPr>
                  </w:pPr>
                  <w:r>
                    <w:rPr>
                      <w:rFonts w:hint="eastAsia"/>
                      <w:spacing w:val="-2"/>
                      <w:szCs w:val="21"/>
                    </w:rPr>
                    <w:t>符合</w:t>
                  </w:r>
                </w:p>
              </w:tc>
            </w:tr>
            <w:tr w14:paraId="16CB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491" w:type="dxa"/>
                  <w:vAlign w:val="center"/>
                </w:tcPr>
                <w:p w14:paraId="0F9A01E0">
                  <w:pPr>
                    <w:jc w:val="center"/>
                    <w:rPr>
                      <w:spacing w:val="-2"/>
                      <w:szCs w:val="21"/>
                    </w:rPr>
                  </w:pPr>
                  <w:r>
                    <w:rPr>
                      <w:rFonts w:hint="eastAsia"/>
                      <w:spacing w:val="-2"/>
                      <w:szCs w:val="21"/>
                    </w:rPr>
                    <w:t>3</w:t>
                  </w:r>
                </w:p>
              </w:tc>
              <w:tc>
                <w:tcPr>
                  <w:tcW w:w="4201" w:type="dxa"/>
                  <w:vAlign w:val="center"/>
                </w:tcPr>
                <w:p w14:paraId="08DFA3B4">
                  <w:pPr>
                    <w:jc w:val="center"/>
                    <w:rPr>
                      <w:spacing w:val="-2"/>
                      <w:szCs w:val="21"/>
                      <w:highlight w:val="yellow"/>
                    </w:rPr>
                  </w:pPr>
                  <w:r>
                    <w:t>禁止在饮用水水源一级保护区的岸线和河段范围内新建、改扩建、扩建与供水设施和保护水源无关的项目， 以及网箱养殖、畜禽养殖、旅游等可能污染饮用水水体的投资建设项目。禁止在饮用水水源二级保护区的岸线和河段范围内新建、改扩建、扩建排放污染物的投资建设项目。</w:t>
                  </w:r>
                </w:p>
              </w:tc>
              <w:tc>
                <w:tcPr>
                  <w:tcW w:w="2242" w:type="dxa"/>
                  <w:vAlign w:val="center"/>
                </w:tcPr>
                <w:p w14:paraId="1998FDBF">
                  <w:pPr>
                    <w:jc w:val="center"/>
                    <w:rPr>
                      <w:spacing w:val="-2"/>
                      <w:szCs w:val="21"/>
                      <w:highlight w:val="yellow"/>
                    </w:rPr>
                  </w:pPr>
                  <w:r>
                    <w:rPr>
                      <w:rFonts w:hint="eastAsia"/>
                      <w:spacing w:val="-2"/>
                      <w:szCs w:val="21"/>
                    </w:rPr>
                    <w:t>本项目所在地不涉及饮用水源一级、二级保护区</w:t>
                  </w:r>
                </w:p>
              </w:tc>
              <w:tc>
                <w:tcPr>
                  <w:tcW w:w="835" w:type="dxa"/>
                  <w:vAlign w:val="center"/>
                </w:tcPr>
                <w:p w14:paraId="0BC3F80A">
                  <w:pPr>
                    <w:jc w:val="center"/>
                    <w:rPr>
                      <w:spacing w:val="-2"/>
                      <w:szCs w:val="21"/>
                    </w:rPr>
                  </w:pPr>
                  <w:r>
                    <w:rPr>
                      <w:rFonts w:hint="eastAsia"/>
                      <w:spacing w:val="-2"/>
                      <w:szCs w:val="21"/>
                    </w:rPr>
                    <w:t>符合</w:t>
                  </w:r>
                </w:p>
              </w:tc>
            </w:tr>
            <w:tr w14:paraId="3369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1" w:type="dxa"/>
                  <w:vAlign w:val="center"/>
                </w:tcPr>
                <w:p w14:paraId="5240E7DE">
                  <w:pPr>
                    <w:jc w:val="center"/>
                    <w:rPr>
                      <w:spacing w:val="-2"/>
                      <w:szCs w:val="21"/>
                    </w:rPr>
                  </w:pPr>
                  <w:r>
                    <w:rPr>
                      <w:rFonts w:hint="eastAsia"/>
                      <w:spacing w:val="-2"/>
                      <w:szCs w:val="21"/>
                    </w:rPr>
                    <w:t>4</w:t>
                  </w:r>
                </w:p>
              </w:tc>
              <w:tc>
                <w:tcPr>
                  <w:tcW w:w="4201" w:type="dxa"/>
                  <w:vAlign w:val="center"/>
                </w:tcPr>
                <w:p w14:paraId="45685DE5">
                  <w:pPr>
                    <w:jc w:val="center"/>
                    <w:rPr>
                      <w:spacing w:val="-2"/>
                      <w:szCs w:val="21"/>
                      <w:highlight w:val="yellow"/>
                    </w:rPr>
                  </w:pPr>
                  <w:r>
                    <w:t>禁止在水产种质资源保护区的岸线和河段范围内新建围湖造田、围海造地或围填海等投资建设项目。禁止在国家湿地公园的岸线和河段范围内挖沙、采矿，以及任何 不符合主体功能定位的投资建设项目。</w:t>
                  </w:r>
                </w:p>
              </w:tc>
              <w:tc>
                <w:tcPr>
                  <w:tcW w:w="2242" w:type="dxa"/>
                  <w:vAlign w:val="center"/>
                </w:tcPr>
                <w:p w14:paraId="055901CF">
                  <w:pPr>
                    <w:jc w:val="center"/>
                    <w:rPr>
                      <w:spacing w:val="-2"/>
                      <w:szCs w:val="21"/>
                      <w:highlight w:val="yellow"/>
                    </w:rPr>
                  </w:pPr>
                  <w:r>
                    <w:rPr>
                      <w:rFonts w:hint="eastAsia"/>
                      <w:spacing w:val="-2"/>
                      <w:szCs w:val="21"/>
                    </w:rPr>
                    <w:t>项目不涉及水产种质资源保护区与国家湿地公园</w:t>
                  </w:r>
                </w:p>
              </w:tc>
              <w:tc>
                <w:tcPr>
                  <w:tcW w:w="835" w:type="dxa"/>
                  <w:vAlign w:val="center"/>
                </w:tcPr>
                <w:p w14:paraId="3EB1A0F2">
                  <w:pPr>
                    <w:jc w:val="center"/>
                    <w:rPr>
                      <w:spacing w:val="-2"/>
                      <w:szCs w:val="21"/>
                    </w:rPr>
                  </w:pPr>
                  <w:r>
                    <w:rPr>
                      <w:rFonts w:hint="eastAsia"/>
                      <w:spacing w:val="-2"/>
                      <w:szCs w:val="21"/>
                    </w:rPr>
                    <w:t>符合</w:t>
                  </w:r>
                </w:p>
              </w:tc>
            </w:tr>
            <w:tr w14:paraId="0610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91" w:type="dxa"/>
                  <w:vAlign w:val="center"/>
                </w:tcPr>
                <w:p w14:paraId="40F1594E">
                  <w:pPr>
                    <w:jc w:val="center"/>
                    <w:rPr>
                      <w:spacing w:val="-2"/>
                      <w:szCs w:val="21"/>
                    </w:rPr>
                  </w:pPr>
                  <w:r>
                    <w:rPr>
                      <w:rFonts w:hint="eastAsia"/>
                      <w:spacing w:val="-2"/>
                      <w:szCs w:val="21"/>
                    </w:rPr>
                    <w:t>5</w:t>
                  </w:r>
                </w:p>
              </w:tc>
              <w:tc>
                <w:tcPr>
                  <w:tcW w:w="4201" w:type="dxa"/>
                  <w:vAlign w:val="center"/>
                </w:tcPr>
                <w:p w14:paraId="51DB0A92">
                  <w:pPr>
                    <w:jc w:val="center"/>
                    <w:rPr>
                      <w:spacing w:val="-2"/>
                      <w:szCs w:val="21"/>
                      <w:highlight w:val="yellow"/>
                    </w:rPr>
                  </w:pPr>
                  <w:r>
                    <w:t>禁止违法利用、占用长江流域河湖岸线。禁止在《长江岸线保护和开发利用总体规划》划定的岸线保护区和保留区内投资建设除事关公共安全及公众利益的防洪护 岸、河道治理、供水、生态环境保护、航道整治、国家重要基础设施以外的项目。禁止在《全国重要江河湖泊水功能区划》划定的河段及湖泊保护区、保留区内投资 建设不利于水资源及自然生态保护的项目。</w:t>
                  </w:r>
                </w:p>
              </w:tc>
              <w:tc>
                <w:tcPr>
                  <w:tcW w:w="2242" w:type="dxa"/>
                  <w:vAlign w:val="center"/>
                </w:tcPr>
                <w:p w14:paraId="2B2435B7">
                  <w:pPr>
                    <w:jc w:val="center"/>
                    <w:rPr>
                      <w:spacing w:val="-2"/>
                      <w:szCs w:val="21"/>
                      <w:highlight w:val="yellow"/>
                    </w:rPr>
                  </w:pPr>
                  <w:r>
                    <w:rPr>
                      <w:rFonts w:hint="eastAsia"/>
                      <w:spacing w:val="-2"/>
                      <w:szCs w:val="21"/>
                    </w:rPr>
                    <w:t>项目不涉及《长江岸线保护和开发利用总体规划》划定的岸线保护区和《全国重要江河湖泊水功能区划》划定的河段保护区、保留区</w:t>
                  </w:r>
                </w:p>
              </w:tc>
              <w:tc>
                <w:tcPr>
                  <w:tcW w:w="835" w:type="dxa"/>
                  <w:vAlign w:val="center"/>
                </w:tcPr>
                <w:p w14:paraId="5F72FC70">
                  <w:pPr>
                    <w:jc w:val="center"/>
                    <w:rPr>
                      <w:spacing w:val="-2"/>
                      <w:szCs w:val="21"/>
                    </w:rPr>
                  </w:pPr>
                  <w:r>
                    <w:rPr>
                      <w:rFonts w:hint="eastAsia"/>
                      <w:spacing w:val="-2"/>
                      <w:szCs w:val="21"/>
                    </w:rPr>
                    <w:t>符合</w:t>
                  </w:r>
                </w:p>
              </w:tc>
            </w:tr>
            <w:tr w14:paraId="4866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1" w:type="dxa"/>
                  <w:vAlign w:val="center"/>
                </w:tcPr>
                <w:p w14:paraId="14F624BF">
                  <w:pPr>
                    <w:jc w:val="center"/>
                    <w:rPr>
                      <w:spacing w:val="-2"/>
                      <w:szCs w:val="21"/>
                    </w:rPr>
                  </w:pPr>
                  <w:r>
                    <w:rPr>
                      <w:rFonts w:hint="eastAsia"/>
                      <w:spacing w:val="-2"/>
                      <w:szCs w:val="21"/>
                    </w:rPr>
                    <w:t>6</w:t>
                  </w:r>
                </w:p>
              </w:tc>
              <w:tc>
                <w:tcPr>
                  <w:tcW w:w="4201" w:type="dxa"/>
                  <w:vAlign w:val="center"/>
                </w:tcPr>
                <w:p w14:paraId="4228B2AF">
                  <w:pPr>
                    <w:jc w:val="center"/>
                    <w:rPr>
                      <w:spacing w:val="-2"/>
                      <w:szCs w:val="21"/>
                      <w:highlight w:val="yellow"/>
                    </w:rPr>
                  </w:pPr>
                  <w:r>
                    <w:t>禁止未经许可在长江干支流及湖泊新设、改设或扩大排污口。</w:t>
                  </w:r>
                </w:p>
              </w:tc>
              <w:tc>
                <w:tcPr>
                  <w:tcW w:w="2242" w:type="dxa"/>
                  <w:vAlign w:val="center"/>
                </w:tcPr>
                <w:p w14:paraId="1EDC264E">
                  <w:pPr>
                    <w:jc w:val="center"/>
                    <w:rPr>
                      <w:spacing w:val="-2"/>
                      <w:szCs w:val="21"/>
                      <w:highlight w:val="yellow"/>
                    </w:rPr>
                  </w:pPr>
                  <w:r>
                    <w:rPr>
                      <w:rFonts w:hint="eastAsia"/>
                      <w:spacing w:val="-2"/>
                      <w:szCs w:val="21"/>
                    </w:rPr>
                    <w:t>项目废水经自建污水处理设施处理后，进入李渡大耍坝污水处理厂处理达标后排放，不涉及新设、改设或扩大排污口</w:t>
                  </w:r>
                </w:p>
              </w:tc>
              <w:tc>
                <w:tcPr>
                  <w:tcW w:w="835" w:type="dxa"/>
                  <w:vAlign w:val="center"/>
                </w:tcPr>
                <w:p w14:paraId="5079C911">
                  <w:pPr>
                    <w:jc w:val="center"/>
                    <w:rPr>
                      <w:spacing w:val="-2"/>
                      <w:szCs w:val="21"/>
                    </w:rPr>
                  </w:pPr>
                  <w:r>
                    <w:rPr>
                      <w:rFonts w:hint="eastAsia"/>
                      <w:spacing w:val="-2"/>
                      <w:szCs w:val="21"/>
                    </w:rPr>
                    <w:t>符合</w:t>
                  </w:r>
                </w:p>
              </w:tc>
            </w:tr>
            <w:tr w14:paraId="3B63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91" w:type="dxa"/>
                  <w:vAlign w:val="center"/>
                </w:tcPr>
                <w:p w14:paraId="185F86A7">
                  <w:pPr>
                    <w:jc w:val="center"/>
                    <w:rPr>
                      <w:spacing w:val="-2"/>
                      <w:szCs w:val="21"/>
                    </w:rPr>
                  </w:pPr>
                  <w:r>
                    <w:rPr>
                      <w:rFonts w:hint="eastAsia"/>
                      <w:spacing w:val="-2"/>
                      <w:szCs w:val="21"/>
                    </w:rPr>
                    <w:t>7</w:t>
                  </w:r>
                </w:p>
              </w:tc>
              <w:tc>
                <w:tcPr>
                  <w:tcW w:w="4201" w:type="dxa"/>
                  <w:vAlign w:val="center"/>
                </w:tcPr>
                <w:p w14:paraId="28BD7FF6">
                  <w:pPr>
                    <w:jc w:val="center"/>
                    <w:rPr>
                      <w:spacing w:val="-2"/>
                      <w:szCs w:val="21"/>
                      <w:highlight w:val="yellow"/>
                    </w:rPr>
                  </w:pPr>
                  <w:r>
                    <w:t>禁止在“一江一口两湖七河”和 332 个水生生物保护区开展生产性捕捞</w:t>
                  </w:r>
                </w:p>
              </w:tc>
              <w:tc>
                <w:tcPr>
                  <w:tcW w:w="2242" w:type="dxa"/>
                  <w:vAlign w:val="center"/>
                </w:tcPr>
                <w:p w14:paraId="04555337">
                  <w:pPr>
                    <w:jc w:val="center"/>
                    <w:rPr>
                      <w:spacing w:val="-2"/>
                      <w:szCs w:val="21"/>
                      <w:highlight w:val="yellow"/>
                    </w:rPr>
                  </w:pPr>
                  <w:r>
                    <w:rPr>
                      <w:rFonts w:hint="eastAsia"/>
                      <w:spacing w:val="-2"/>
                      <w:szCs w:val="21"/>
                    </w:rPr>
                    <w:t>本项目不进行捕捞活动</w:t>
                  </w:r>
                </w:p>
              </w:tc>
              <w:tc>
                <w:tcPr>
                  <w:tcW w:w="835" w:type="dxa"/>
                  <w:vAlign w:val="center"/>
                </w:tcPr>
                <w:p w14:paraId="503283DB">
                  <w:pPr>
                    <w:jc w:val="center"/>
                    <w:rPr>
                      <w:spacing w:val="-2"/>
                      <w:szCs w:val="21"/>
                    </w:rPr>
                  </w:pPr>
                  <w:r>
                    <w:rPr>
                      <w:rFonts w:hint="eastAsia"/>
                      <w:spacing w:val="-2"/>
                      <w:szCs w:val="21"/>
                    </w:rPr>
                    <w:t>符合</w:t>
                  </w:r>
                </w:p>
              </w:tc>
            </w:tr>
            <w:tr w14:paraId="319B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91" w:type="dxa"/>
                  <w:vAlign w:val="center"/>
                </w:tcPr>
                <w:p w14:paraId="4E7FE878">
                  <w:pPr>
                    <w:jc w:val="center"/>
                    <w:rPr>
                      <w:spacing w:val="-2"/>
                      <w:szCs w:val="21"/>
                    </w:rPr>
                  </w:pPr>
                  <w:r>
                    <w:rPr>
                      <w:rFonts w:hint="eastAsia"/>
                      <w:spacing w:val="-2"/>
                      <w:szCs w:val="21"/>
                    </w:rPr>
                    <w:t>8</w:t>
                  </w:r>
                </w:p>
              </w:tc>
              <w:tc>
                <w:tcPr>
                  <w:tcW w:w="4201" w:type="dxa"/>
                  <w:vAlign w:val="center"/>
                </w:tcPr>
                <w:p w14:paraId="7D191672">
                  <w:pPr>
                    <w:jc w:val="center"/>
                    <w:rPr>
                      <w:spacing w:val="-2"/>
                      <w:szCs w:val="21"/>
                    </w:rPr>
                  </w:pPr>
                  <w:r>
                    <w:t>禁止在长江干支流、重要湖泊岸线一公里范围内新建、 扩建化工园区和化工项目。禁止在长江干流岸线三公里范围内和重要支流岸线一公里范围内新建、改扩建、扩 建尾矿库、冶炼渣库和磷石膏库，以提升安全、生态环境保护水平为目的的改扩建除外。</w:t>
                  </w:r>
                </w:p>
              </w:tc>
              <w:tc>
                <w:tcPr>
                  <w:tcW w:w="2242" w:type="dxa"/>
                  <w:vAlign w:val="center"/>
                </w:tcPr>
                <w:p w14:paraId="398EF7E7">
                  <w:pPr>
                    <w:jc w:val="center"/>
                    <w:rPr>
                      <w:spacing w:val="-2"/>
                      <w:szCs w:val="21"/>
                    </w:rPr>
                  </w:pPr>
                  <w:r>
                    <w:rPr>
                      <w:rFonts w:hint="eastAsia"/>
                      <w:spacing w:val="-2"/>
                      <w:szCs w:val="21"/>
                    </w:rPr>
                    <w:t>本项目为</w:t>
                  </w:r>
                  <w:r>
                    <w:rPr>
                      <w:rFonts w:hint="eastAsia"/>
                      <w:szCs w:val="21"/>
                    </w:rPr>
                    <w:t>C2459其他玩具制造</w:t>
                  </w:r>
                  <w:r>
                    <w:rPr>
                      <w:rFonts w:hAnsi="宋体"/>
                      <w:szCs w:val="21"/>
                      <w:lang w:val="en-GB"/>
                    </w:rPr>
                    <w:t>，</w:t>
                  </w:r>
                  <w:r>
                    <w:rPr>
                      <w:rFonts w:hint="eastAsia" w:hAnsi="宋体"/>
                      <w:szCs w:val="21"/>
                      <w:lang w:val="en-GB"/>
                    </w:rPr>
                    <w:t>涉及印刷工艺</w:t>
                  </w:r>
                  <w:r>
                    <w:rPr>
                      <w:rFonts w:hint="eastAsia"/>
                      <w:spacing w:val="-2"/>
                      <w:szCs w:val="21"/>
                    </w:rPr>
                    <w:t>，其不在长江干支流岸线一公里范围内</w:t>
                  </w:r>
                </w:p>
              </w:tc>
              <w:tc>
                <w:tcPr>
                  <w:tcW w:w="835" w:type="dxa"/>
                  <w:vAlign w:val="center"/>
                </w:tcPr>
                <w:p w14:paraId="43255D14">
                  <w:pPr>
                    <w:jc w:val="center"/>
                    <w:rPr>
                      <w:spacing w:val="-2"/>
                      <w:szCs w:val="21"/>
                    </w:rPr>
                  </w:pPr>
                  <w:r>
                    <w:rPr>
                      <w:rFonts w:hint="eastAsia"/>
                      <w:spacing w:val="-2"/>
                      <w:szCs w:val="21"/>
                    </w:rPr>
                    <w:t>符合</w:t>
                  </w:r>
                </w:p>
              </w:tc>
            </w:tr>
            <w:tr w14:paraId="384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91" w:type="dxa"/>
                  <w:vAlign w:val="center"/>
                </w:tcPr>
                <w:p w14:paraId="12242496">
                  <w:pPr>
                    <w:jc w:val="center"/>
                    <w:rPr>
                      <w:spacing w:val="-2"/>
                      <w:szCs w:val="21"/>
                    </w:rPr>
                  </w:pPr>
                  <w:r>
                    <w:rPr>
                      <w:rFonts w:hint="eastAsia"/>
                      <w:spacing w:val="-2"/>
                      <w:szCs w:val="21"/>
                    </w:rPr>
                    <w:t>9</w:t>
                  </w:r>
                </w:p>
              </w:tc>
              <w:tc>
                <w:tcPr>
                  <w:tcW w:w="4201" w:type="dxa"/>
                  <w:vAlign w:val="center"/>
                </w:tcPr>
                <w:p w14:paraId="26B8C78D">
                  <w:pPr>
                    <w:jc w:val="center"/>
                    <w:rPr>
                      <w:spacing w:val="-2"/>
                      <w:szCs w:val="21"/>
                    </w:rPr>
                  </w:pPr>
                  <w:r>
                    <w:t>禁止在合规园区外新建、扩建钢铁、石化、化工、焦化、 建材、有色、制浆造纸等高污染项目。</w:t>
                  </w:r>
                </w:p>
              </w:tc>
              <w:tc>
                <w:tcPr>
                  <w:tcW w:w="2242" w:type="dxa"/>
                  <w:vAlign w:val="center"/>
                </w:tcPr>
                <w:p w14:paraId="3127EF9E">
                  <w:pPr>
                    <w:jc w:val="center"/>
                    <w:rPr>
                      <w:spacing w:val="-2"/>
                      <w:szCs w:val="21"/>
                    </w:rPr>
                  </w:pPr>
                  <w:r>
                    <w:rPr>
                      <w:rFonts w:hint="eastAsia"/>
                      <w:spacing w:val="-2"/>
                      <w:szCs w:val="21"/>
                    </w:rPr>
                    <w:t>本项目为</w:t>
                  </w:r>
                  <w:r>
                    <w:rPr>
                      <w:rFonts w:hint="eastAsia"/>
                      <w:szCs w:val="21"/>
                    </w:rPr>
                    <w:t>C2459其他玩具制造</w:t>
                  </w:r>
                  <w:r>
                    <w:rPr>
                      <w:rFonts w:hAnsi="宋体"/>
                      <w:szCs w:val="21"/>
                      <w:lang w:val="en-GB"/>
                    </w:rPr>
                    <w:t>，</w:t>
                  </w:r>
                  <w:r>
                    <w:rPr>
                      <w:rFonts w:hint="eastAsia" w:hAnsi="宋体"/>
                      <w:szCs w:val="21"/>
                      <w:lang w:val="en-GB"/>
                    </w:rPr>
                    <w:t>涉及印刷工艺</w:t>
                  </w:r>
                </w:p>
              </w:tc>
              <w:tc>
                <w:tcPr>
                  <w:tcW w:w="835" w:type="dxa"/>
                  <w:vAlign w:val="center"/>
                </w:tcPr>
                <w:p w14:paraId="49F92AB8">
                  <w:pPr>
                    <w:jc w:val="center"/>
                    <w:rPr>
                      <w:spacing w:val="-2"/>
                      <w:szCs w:val="21"/>
                    </w:rPr>
                  </w:pPr>
                  <w:r>
                    <w:rPr>
                      <w:rFonts w:hint="eastAsia"/>
                      <w:spacing w:val="-2"/>
                      <w:szCs w:val="21"/>
                    </w:rPr>
                    <w:t>符合</w:t>
                  </w:r>
                </w:p>
              </w:tc>
            </w:tr>
            <w:tr w14:paraId="4B58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91" w:type="dxa"/>
                  <w:vAlign w:val="center"/>
                </w:tcPr>
                <w:p w14:paraId="06638FCE">
                  <w:pPr>
                    <w:jc w:val="center"/>
                    <w:rPr>
                      <w:spacing w:val="-2"/>
                      <w:szCs w:val="21"/>
                    </w:rPr>
                  </w:pPr>
                  <w:r>
                    <w:rPr>
                      <w:rFonts w:hint="eastAsia"/>
                      <w:spacing w:val="-2"/>
                      <w:szCs w:val="21"/>
                    </w:rPr>
                    <w:t>10</w:t>
                  </w:r>
                </w:p>
              </w:tc>
              <w:tc>
                <w:tcPr>
                  <w:tcW w:w="4201" w:type="dxa"/>
                  <w:vAlign w:val="center"/>
                </w:tcPr>
                <w:p w14:paraId="5F927284">
                  <w:pPr>
                    <w:jc w:val="center"/>
                    <w:rPr>
                      <w:spacing w:val="-2"/>
                      <w:szCs w:val="21"/>
                    </w:rPr>
                  </w:pPr>
                  <w:r>
                    <w:t>禁止新建、扩建不符合国家石化、现代煤化工等产业布局规划的项目。</w:t>
                  </w:r>
                </w:p>
              </w:tc>
              <w:tc>
                <w:tcPr>
                  <w:tcW w:w="2242" w:type="dxa"/>
                  <w:vAlign w:val="center"/>
                </w:tcPr>
                <w:p w14:paraId="2574679A">
                  <w:pPr>
                    <w:jc w:val="center"/>
                    <w:rPr>
                      <w:spacing w:val="-2"/>
                      <w:szCs w:val="21"/>
                    </w:rPr>
                  </w:pPr>
                  <w:r>
                    <w:t>项目不属于石化、现 代煤化工产业</w:t>
                  </w:r>
                </w:p>
              </w:tc>
              <w:tc>
                <w:tcPr>
                  <w:tcW w:w="835" w:type="dxa"/>
                  <w:vAlign w:val="center"/>
                </w:tcPr>
                <w:p w14:paraId="1E88B829">
                  <w:pPr>
                    <w:jc w:val="center"/>
                    <w:rPr>
                      <w:spacing w:val="-2"/>
                      <w:szCs w:val="21"/>
                    </w:rPr>
                  </w:pPr>
                  <w:r>
                    <w:rPr>
                      <w:rFonts w:hint="eastAsia"/>
                      <w:spacing w:val="-2"/>
                      <w:szCs w:val="21"/>
                    </w:rPr>
                    <w:t>符合</w:t>
                  </w:r>
                </w:p>
              </w:tc>
            </w:tr>
            <w:tr w14:paraId="46BF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91" w:type="dxa"/>
                  <w:vAlign w:val="center"/>
                </w:tcPr>
                <w:p w14:paraId="66FB73C1">
                  <w:pPr>
                    <w:jc w:val="center"/>
                    <w:rPr>
                      <w:spacing w:val="-2"/>
                      <w:szCs w:val="21"/>
                    </w:rPr>
                  </w:pPr>
                  <w:r>
                    <w:rPr>
                      <w:rFonts w:hint="eastAsia"/>
                      <w:spacing w:val="-2"/>
                      <w:szCs w:val="21"/>
                    </w:rPr>
                    <w:t>1</w:t>
                  </w:r>
                  <w:r>
                    <w:rPr>
                      <w:spacing w:val="-2"/>
                      <w:szCs w:val="21"/>
                    </w:rPr>
                    <w:t>1</w:t>
                  </w:r>
                </w:p>
              </w:tc>
              <w:tc>
                <w:tcPr>
                  <w:tcW w:w="4201" w:type="dxa"/>
                  <w:vAlign w:val="center"/>
                </w:tcPr>
                <w:p w14:paraId="373B9B9B">
                  <w:pPr>
                    <w:jc w:val="center"/>
                  </w:pPr>
                  <w:r>
                    <w:t>禁止新建、扩建法律法规和相关政策明令禁止的落后产 能项目。禁止新建、扩建不符合国家产能置换要求的严重过剩产能行业的项目。禁止新建、扩建不符合要求的 高耗能高排放项目。</w:t>
                  </w:r>
                </w:p>
              </w:tc>
              <w:tc>
                <w:tcPr>
                  <w:tcW w:w="2242" w:type="dxa"/>
                  <w:vAlign w:val="center"/>
                </w:tcPr>
                <w:p w14:paraId="62132F91">
                  <w:pPr>
                    <w:jc w:val="center"/>
                  </w:pPr>
                  <w:r>
                    <w:t>本项目不属于禁止的 落后产能项目及严重 过剩产能行业的项目。 不属于高耗能项目。</w:t>
                  </w:r>
                </w:p>
              </w:tc>
              <w:tc>
                <w:tcPr>
                  <w:tcW w:w="835" w:type="dxa"/>
                  <w:vAlign w:val="center"/>
                </w:tcPr>
                <w:p w14:paraId="06EEEEDE">
                  <w:pPr>
                    <w:jc w:val="center"/>
                    <w:rPr>
                      <w:spacing w:val="-2"/>
                      <w:szCs w:val="21"/>
                    </w:rPr>
                  </w:pPr>
                  <w:r>
                    <w:rPr>
                      <w:rFonts w:hint="eastAsia"/>
                      <w:spacing w:val="-2"/>
                      <w:szCs w:val="21"/>
                    </w:rPr>
                    <w:t>符合</w:t>
                  </w:r>
                </w:p>
              </w:tc>
            </w:tr>
          </w:tbl>
          <w:p w14:paraId="6F751289">
            <w:pPr>
              <w:spacing w:line="480" w:lineRule="exact"/>
              <w:ind w:firstLine="480" w:firstLineChars="200"/>
              <w:rPr>
                <w:b/>
                <w:spacing w:val="-2"/>
                <w:sz w:val="24"/>
              </w:rPr>
            </w:pPr>
            <w:r>
              <w:rPr>
                <w:sz w:val="24"/>
              </w:rPr>
              <w:t>根据上表分析可知，项目满足《长江经济带发展负面清单指南（试 行，2022 年版）》要求。</w:t>
            </w:r>
          </w:p>
          <w:p w14:paraId="5C0CE88A">
            <w:pPr>
              <w:spacing w:line="480" w:lineRule="exact"/>
              <w:rPr>
                <w:b/>
                <w:spacing w:val="-2"/>
                <w:sz w:val="24"/>
              </w:rPr>
            </w:pPr>
            <w:r>
              <w:rPr>
                <w:rFonts w:hint="eastAsia"/>
                <w:b/>
                <w:spacing w:val="-2"/>
                <w:sz w:val="24"/>
              </w:rPr>
              <w:t>1.4与重庆市相关政策、规划的符合性分析</w:t>
            </w:r>
          </w:p>
          <w:p w14:paraId="50A05771">
            <w:pPr>
              <w:autoSpaceDE w:val="0"/>
              <w:autoSpaceDN w:val="0"/>
              <w:adjustRightInd w:val="0"/>
              <w:spacing w:line="480" w:lineRule="exact"/>
              <w:ind w:firstLine="474" w:firstLineChars="200"/>
              <w:jc w:val="left"/>
              <w:rPr>
                <w:b/>
                <w:bCs/>
                <w:kern w:val="0"/>
                <w:sz w:val="24"/>
              </w:rPr>
            </w:pPr>
            <w:r>
              <w:rPr>
                <w:rFonts w:hint="eastAsia"/>
                <w:b/>
                <w:spacing w:val="-2"/>
                <w:sz w:val="24"/>
              </w:rPr>
              <w:t xml:space="preserve">1.4.1 </w:t>
            </w:r>
            <w:r>
              <w:rPr>
                <w:b/>
                <w:bCs/>
                <w:kern w:val="0"/>
                <w:sz w:val="24"/>
              </w:rPr>
              <w:t>《产业结构调整指导目录(2019年本)》符合性分析</w:t>
            </w:r>
          </w:p>
          <w:p w14:paraId="12EEC3A9">
            <w:pPr>
              <w:spacing w:line="480" w:lineRule="exact"/>
              <w:ind w:firstLine="472" w:firstLineChars="200"/>
              <w:rPr>
                <w:rFonts w:hAnsi="宋体"/>
                <w:spacing w:val="-2"/>
                <w:sz w:val="24"/>
              </w:rPr>
            </w:pPr>
            <w:r>
              <w:rPr>
                <w:rFonts w:hint="eastAsia" w:hAnsi="宋体"/>
                <w:spacing w:val="-2"/>
                <w:sz w:val="24"/>
              </w:rPr>
              <w:t>本项目为</w:t>
            </w:r>
            <w:r>
              <w:rPr>
                <w:rFonts w:hint="eastAsia"/>
                <w:sz w:val="24"/>
              </w:rPr>
              <w:t>C2459其他玩具制造</w:t>
            </w:r>
            <w:r>
              <w:rPr>
                <w:rFonts w:hint="eastAsia" w:hAnsi="宋体"/>
                <w:kern w:val="0"/>
                <w:sz w:val="24"/>
              </w:rPr>
              <w:t>项目</w:t>
            </w:r>
            <w:r>
              <w:rPr>
                <w:rFonts w:hAnsi="宋体"/>
                <w:sz w:val="24"/>
                <w:lang w:val="en-GB"/>
              </w:rPr>
              <w:t>，</w:t>
            </w:r>
            <w:r>
              <w:rPr>
                <w:rFonts w:hint="eastAsia" w:hAnsi="宋体"/>
                <w:sz w:val="24"/>
                <w:lang w:val="en-GB"/>
              </w:rPr>
              <w:t>涉及印刷工艺，</w:t>
            </w:r>
            <w:r>
              <w:rPr>
                <w:rFonts w:hint="eastAsia" w:hAnsi="宋体"/>
                <w:spacing w:val="-2"/>
                <w:sz w:val="24"/>
              </w:rPr>
              <w:t>根据国家发展和改革委员会令第29号《产业结构调整指导目录（2019年本）》中的规定，项目不属于鼓励类、限制类、淘汰类，属于允许类项目，且符合国家相关法律法规，因此，本项目符合国家产业政策。</w:t>
            </w:r>
          </w:p>
          <w:p w14:paraId="0103EF90">
            <w:pPr>
              <w:spacing w:line="480" w:lineRule="exact"/>
              <w:ind w:firstLine="472" w:firstLineChars="200"/>
              <w:rPr>
                <w:rFonts w:hAnsi="宋体"/>
                <w:spacing w:val="-2"/>
                <w:sz w:val="24"/>
              </w:rPr>
            </w:pPr>
            <w:r>
              <w:rPr>
                <w:rFonts w:hint="eastAsia" w:hAnsi="宋体"/>
                <w:spacing w:val="-2"/>
                <w:sz w:val="24"/>
              </w:rPr>
              <w:t>根据2022年3月重庆市涪陵区发展和改革委员会下发的重庆市企业投资项目备案证， 项目代码为2202-500102-04-01-693776，备案证表明该项目符合本地区产业政策和准入标准。</w:t>
            </w:r>
          </w:p>
          <w:p w14:paraId="31ECBDF6">
            <w:pPr>
              <w:spacing w:line="480" w:lineRule="exact"/>
              <w:ind w:firstLine="474" w:firstLineChars="200"/>
              <w:rPr>
                <w:rFonts w:hAnsi="宋体"/>
                <w:b/>
                <w:spacing w:val="-2"/>
                <w:sz w:val="24"/>
              </w:rPr>
            </w:pPr>
            <w:r>
              <w:rPr>
                <w:rFonts w:hint="eastAsia" w:hAnsi="宋体"/>
                <w:b/>
                <w:spacing w:val="-2"/>
                <w:sz w:val="24"/>
              </w:rPr>
              <w:t xml:space="preserve">1.4.2 </w:t>
            </w:r>
            <w:r>
              <w:rPr>
                <w:rFonts w:hAnsi="宋体"/>
                <w:b/>
                <w:spacing w:val="-2"/>
                <w:sz w:val="24"/>
              </w:rPr>
              <w:t>与《重庆市发展和改革委员会关于印发重庆市产业投资准入工作手册》</w:t>
            </w:r>
            <w:r>
              <w:rPr>
                <w:rFonts w:hint="eastAsia" w:hAnsi="宋体"/>
                <w:b/>
                <w:spacing w:val="-2"/>
                <w:sz w:val="24"/>
              </w:rPr>
              <w:t>的</w:t>
            </w:r>
            <w:r>
              <w:rPr>
                <w:rFonts w:hAnsi="宋体"/>
                <w:b/>
                <w:spacing w:val="-2"/>
                <w:sz w:val="24"/>
              </w:rPr>
              <w:t>符合性</w:t>
            </w:r>
            <w:r>
              <w:rPr>
                <w:rFonts w:hint="eastAsia" w:hAnsi="宋体"/>
                <w:b/>
                <w:spacing w:val="-2"/>
                <w:sz w:val="24"/>
              </w:rPr>
              <w:t>分析</w:t>
            </w:r>
          </w:p>
          <w:p w14:paraId="4EE791DD">
            <w:pPr>
              <w:spacing w:line="480" w:lineRule="exact"/>
              <w:ind w:firstLine="472" w:firstLineChars="200"/>
              <w:rPr>
                <w:rFonts w:hAnsi="宋体"/>
                <w:bCs/>
                <w:spacing w:val="-2"/>
                <w:sz w:val="24"/>
              </w:rPr>
            </w:pPr>
            <w:r>
              <w:rPr>
                <w:rFonts w:hAnsi="宋体"/>
                <w:bCs/>
                <w:spacing w:val="-2"/>
                <w:sz w:val="24"/>
              </w:rPr>
              <w:t>《重庆市发展和改革委员会关于印发重庆市产业投资准入工作手册》</w:t>
            </w:r>
            <w:r>
              <w:rPr>
                <w:rFonts w:hint="eastAsia" w:hAnsi="宋体"/>
                <w:bCs/>
                <w:spacing w:val="-2"/>
                <w:sz w:val="24"/>
              </w:rPr>
              <w:t>中明确：</w:t>
            </w:r>
          </w:p>
          <w:p w14:paraId="01F8785C">
            <w:pPr>
              <w:spacing w:line="480" w:lineRule="exact"/>
              <w:ind w:firstLine="480" w:firstLineChars="200"/>
              <w:rPr>
                <w:rFonts w:eastAsiaTheme="minorEastAsia"/>
                <w:sz w:val="24"/>
              </w:rPr>
            </w:pPr>
            <w:r>
              <w:rPr>
                <w:rFonts w:eastAsiaTheme="minorEastAsia"/>
                <w:sz w:val="24"/>
              </w:rPr>
              <w:t xml:space="preserve">（二）产业投资准入政策包括不予准入、限制准入两类目录。 </w:t>
            </w:r>
          </w:p>
          <w:p w14:paraId="0151C0CF">
            <w:pPr>
              <w:spacing w:line="480" w:lineRule="exact"/>
              <w:ind w:firstLine="480" w:firstLineChars="200"/>
              <w:rPr>
                <w:rFonts w:eastAsiaTheme="minorEastAsia"/>
                <w:sz w:val="24"/>
              </w:rPr>
            </w:pPr>
            <w:r>
              <w:rPr>
                <w:rFonts w:eastAsiaTheme="minorEastAsia"/>
                <w:sz w:val="24"/>
              </w:rPr>
              <w:t xml:space="preserve">不予准入类主要包括国家及我市相关规定明确要求不得新建和扩建的生产能力、工艺技术、装备及产品。 限制准入类主要包括国家及我市相关规定明确要求需要升级改造，以及不得布局但可升级改造、异地置换的生产能力、工艺技术、装备及产品，并按照“行业限制+区域限制”的方式制定。 </w:t>
            </w:r>
          </w:p>
          <w:p w14:paraId="3ACC1954">
            <w:pPr>
              <w:spacing w:line="480" w:lineRule="exact"/>
              <w:ind w:firstLine="480" w:firstLineChars="200"/>
              <w:rPr>
                <w:rFonts w:eastAsiaTheme="minorEastAsia"/>
                <w:sz w:val="24"/>
              </w:rPr>
            </w:pPr>
            <w:r>
              <w:rPr>
                <w:rFonts w:eastAsiaTheme="minorEastAsia"/>
                <w:sz w:val="24"/>
              </w:rPr>
              <w:t>（三）产业投资准入政策适用于我市境内的内外资企业投资。</w:t>
            </w:r>
          </w:p>
          <w:p w14:paraId="7C1FC8D3">
            <w:pPr>
              <w:spacing w:line="480" w:lineRule="exact"/>
              <w:ind w:firstLine="480" w:firstLineChars="200"/>
              <w:rPr>
                <w:rFonts w:eastAsiaTheme="minorEastAsia"/>
                <w:sz w:val="24"/>
              </w:rPr>
            </w:pPr>
            <w:r>
              <w:rPr>
                <w:rFonts w:eastAsiaTheme="minorEastAsia"/>
                <w:sz w:val="24"/>
              </w:rPr>
              <w:t xml:space="preserve">列入不予准入类的项目，一律不得准入，投资主管部门不得审批、核准、备案，各金融机构不得发放贷款，国土房管、城乡规划、建设、环境保护、质监、消防、海关、工商等部门不得办理建设审批手续，水、电、气等有关单位不得提供保障。列入限制准入类的项目，必须同时满足相应行业和相应区域的要求，方可报投资主管部门按权限审批、核准或备案。凡违反规定批准其进行投融资建设或生产的，要追究有关单位和人员的责任。 </w:t>
            </w:r>
          </w:p>
          <w:p w14:paraId="4FE3B08B">
            <w:pPr>
              <w:spacing w:line="480" w:lineRule="exact"/>
              <w:ind w:firstLine="480" w:firstLineChars="200"/>
              <w:rPr>
                <w:rFonts w:eastAsiaTheme="minorEastAsia"/>
                <w:b/>
                <w:spacing w:val="-2"/>
                <w:sz w:val="24"/>
              </w:rPr>
            </w:pPr>
            <w:r>
              <w:rPr>
                <w:rFonts w:eastAsiaTheme="minorEastAsia"/>
                <w:sz w:val="24"/>
              </w:rPr>
              <w:t>本项目与《重庆市产业投资准入工作手册》中不予准入、限制准入两类产业 目录的符合性分析见表1.</w:t>
            </w:r>
            <w:r>
              <w:rPr>
                <w:rFonts w:hint="eastAsia" w:eastAsiaTheme="minorEastAsia"/>
                <w:sz w:val="24"/>
              </w:rPr>
              <w:t>4-1。</w:t>
            </w:r>
          </w:p>
          <w:p w14:paraId="02B932A7">
            <w:pPr>
              <w:spacing w:line="480" w:lineRule="exact"/>
              <w:jc w:val="center"/>
              <w:rPr>
                <w:b/>
                <w:spacing w:val="-2"/>
                <w:szCs w:val="21"/>
              </w:rPr>
            </w:pPr>
            <w:r>
              <w:rPr>
                <w:rFonts w:hint="eastAsia"/>
                <w:b/>
                <w:spacing w:val="-2"/>
                <w:szCs w:val="21"/>
              </w:rPr>
              <w:t>表1</w:t>
            </w:r>
            <w:r>
              <w:rPr>
                <w:b/>
                <w:spacing w:val="-2"/>
                <w:szCs w:val="21"/>
              </w:rPr>
              <w:t>.</w:t>
            </w:r>
            <w:r>
              <w:rPr>
                <w:rFonts w:hint="eastAsia"/>
                <w:b/>
                <w:spacing w:val="-2"/>
                <w:szCs w:val="21"/>
              </w:rPr>
              <w:t>4-1</w:t>
            </w:r>
            <w:r>
              <w:rPr>
                <w:b/>
                <w:spacing w:val="-2"/>
                <w:szCs w:val="21"/>
              </w:rPr>
              <w:t xml:space="preserve"> </w:t>
            </w:r>
            <w:r>
              <w:rPr>
                <w:rFonts w:hint="eastAsia"/>
                <w:b/>
                <w:spacing w:val="-2"/>
                <w:szCs w:val="21"/>
              </w:rPr>
              <w:t>项目与《重庆市产业投资准入工作手册》符合性对照表</w:t>
            </w:r>
          </w:p>
          <w:tbl>
            <w:tblPr>
              <w:tblStyle w:val="24"/>
              <w:tblW w:w="7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26"/>
              <w:gridCol w:w="5009"/>
              <w:gridCol w:w="916"/>
              <w:gridCol w:w="218"/>
              <w:gridCol w:w="698"/>
            </w:tblGrid>
            <w:tr w14:paraId="11DB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1" w:type="dxa"/>
                  <w:gridSpan w:val="3"/>
                  <w:vAlign w:val="center"/>
                </w:tcPr>
                <w:p w14:paraId="62C233B1">
                  <w:pPr>
                    <w:jc w:val="center"/>
                    <w:rPr>
                      <w:rFonts w:eastAsiaTheme="minorEastAsia"/>
                      <w:bCs/>
                      <w:spacing w:val="-2"/>
                      <w:szCs w:val="21"/>
                    </w:rPr>
                  </w:pPr>
                  <w:r>
                    <w:rPr>
                      <w:rFonts w:hAnsiTheme="minorEastAsia" w:eastAsiaTheme="minorEastAsia"/>
                      <w:bCs/>
                      <w:spacing w:val="-2"/>
                      <w:szCs w:val="21"/>
                    </w:rPr>
                    <w:t>准入要求</w:t>
                  </w:r>
                </w:p>
              </w:tc>
              <w:tc>
                <w:tcPr>
                  <w:tcW w:w="1134" w:type="dxa"/>
                  <w:gridSpan w:val="2"/>
                  <w:vAlign w:val="center"/>
                </w:tcPr>
                <w:p w14:paraId="05ECA6ED">
                  <w:pPr>
                    <w:jc w:val="center"/>
                    <w:rPr>
                      <w:rFonts w:eastAsiaTheme="minorEastAsia"/>
                      <w:bCs/>
                      <w:spacing w:val="-2"/>
                      <w:szCs w:val="21"/>
                    </w:rPr>
                  </w:pPr>
                  <w:r>
                    <w:rPr>
                      <w:rFonts w:hint="eastAsia" w:eastAsiaTheme="minorEastAsia"/>
                      <w:bCs/>
                      <w:spacing w:val="-2"/>
                      <w:szCs w:val="21"/>
                    </w:rPr>
                    <w:t>项目</w:t>
                  </w:r>
                </w:p>
                <w:p w14:paraId="1055D17C">
                  <w:pPr>
                    <w:jc w:val="center"/>
                    <w:rPr>
                      <w:rFonts w:eastAsiaTheme="minorEastAsia"/>
                      <w:bCs/>
                      <w:spacing w:val="-2"/>
                      <w:szCs w:val="21"/>
                    </w:rPr>
                  </w:pPr>
                  <w:r>
                    <w:rPr>
                      <w:rFonts w:hint="eastAsia" w:eastAsiaTheme="minorEastAsia"/>
                      <w:bCs/>
                      <w:spacing w:val="-2"/>
                      <w:szCs w:val="21"/>
                    </w:rPr>
                    <w:t>情况</w:t>
                  </w:r>
                </w:p>
              </w:tc>
              <w:tc>
                <w:tcPr>
                  <w:tcW w:w="698" w:type="dxa"/>
                  <w:vAlign w:val="center"/>
                </w:tcPr>
                <w:p w14:paraId="0F902D66">
                  <w:pPr>
                    <w:jc w:val="center"/>
                    <w:rPr>
                      <w:rFonts w:eastAsiaTheme="minorEastAsia"/>
                      <w:bCs/>
                      <w:spacing w:val="-2"/>
                      <w:szCs w:val="21"/>
                    </w:rPr>
                  </w:pPr>
                  <w:r>
                    <w:rPr>
                      <w:rFonts w:hAnsiTheme="minorEastAsia" w:eastAsiaTheme="minorEastAsia"/>
                      <w:bCs/>
                      <w:spacing w:val="-2"/>
                      <w:szCs w:val="21"/>
                    </w:rPr>
                    <w:t>符合性</w:t>
                  </w:r>
                </w:p>
              </w:tc>
            </w:tr>
            <w:tr w14:paraId="77DA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dxa"/>
                  <w:vMerge w:val="restart"/>
                  <w:vAlign w:val="center"/>
                </w:tcPr>
                <w:p w14:paraId="59B317BD">
                  <w:pPr>
                    <w:jc w:val="center"/>
                    <w:rPr>
                      <w:rFonts w:eastAsiaTheme="minorEastAsia"/>
                      <w:bCs/>
                      <w:spacing w:val="-2"/>
                      <w:szCs w:val="21"/>
                    </w:rPr>
                  </w:pPr>
                  <w:r>
                    <w:rPr>
                      <w:rFonts w:hAnsiTheme="minorEastAsia" w:eastAsiaTheme="minorEastAsia"/>
                      <w:bCs/>
                      <w:spacing w:val="-2"/>
                      <w:szCs w:val="21"/>
                    </w:rPr>
                    <w:t>不予准入类</w:t>
                  </w:r>
                </w:p>
              </w:tc>
              <w:tc>
                <w:tcPr>
                  <w:tcW w:w="426" w:type="dxa"/>
                  <w:vAlign w:val="center"/>
                </w:tcPr>
                <w:p w14:paraId="12AED56B">
                  <w:pPr>
                    <w:jc w:val="center"/>
                    <w:rPr>
                      <w:rFonts w:eastAsiaTheme="minorEastAsia"/>
                      <w:bCs/>
                      <w:spacing w:val="-2"/>
                      <w:szCs w:val="21"/>
                    </w:rPr>
                  </w:pPr>
                  <w:r>
                    <w:rPr>
                      <w:rFonts w:hAnsiTheme="minorEastAsia" w:eastAsiaTheme="minorEastAsia"/>
                      <w:bCs/>
                      <w:spacing w:val="-2"/>
                      <w:szCs w:val="21"/>
                    </w:rPr>
                    <w:t>全市范围内不予准入</w:t>
                  </w:r>
                </w:p>
              </w:tc>
              <w:tc>
                <w:tcPr>
                  <w:tcW w:w="5009" w:type="dxa"/>
                  <w:vAlign w:val="center"/>
                </w:tcPr>
                <w:p w14:paraId="78CE500C">
                  <w:pPr>
                    <w:jc w:val="left"/>
                    <w:rPr>
                      <w:rFonts w:eastAsiaTheme="minorEastAsia"/>
                      <w:bCs/>
                      <w:szCs w:val="21"/>
                    </w:rPr>
                  </w:pPr>
                  <w:r>
                    <w:rPr>
                      <w:rFonts w:eastAsiaTheme="minorEastAsia"/>
                      <w:bCs/>
                      <w:szCs w:val="21"/>
                    </w:rPr>
                    <w:t>1</w:t>
                  </w:r>
                  <w:r>
                    <w:rPr>
                      <w:rFonts w:hAnsiTheme="minorEastAsia" w:eastAsiaTheme="minorEastAsia"/>
                      <w:bCs/>
                      <w:szCs w:val="21"/>
                    </w:rPr>
                    <w:t>、国家产业结构调整指导目录中的淘汰类项目。</w:t>
                  </w:r>
                </w:p>
                <w:p w14:paraId="5EC233E0">
                  <w:pPr>
                    <w:jc w:val="left"/>
                    <w:rPr>
                      <w:rFonts w:eastAsiaTheme="minorEastAsia"/>
                      <w:bCs/>
                      <w:szCs w:val="21"/>
                    </w:rPr>
                  </w:pPr>
                  <w:r>
                    <w:rPr>
                      <w:rFonts w:eastAsiaTheme="minorEastAsia"/>
                      <w:bCs/>
                      <w:szCs w:val="21"/>
                    </w:rPr>
                    <w:t>2</w:t>
                  </w:r>
                  <w:r>
                    <w:rPr>
                      <w:rFonts w:hAnsiTheme="minorEastAsia" w:eastAsiaTheme="minorEastAsia"/>
                      <w:bCs/>
                      <w:szCs w:val="21"/>
                    </w:rPr>
                    <w:t>、烟花爆竹生产。</w:t>
                  </w:r>
                </w:p>
                <w:p w14:paraId="6FBA3005">
                  <w:pPr>
                    <w:jc w:val="left"/>
                    <w:rPr>
                      <w:rFonts w:eastAsiaTheme="minorEastAsia"/>
                      <w:bCs/>
                      <w:szCs w:val="21"/>
                    </w:rPr>
                  </w:pPr>
                  <w:r>
                    <w:rPr>
                      <w:rFonts w:eastAsiaTheme="minorEastAsia"/>
                      <w:bCs/>
                      <w:szCs w:val="21"/>
                    </w:rPr>
                    <w:t>3</w:t>
                  </w:r>
                  <w:r>
                    <w:rPr>
                      <w:rFonts w:hAnsiTheme="minorEastAsia" w:eastAsiaTheme="minorEastAsia"/>
                      <w:bCs/>
                      <w:szCs w:val="21"/>
                    </w:rPr>
                    <w:t>、</w:t>
                  </w:r>
                  <w:r>
                    <w:rPr>
                      <w:rFonts w:eastAsiaTheme="minorEastAsia"/>
                      <w:bCs/>
                      <w:szCs w:val="21"/>
                    </w:rPr>
                    <w:t xml:space="preserve">400KA </w:t>
                  </w:r>
                  <w:r>
                    <w:rPr>
                      <w:rFonts w:hAnsiTheme="minorEastAsia" w:eastAsiaTheme="minorEastAsia"/>
                      <w:bCs/>
                      <w:szCs w:val="21"/>
                    </w:rPr>
                    <w:t>以下电解铝生产线。</w:t>
                  </w:r>
                </w:p>
                <w:p w14:paraId="33816253">
                  <w:pPr>
                    <w:jc w:val="left"/>
                    <w:rPr>
                      <w:rFonts w:eastAsiaTheme="minorEastAsia"/>
                      <w:bCs/>
                      <w:szCs w:val="21"/>
                    </w:rPr>
                  </w:pPr>
                  <w:r>
                    <w:rPr>
                      <w:rFonts w:eastAsiaTheme="minorEastAsia"/>
                      <w:bCs/>
                      <w:szCs w:val="21"/>
                    </w:rPr>
                    <w:t>4</w:t>
                  </w:r>
                  <w:r>
                    <w:rPr>
                      <w:rFonts w:hAnsiTheme="minorEastAsia" w:eastAsiaTheme="minorEastAsia"/>
                      <w:bCs/>
                      <w:szCs w:val="21"/>
                    </w:rPr>
                    <w:t>、单机</w:t>
                  </w:r>
                  <w:r>
                    <w:rPr>
                      <w:rFonts w:eastAsiaTheme="minorEastAsia"/>
                      <w:bCs/>
                      <w:szCs w:val="21"/>
                    </w:rPr>
                    <w:t xml:space="preserve"> 10</w:t>
                  </w:r>
                  <w:r>
                    <w:rPr>
                      <w:rFonts w:hAnsiTheme="minorEastAsia" w:eastAsiaTheme="minorEastAsia"/>
                      <w:bCs/>
                      <w:szCs w:val="21"/>
                    </w:rPr>
                    <w:t>万千瓦以下和设计寿命期满的单机</w:t>
                  </w:r>
                  <w:r>
                    <w:rPr>
                      <w:rFonts w:eastAsiaTheme="minorEastAsia"/>
                      <w:bCs/>
                      <w:szCs w:val="21"/>
                    </w:rPr>
                    <w:t xml:space="preserve">20 </w:t>
                  </w:r>
                  <w:r>
                    <w:rPr>
                      <w:rFonts w:hAnsiTheme="minorEastAsia" w:eastAsiaTheme="minorEastAsia"/>
                      <w:bCs/>
                      <w:szCs w:val="21"/>
                    </w:rPr>
                    <w:t>万千瓦以下常规燃煤火电机。</w:t>
                  </w:r>
                </w:p>
                <w:p w14:paraId="77F739F9">
                  <w:pPr>
                    <w:jc w:val="left"/>
                    <w:rPr>
                      <w:rFonts w:eastAsiaTheme="minorEastAsia"/>
                      <w:bCs/>
                      <w:szCs w:val="21"/>
                    </w:rPr>
                  </w:pPr>
                  <w:r>
                    <w:rPr>
                      <w:rFonts w:eastAsiaTheme="minorEastAsia"/>
                      <w:bCs/>
                      <w:szCs w:val="21"/>
                    </w:rPr>
                    <w:t>5</w:t>
                  </w:r>
                  <w:r>
                    <w:rPr>
                      <w:rFonts w:hAnsiTheme="minorEastAsia" w:eastAsiaTheme="minorEastAsia"/>
                      <w:bCs/>
                      <w:szCs w:val="21"/>
                    </w:rPr>
                    <w:t>、天然林商业性采伐。</w:t>
                  </w:r>
                </w:p>
                <w:p w14:paraId="6EC1E2AA">
                  <w:pPr>
                    <w:jc w:val="left"/>
                    <w:rPr>
                      <w:rFonts w:eastAsiaTheme="minorEastAsia"/>
                      <w:bCs/>
                      <w:szCs w:val="21"/>
                    </w:rPr>
                  </w:pPr>
                  <w:r>
                    <w:rPr>
                      <w:rFonts w:eastAsiaTheme="minorEastAsia"/>
                      <w:bCs/>
                      <w:szCs w:val="21"/>
                    </w:rPr>
                    <w:t>6</w:t>
                  </w:r>
                  <w:r>
                    <w:rPr>
                      <w:rFonts w:hAnsiTheme="minorEastAsia" w:eastAsiaTheme="minorEastAsia"/>
                      <w:bCs/>
                      <w:szCs w:val="21"/>
                    </w:rPr>
                    <w:t>、资源环境绩效水平超过《重庆市工业项目环境准入规定》（渝办发〔</w:t>
                  </w:r>
                  <w:r>
                    <w:rPr>
                      <w:rFonts w:eastAsiaTheme="minorEastAsia"/>
                      <w:bCs/>
                      <w:szCs w:val="21"/>
                    </w:rPr>
                    <w:t>2012</w:t>
                  </w:r>
                  <w:r>
                    <w:rPr>
                      <w:rFonts w:hAnsiTheme="minorEastAsia" w:eastAsiaTheme="minorEastAsia"/>
                      <w:bCs/>
                      <w:szCs w:val="21"/>
                    </w:rPr>
                    <w:t>〕</w:t>
                  </w:r>
                  <w:r>
                    <w:rPr>
                      <w:rFonts w:eastAsiaTheme="minorEastAsia"/>
                      <w:bCs/>
                      <w:szCs w:val="21"/>
                    </w:rPr>
                    <w:t>142</w:t>
                  </w:r>
                  <w:r>
                    <w:rPr>
                      <w:rFonts w:hAnsiTheme="minorEastAsia" w:eastAsiaTheme="minorEastAsia"/>
                      <w:bCs/>
                      <w:szCs w:val="21"/>
                    </w:rPr>
                    <w:t>号）限值以及不符合生态建设和环境保护规</w:t>
                  </w:r>
                  <w:r>
                    <w:rPr>
                      <w:rFonts w:eastAsiaTheme="minorEastAsia"/>
                      <w:bCs/>
                      <w:szCs w:val="21"/>
                    </w:rPr>
                    <w:t xml:space="preserve"> </w:t>
                  </w:r>
                  <w:r>
                    <w:rPr>
                      <w:rFonts w:hAnsiTheme="minorEastAsia" w:eastAsiaTheme="minorEastAsia"/>
                      <w:bCs/>
                      <w:szCs w:val="21"/>
                    </w:rPr>
                    <w:t>划区域布局规定的工业项目。在环境容量超载的区域（流域）</w:t>
                  </w:r>
                  <w:r>
                    <w:rPr>
                      <w:rFonts w:eastAsiaTheme="minorEastAsia"/>
                      <w:bCs/>
                      <w:szCs w:val="21"/>
                    </w:rPr>
                    <w:t xml:space="preserve"> </w:t>
                  </w:r>
                  <w:r>
                    <w:rPr>
                      <w:rFonts w:hAnsiTheme="minorEastAsia" w:eastAsiaTheme="minorEastAsia"/>
                      <w:bCs/>
                      <w:szCs w:val="21"/>
                    </w:rPr>
                    <w:t>增加污染物排放的项目。</w:t>
                  </w:r>
                </w:p>
                <w:p w14:paraId="023AFFA3">
                  <w:pPr>
                    <w:jc w:val="left"/>
                    <w:rPr>
                      <w:rFonts w:eastAsiaTheme="minorEastAsia"/>
                      <w:bCs/>
                      <w:spacing w:val="-2"/>
                      <w:szCs w:val="21"/>
                    </w:rPr>
                  </w:pPr>
                  <w:r>
                    <w:rPr>
                      <w:rFonts w:eastAsiaTheme="minorEastAsia"/>
                      <w:bCs/>
                      <w:szCs w:val="21"/>
                    </w:rPr>
                    <w:t>7</w:t>
                  </w:r>
                  <w:r>
                    <w:rPr>
                      <w:rFonts w:hAnsiTheme="minorEastAsia" w:eastAsiaTheme="minorEastAsia"/>
                      <w:bCs/>
                      <w:szCs w:val="21"/>
                    </w:rPr>
                    <w:t>、不符合《重庆市人民政府办公厅关于印发重庆市供给侧结构性改革去产能专项方案的通知》（渝府办发〔</w:t>
                  </w:r>
                  <w:r>
                    <w:rPr>
                      <w:rFonts w:eastAsiaTheme="minorEastAsia"/>
                      <w:bCs/>
                      <w:szCs w:val="21"/>
                    </w:rPr>
                    <w:t>2016</w:t>
                  </w:r>
                  <w:r>
                    <w:rPr>
                      <w:rFonts w:hAnsiTheme="minorEastAsia" w:eastAsiaTheme="minorEastAsia"/>
                      <w:bCs/>
                      <w:szCs w:val="21"/>
                    </w:rPr>
                    <w:t>〕</w:t>
                  </w:r>
                  <w:r>
                    <w:rPr>
                      <w:rFonts w:eastAsiaTheme="minorEastAsia"/>
                      <w:bCs/>
                      <w:szCs w:val="21"/>
                    </w:rPr>
                    <w:t xml:space="preserve">128 </w:t>
                  </w:r>
                  <w:r>
                    <w:rPr>
                      <w:rFonts w:hAnsiTheme="minorEastAsia" w:eastAsiaTheme="minorEastAsia"/>
                      <w:bCs/>
                      <w:szCs w:val="21"/>
                    </w:rPr>
                    <w:t>号）</w:t>
                  </w:r>
                  <w:r>
                    <w:rPr>
                      <w:rFonts w:eastAsiaTheme="minorEastAsia"/>
                      <w:bCs/>
                      <w:szCs w:val="21"/>
                    </w:rPr>
                    <w:t xml:space="preserve"> </w:t>
                  </w:r>
                  <w:r>
                    <w:rPr>
                      <w:rFonts w:hAnsiTheme="minorEastAsia" w:eastAsiaTheme="minorEastAsia"/>
                      <w:bCs/>
                      <w:szCs w:val="21"/>
                    </w:rPr>
                    <w:t>要求的环保、能耗、工艺与装备标准的钢铁、水泥、电解铝、平板玻璃和船舶制造等项目。</w:t>
                  </w:r>
                </w:p>
              </w:tc>
              <w:tc>
                <w:tcPr>
                  <w:tcW w:w="1134" w:type="dxa"/>
                  <w:gridSpan w:val="2"/>
                  <w:vAlign w:val="center"/>
                </w:tcPr>
                <w:p w14:paraId="5581F2CC">
                  <w:pPr>
                    <w:jc w:val="center"/>
                    <w:rPr>
                      <w:rFonts w:eastAsiaTheme="minorEastAsia"/>
                      <w:bCs/>
                      <w:spacing w:val="-2"/>
                      <w:szCs w:val="21"/>
                    </w:rPr>
                  </w:pPr>
                  <w:r>
                    <w:rPr>
                      <w:rFonts w:hAnsiTheme="minorEastAsia" w:eastAsiaTheme="minorEastAsia"/>
                      <w:spacing w:val="-2"/>
                      <w:szCs w:val="21"/>
                    </w:rPr>
                    <w:t>本项目为</w:t>
                  </w:r>
                  <w:r>
                    <w:rPr>
                      <w:rFonts w:hint="eastAsia"/>
                      <w:szCs w:val="21"/>
                    </w:rPr>
                    <w:t>C2459其他玩具制造</w:t>
                  </w:r>
                  <w:r>
                    <w:rPr>
                      <w:rFonts w:hAnsi="宋体"/>
                      <w:szCs w:val="21"/>
                      <w:lang w:val="en-GB"/>
                    </w:rPr>
                    <w:t>，</w:t>
                  </w:r>
                  <w:r>
                    <w:rPr>
                      <w:rFonts w:hint="eastAsia" w:hAnsi="宋体"/>
                      <w:szCs w:val="21"/>
                      <w:lang w:val="en-GB"/>
                    </w:rPr>
                    <w:t>涉及印刷工艺</w:t>
                  </w:r>
                  <w:r>
                    <w:rPr>
                      <w:rFonts w:eastAsiaTheme="minorEastAsia"/>
                      <w:bCs/>
                      <w:szCs w:val="21"/>
                    </w:rPr>
                    <w:t>，</w:t>
                  </w:r>
                  <w:r>
                    <w:rPr>
                      <w:rFonts w:hAnsiTheme="minorEastAsia" w:eastAsiaTheme="minorEastAsia"/>
                      <w:szCs w:val="21"/>
                    </w:rPr>
                    <w:t>符合国家相关产业政策，区域有环境容</w:t>
                  </w:r>
                  <w:r>
                    <w:rPr>
                      <w:rFonts w:eastAsiaTheme="minorEastAsia"/>
                      <w:szCs w:val="21"/>
                    </w:rPr>
                    <w:t xml:space="preserve"> </w:t>
                  </w:r>
                  <w:r>
                    <w:rPr>
                      <w:rFonts w:hAnsiTheme="minorEastAsia" w:eastAsiaTheme="minorEastAsia"/>
                      <w:szCs w:val="21"/>
                    </w:rPr>
                    <w:t>量。</w:t>
                  </w:r>
                </w:p>
              </w:tc>
              <w:tc>
                <w:tcPr>
                  <w:tcW w:w="698" w:type="dxa"/>
                  <w:vAlign w:val="center"/>
                </w:tcPr>
                <w:p w14:paraId="2098C203">
                  <w:pPr>
                    <w:jc w:val="center"/>
                    <w:rPr>
                      <w:rFonts w:eastAsiaTheme="minorEastAsia"/>
                      <w:bCs/>
                      <w:spacing w:val="-2"/>
                      <w:szCs w:val="21"/>
                    </w:rPr>
                  </w:pPr>
                  <w:r>
                    <w:rPr>
                      <w:rFonts w:hint="eastAsia" w:eastAsiaTheme="minorEastAsia"/>
                      <w:bCs/>
                      <w:spacing w:val="-2"/>
                      <w:szCs w:val="21"/>
                    </w:rPr>
                    <w:t>符合</w:t>
                  </w:r>
                </w:p>
              </w:tc>
            </w:tr>
            <w:tr w14:paraId="4EC9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dxa"/>
                  <w:vMerge w:val="continue"/>
                  <w:vAlign w:val="center"/>
                </w:tcPr>
                <w:p w14:paraId="283EFCAE">
                  <w:pPr>
                    <w:jc w:val="center"/>
                    <w:rPr>
                      <w:rFonts w:eastAsiaTheme="minorEastAsia"/>
                      <w:bCs/>
                      <w:spacing w:val="-2"/>
                      <w:szCs w:val="21"/>
                    </w:rPr>
                  </w:pPr>
                </w:p>
              </w:tc>
              <w:tc>
                <w:tcPr>
                  <w:tcW w:w="426" w:type="dxa"/>
                  <w:vAlign w:val="center"/>
                </w:tcPr>
                <w:p w14:paraId="620E0172">
                  <w:pPr>
                    <w:jc w:val="center"/>
                    <w:rPr>
                      <w:rFonts w:eastAsiaTheme="minorEastAsia"/>
                      <w:bCs/>
                      <w:spacing w:val="-2"/>
                      <w:szCs w:val="21"/>
                    </w:rPr>
                  </w:pPr>
                  <w:r>
                    <w:rPr>
                      <w:rFonts w:hAnsiTheme="minorEastAsia" w:eastAsiaTheme="minorEastAsia"/>
                      <w:bCs/>
                      <w:spacing w:val="-2"/>
                      <w:szCs w:val="21"/>
                    </w:rPr>
                    <w:t>重点区域范围内不予准入</w:t>
                  </w:r>
                </w:p>
              </w:tc>
              <w:tc>
                <w:tcPr>
                  <w:tcW w:w="5009" w:type="dxa"/>
                  <w:vAlign w:val="center"/>
                </w:tcPr>
                <w:p w14:paraId="7BCD1AE0">
                  <w:pPr>
                    <w:jc w:val="left"/>
                    <w:rPr>
                      <w:rFonts w:eastAsiaTheme="minorEastAsia"/>
                      <w:szCs w:val="21"/>
                    </w:rPr>
                  </w:pPr>
                  <w:r>
                    <w:rPr>
                      <w:rFonts w:eastAsiaTheme="minorEastAsia"/>
                      <w:szCs w:val="21"/>
                    </w:rPr>
                    <w:t>1</w:t>
                  </w:r>
                  <w:r>
                    <w:rPr>
                      <w:rFonts w:hAnsiTheme="minorEastAsia" w:eastAsiaTheme="minorEastAsia"/>
                      <w:szCs w:val="21"/>
                    </w:rPr>
                    <w:t>、四山保护区域内的工业项目。</w:t>
                  </w:r>
                </w:p>
                <w:p w14:paraId="3F0D5836">
                  <w:pPr>
                    <w:jc w:val="left"/>
                    <w:rPr>
                      <w:rFonts w:eastAsiaTheme="minorEastAsia"/>
                      <w:szCs w:val="21"/>
                    </w:rPr>
                  </w:pPr>
                  <w:r>
                    <w:rPr>
                      <w:rFonts w:eastAsiaTheme="minorEastAsia"/>
                      <w:szCs w:val="21"/>
                    </w:rPr>
                    <w:t>2</w:t>
                  </w:r>
                  <w:r>
                    <w:rPr>
                      <w:rFonts w:hAnsiTheme="minorEastAsia" w:eastAsiaTheme="minorEastAsia"/>
                      <w:szCs w:val="21"/>
                    </w:rPr>
                    <w:t>、长江鱼嘴以上江段及其一级支流汇入口上游</w:t>
                  </w:r>
                  <w:r>
                    <w:rPr>
                      <w:rFonts w:eastAsiaTheme="minorEastAsia"/>
                      <w:szCs w:val="21"/>
                    </w:rPr>
                    <w:t>20</w:t>
                  </w:r>
                  <w:r>
                    <w:rPr>
                      <w:rFonts w:hAnsiTheme="minorEastAsia" w:eastAsiaTheme="minorEastAsia"/>
                      <w:szCs w:val="21"/>
                    </w:rPr>
                    <w:t>公里、嘉陵江及其一级支流汇入口上游</w:t>
                  </w:r>
                  <w:r>
                    <w:rPr>
                      <w:rFonts w:eastAsiaTheme="minorEastAsia"/>
                      <w:szCs w:val="21"/>
                    </w:rPr>
                    <w:t>20</w:t>
                  </w:r>
                  <w:r>
                    <w:rPr>
                      <w:rFonts w:hAnsiTheme="minorEastAsia" w:eastAsiaTheme="minorEastAsia"/>
                      <w:szCs w:val="21"/>
                    </w:rPr>
                    <w:t>公里、集中式饮用水源取水口上游</w:t>
                  </w:r>
                  <w:r>
                    <w:rPr>
                      <w:rFonts w:eastAsiaTheme="minorEastAsia"/>
                      <w:szCs w:val="21"/>
                    </w:rPr>
                    <w:t>20</w:t>
                  </w:r>
                  <w:r>
                    <w:rPr>
                      <w:rFonts w:hAnsiTheme="minorEastAsia" w:eastAsiaTheme="minorEastAsia"/>
                      <w:szCs w:val="21"/>
                    </w:rPr>
                    <w:t>公里范围内的沿岸地区（沿岸地区指江河</w:t>
                  </w:r>
                  <w:r>
                    <w:rPr>
                      <w:rFonts w:eastAsiaTheme="minorEastAsia"/>
                      <w:szCs w:val="21"/>
                    </w:rPr>
                    <w:t>50</w:t>
                  </w:r>
                  <w:r>
                    <w:rPr>
                      <w:rFonts w:hAnsiTheme="minorEastAsia" w:eastAsiaTheme="minorEastAsia"/>
                      <w:szCs w:val="21"/>
                    </w:rPr>
                    <w:t>年一遇洪水位向陆域一侧</w:t>
                  </w:r>
                  <w:r>
                    <w:rPr>
                      <w:rFonts w:eastAsiaTheme="minorEastAsia"/>
                      <w:szCs w:val="21"/>
                    </w:rPr>
                    <w:t>1</w:t>
                  </w:r>
                  <w:r>
                    <w:rPr>
                      <w:rFonts w:hAnsiTheme="minorEastAsia" w:eastAsiaTheme="minorEastAsia"/>
                      <w:szCs w:val="21"/>
                    </w:rPr>
                    <w:t>公里范围内）的重金属（铬、镉、汞、砷、铅</w:t>
                  </w:r>
                  <w:r>
                    <w:rPr>
                      <w:rFonts w:eastAsiaTheme="minorEastAsia"/>
                      <w:szCs w:val="21"/>
                    </w:rPr>
                    <w:t xml:space="preserve"> </w:t>
                  </w:r>
                  <w:r>
                    <w:rPr>
                      <w:rFonts w:hAnsiTheme="minorEastAsia" w:eastAsiaTheme="minorEastAsia"/>
                      <w:szCs w:val="21"/>
                    </w:rPr>
                    <w:t>等五类重金属，下同）、剧毒物质和持久性有机污染物的工业</w:t>
                  </w:r>
                  <w:r>
                    <w:rPr>
                      <w:rFonts w:eastAsiaTheme="minorEastAsia"/>
                      <w:szCs w:val="21"/>
                    </w:rPr>
                    <w:t xml:space="preserve"> </w:t>
                  </w:r>
                  <w:r>
                    <w:rPr>
                      <w:rFonts w:hAnsiTheme="minorEastAsia" w:eastAsiaTheme="minorEastAsia"/>
                      <w:szCs w:val="21"/>
                    </w:rPr>
                    <w:t>项目。</w:t>
                  </w:r>
                </w:p>
                <w:p w14:paraId="28FBDD54">
                  <w:pPr>
                    <w:jc w:val="left"/>
                    <w:rPr>
                      <w:rFonts w:eastAsiaTheme="minorEastAsia"/>
                      <w:szCs w:val="21"/>
                    </w:rPr>
                  </w:pPr>
                  <w:r>
                    <w:rPr>
                      <w:rFonts w:eastAsiaTheme="minorEastAsia"/>
                      <w:szCs w:val="21"/>
                    </w:rPr>
                    <w:t>3</w:t>
                  </w:r>
                  <w:r>
                    <w:rPr>
                      <w:rFonts w:hAnsiTheme="minorEastAsia" w:eastAsiaTheme="minorEastAsia"/>
                      <w:szCs w:val="21"/>
                    </w:rPr>
                    <w:t>、未进入国家和市政府批准的化工园区或化工集中区的化工项目。</w:t>
                  </w:r>
                </w:p>
                <w:p w14:paraId="40809B7C">
                  <w:pPr>
                    <w:jc w:val="left"/>
                    <w:rPr>
                      <w:rFonts w:eastAsiaTheme="minorEastAsia"/>
                      <w:szCs w:val="21"/>
                    </w:rPr>
                  </w:pPr>
                  <w:r>
                    <w:rPr>
                      <w:rFonts w:eastAsiaTheme="minorEastAsia"/>
                      <w:szCs w:val="21"/>
                    </w:rPr>
                    <w:t>4</w:t>
                  </w:r>
                  <w:r>
                    <w:rPr>
                      <w:rFonts w:hAnsiTheme="minorEastAsia" w:eastAsiaTheme="minorEastAsia"/>
                      <w:szCs w:val="21"/>
                    </w:rPr>
                    <w:t>、大气污染防治重点控制区域内，燃煤火电、化工、水泥、采（碎）石场、烧结砖瓦窑以内燃煤锅炉等项目。</w:t>
                  </w:r>
                </w:p>
                <w:p w14:paraId="3E350343">
                  <w:pPr>
                    <w:jc w:val="left"/>
                    <w:rPr>
                      <w:rFonts w:eastAsiaTheme="minorEastAsia"/>
                      <w:szCs w:val="21"/>
                    </w:rPr>
                  </w:pPr>
                  <w:r>
                    <w:rPr>
                      <w:rFonts w:eastAsiaTheme="minorEastAsia"/>
                      <w:szCs w:val="21"/>
                    </w:rPr>
                    <w:t>5</w:t>
                  </w:r>
                  <w:r>
                    <w:rPr>
                      <w:rFonts w:hAnsiTheme="minorEastAsia" w:eastAsiaTheme="minorEastAsia"/>
                      <w:szCs w:val="21"/>
                    </w:rPr>
                    <w:t>、主城区以外的各区县城区及其主导上风向</w:t>
                  </w:r>
                  <w:r>
                    <w:rPr>
                      <w:rFonts w:eastAsiaTheme="minorEastAsia"/>
                      <w:szCs w:val="21"/>
                    </w:rPr>
                    <w:t>5</w:t>
                  </w:r>
                  <w:r>
                    <w:rPr>
                      <w:rFonts w:hAnsiTheme="minorEastAsia" w:eastAsiaTheme="minorEastAsia"/>
                      <w:szCs w:val="21"/>
                    </w:rPr>
                    <w:t>公里范围内，燃煤电厂、水泥、冶炼等大气污染严重的项目。</w:t>
                  </w:r>
                </w:p>
                <w:p w14:paraId="7416C50A">
                  <w:pPr>
                    <w:jc w:val="left"/>
                    <w:rPr>
                      <w:rFonts w:eastAsiaTheme="minorEastAsia"/>
                      <w:szCs w:val="21"/>
                    </w:rPr>
                  </w:pPr>
                  <w:r>
                    <w:rPr>
                      <w:rFonts w:eastAsiaTheme="minorEastAsia"/>
                      <w:szCs w:val="21"/>
                    </w:rPr>
                    <w:t>6</w:t>
                  </w:r>
                  <w:r>
                    <w:rPr>
                      <w:rFonts w:hAnsiTheme="minorEastAsia" w:eastAsiaTheme="minorEastAsia"/>
                      <w:szCs w:val="21"/>
                    </w:rPr>
                    <w:t>、二十五度以上陡坡开垦种植农作物。</w:t>
                  </w:r>
                </w:p>
                <w:p w14:paraId="7DA70BAF">
                  <w:pPr>
                    <w:jc w:val="left"/>
                    <w:rPr>
                      <w:rFonts w:eastAsiaTheme="minorEastAsia"/>
                      <w:szCs w:val="21"/>
                    </w:rPr>
                  </w:pPr>
                  <w:r>
                    <w:rPr>
                      <w:rFonts w:eastAsiaTheme="minorEastAsia"/>
                      <w:szCs w:val="21"/>
                    </w:rPr>
                    <w:t>7</w:t>
                  </w:r>
                  <w:r>
                    <w:rPr>
                      <w:rFonts w:hAnsiTheme="minorEastAsia" w:eastAsiaTheme="minorEastAsia"/>
                      <w:szCs w:val="21"/>
                    </w:rPr>
                    <w:t>、饮用水源保护区、自然保护区、自然文化遗产地、湿地公园、森林公园、风景名胜区、地质公园等区域进行工业化城镇化开发。其中，饮用水源保护区包括一级保护区和二级保护区；自然保护区包括县级以上自然保护区的核心区、缓冲区、实验区；自然文化遗产地、湿地公园、森林公园、风景名胜区、地质公园包括规划范围以内全部区域。</w:t>
                  </w:r>
                </w:p>
                <w:p w14:paraId="65E5D8CB">
                  <w:pPr>
                    <w:jc w:val="left"/>
                    <w:rPr>
                      <w:rFonts w:eastAsiaTheme="minorEastAsia"/>
                      <w:szCs w:val="21"/>
                    </w:rPr>
                  </w:pPr>
                  <w:r>
                    <w:rPr>
                      <w:rFonts w:eastAsiaTheme="minorEastAsia"/>
                      <w:szCs w:val="21"/>
                    </w:rPr>
                    <w:t>8</w:t>
                  </w:r>
                  <w:r>
                    <w:rPr>
                      <w:rFonts w:hAnsiTheme="minorEastAsia" w:eastAsiaTheme="minorEastAsia"/>
                      <w:szCs w:val="21"/>
                    </w:rPr>
                    <w:t>、生态红线控制区、生态环境敏感区、人口聚集区涉重金属排放项目。</w:t>
                  </w:r>
                </w:p>
                <w:p w14:paraId="2D1E9ECE">
                  <w:pPr>
                    <w:jc w:val="left"/>
                    <w:rPr>
                      <w:rFonts w:eastAsiaTheme="minorEastAsia"/>
                      <w:szCs w:val="21"/>
                    </w:rPr>
                  </w:pPr>
                  <w:r>
                    <w:rPr>
                      <w:rFonts w:eastAsiaTheme="minorEastAsia"/>
                      <w:szCs w:val="21"/>
                    </w:rPr>
                    <w:t>9</w:t>
                  </w:r>
                  <w:r>
                    <w:rPr>
                      <w:rFonts w:hAnsiTheme="minorEastAsia" w:eastAsiaTheme="minorEastAsia"/>
                      <w:szCs w:val="21"/>
                    </w:rPr>
                    <w:t>、长江干流及主要支流岸线</w:t>
                  </w:r>
                  <w:r>
                    <w:rPr>
                      <w:rFonts w:eastAsiaTheme="minorEastAsia"/>
                      <w:szCs w:val="21"/>
                    </w:rPr>
                    <w:t>1</w:t>
                  </w:r>
                  <w:r>
                    <w:rPr>
                      <w:rFonts w:hAnsiTheme="minorEastAsia" w:eastAsiaTheme="minorEastAsia"/>
                      <w:szCs w:val="21"/>
                    </w:rPr>
                    <w:t>公里范围内重化工项目（除在建项目外）。</w:t>
                  </w:r>
                </w:p>
                <w:p w14:paraId="500778DA">
                  <w:pPr>
                    <w:jc w:val="left"/>
                    <w:rPr>
                      <w:rFonts w:eastAsiaTheme="minorEastAsia"/>
                      <w:szCs w:val="21"/>
                    </w:rPr>
                  </w:pPr>
                  <w:r>
                    <w:rPr>
                      <w:rFonts w:eastAsiaTheme="minorEastAsia"/>
                      <w:szCs w:val="21"/>
                    </w:rPr>
                    <w:t>10</w:t>
                  </w:r>
                  <w:r>
                    <w:rPr>
                      <w:rFonts w:hAnsiTheme="minorEastAsia" w:eastAsiaTheme="minorEastAsia"/>
                      <w:szCs w:val="21"/>
                    </w:rPr>
                    <w:t>、修改为长江干流及主要支流（指乌江、嘉陵江、大宁河、阿蓬江、涪江、渠江）</w:t>
                  </w:r>
                  <w:r>
                    <w:rPr>
                      <w:rFonts w:eastAsiaTheme="minorEastAsia"/>
                      <w:szCs w:val="21"/>
                    </w:rPr>
                    <w:t xml:space="preserve">175 </w:t>
                  </w:r>
                  <w:r>
                    <w:rPr>
                      <w:rFonts w:hAnsiTheme="minorEastAsia" w:eastAsiaTheme="minorEastAsia"/>
                      <w:szCs w:val="21"/>
                    </w:rPr>
                    <w:t>米库岸沿线至第一山脊线范围内采矿。</w:t>
                  </w:r>
                </w:p>
                <w:p w14:paraId="24FF6FE5">
                  <w:pPr>
                    <w:jc w:val="left"/>
                    <w:rPr>
                      <w:rFonts w:eastAsiaTheme="minorEastAsia"/>
                      <w:szCs w:val="21"/>
                    </w:rPr>
                  </w:pPr>
                  <w:r>
                    <w:rPr>
                      <w:rFonts w:eastAsiaTheme="minorEastAsia"/>
                      <w:szCs w:val="21"/>
                    </w:rPr>
                    <w:t>11</w:t>
                  </w:r>
                  <w:r>
                    <w:rPr>
                      <w:rFonts w:hAnsiTheme="minorEastAsia" w:eastAsiaTheme="minorEastAsia"/>
                      <w:szCs w:val="21"/>
                    </w:rPr>
                    <w:t>、外环绕城高速公路以内长江、嘉陵江水域采砂。</w:t>
                  </w:r>
                </w:p>
                <w:p w14:paraId="0106763F">
                  <w:pPr>
                    <w:jc w:val="left"/>
                    <w:rPr>
                      <w:rFonts w:eastAsiaTheme="minorEastAsia"/>
                      <w:szCs w:val="21"/>
                    </w:rPr>
                  </w:pPr>
                  <w:r>
                    <w:rPr>
                      <w:rFonts w:eastAsiaTheme="minorEastAsia"/>
                      <w:szCs w:val="21"/>
                    </w:rPr>
                    <w:t>12</w:t>
                  </w:r>
                  <w:r>
                    <w:rPr>
                      <w:rFonts w:hAnsiTheme="minorEastAsia" w:eastAsiaTheme="minorEastAsia"/>
                      <w:szCs w:val="21"/>
                    </w:rPr>
                    <w:t>、主城区不符合</w:t>
                  </w:r>
                  <w:r>
                    <w:rPr>
                      <w:rFonts w:eastAsiaTheme="minorEastAsia"/>
                      <w:szCs w:val="21"/>
                    </w:rPr>
                    <w:t>“</w:t>
                  </w:r>
                  <w:r>
                    <w:rPr>
                      <w:rFonts w:hAnsiTheme="minorEastAsia" w:eastAsiaTheme="minorEastAsia"/>
                      <w:szCs w:val="21"/>
                    </w:rPr>
                    <w:t>两江四岸</w:t>
                  </w:r>
                  <w:r>
                    <w:rPr>
                      <w:rFonts w:eastAsiaTheme="minorEastAsia"/>
                      <w:szCs w:val="21"/>
                    </w:rPr>
                    <w:t>”</w:t>
                  </w:r>
                  <w:r>
                    <w:rPr>
                      <w:rFonts w:hAnsiTheme="minorEastAsia" w:eastAsiaTheme="minorEastAsia"/>
                      <w:szCs w:val="21"/>
                    </w:rPr>
                    <w:t>规划设计景观要求的项目以及造纸、印染、危险废物处置项目。</w:t>
                  </w:r>
                </w:p>
                <w:p w14:paraId="06034C3E">
                  <w:pPr>
                    <w:jc w:val="left"/>
                    <w:rPr>
                      <w:rFonts w:eastAsiaTheme="minorEastAsia"/>
                      <w:szCs w:val="21"/>
                    </w:rPr>
                  </w:pPr>
                  <w:r>
                    <w:rPr>
                      <w:rFonts w:eastAsiaTheme="minorEastAsia"/>
                      <w:szCs w:val="21"/>
                    </w:rPr>
                    <w:t>13</w:t>
                  </w:r>
                  <w:r>
                    <w:rPr>
                      <w:rFonts w:hAnsiTheme="minorEastAsia" w:eastAsiaTheme="minorEastAsia"/>
                      <w:szCs w:val="21"/>
                    </w:rPr>
                    <w:t>、主城区内环以内工业项目；内环以外燃煤电厂（含热电）、</w:t>
                  </w:r>
                  <w:r>
                    <w:rPr>
                      <w:rFonts w:eastAsiaTheme="minorEastAsia"/>
                      <w:szCs w:val="21"/>
                    </w:rPr>
                    <w:t xml:space="preserve"> </w:t>
                  </w:r>
                  <w:r>
                    <w:rPr>
                      <w:rFonts w:hAnsiTheme="minorEastAsia" w:eastAsiaTheme="minorEastAsia"/>
                      <w:szCs w:val="21"/>
                    </w:rPr>
                    <w:t>重化工以及使用煤和重油为燃料的工业项目。</w:t>
                  </w:r>
                </w:p>
                <w:p w14:paraId="14099C8E">
                  <w:pPr>
                    <w:jc w:val="left"/>
                    <w:rPr>
                      <w:rFonts w:eastAsiaTheme="minorEastAsia"/>
                      <w:szCs w:val="21"/>
                    </w:rPr>
                  </w:pPr>
                  <w:r>
                    <w:rPr>
                      <w:rFonts w:eastAsiaTheme="minorEastAsia"/>
                      <w:szCs w:val="21"/>
                    </w:rPr>
                    <w:t>14</w:t>
                  </w:r>
                  <w:r>
                    <w:rPr>
                      <w:rFonts w:hAnsiTheme="minorEastAsia" w:eastAsiaTheme="minorEastAsia"/>
                      <w:szCs w:val="21"/>
                    </w:rPr>
                    <w:t>、主城区及其主导上风向</w:t>
                  </w:r>
                  <w:r>
                    <w:rPr>
                      <w:rFonts w:eastAsiaTheme="minorEastAsia"/>
                      <w:szCs w:val="21"/>
                    </w:rPr>
                    <w:t>20</w:t>
                  </w:r>
                  <w:r>
                    <w:rPr>
                      <w:rFonts w:hAnsiTheme="minorEastAsia" w:eastAsiaTheme="minorEastAsia"/>
                      <w:szCs w:val="21"/>
                    </w:rPr>
                    <w:t>公里范围内大气污染严重的燃煤电厂（含热电）、冶炼、水泥项目。</w:t>
                  </w:r>
                </w:p>
                <w:p w14:paraId="05212E49">
                  <w:pPr>
                    <w:jc w:val="left"/>
                    <w:rPr>
                      <w:rFonts w:eastAsiaTheme="minorEastAsia"/>
                      <w:szCs w:val="21"/>
                    </w:rPr>
                  </w:pPr>
                  <w:r>
                    <w:rPr>
                      <w:rFonts w:eastAsiaTheme="minorEastAsia"/>
                      <w:szCs w:val="21"/>
                    </w:rPr>
                    <w:t>15</w:t>
                  </w:r>
                  <w:r>
                    <w:rPr>
                      <w:rFonts w:hAnsiTheme="minorEastAsia" w:eastAsiaTheme="minorEastAsia"/>
                      <w:szCs w:val="21"/>
                    </w:rPr>
                    <w:t>、长江、嘉陵江主城区江段及其上游沿江河地区排放有毒有害物质、重金属以及存在严重环境安全风险的产业项目。</w:t>
                  </w:r>
                </w:p>
                <w:p w14:paraId="557EF0BA">
                  <w:pPr>
                    <w:jc w:val="left"/>
                    <w:rPr>
                      <w:rFonts w:eastAsiaTheme="minorEastAsia"/>
                      <w:bCs/>
                      <w:spacing w:val="-2"/>
                      <w:szCs w:val="21"/>
                    </w:rPr>
                  </w:pPr>
                  <w:r>
                    <w:rPr>
                      <w:rFonts w:eastAsiaTheme="minorEastAsia"/>
                      <w:szCs w:val="21"/>
                    </w:rPr>
                    <w:t>16</w:t>
                  </w:r>
                  <w:r>
                    <w:rPr>
                      <w:rFonts w:hAnsiTheme="minorEastAsia" w:eastAsiaTheme="minorEastAsia"/>
                      <w:szCs w:val="21"/>
                    </w:rPr>
                    <w:t>、东北部地区和东南部地区的化工项目（万州区仅限于对现有主体化工产业链进行完善和升级改造）。</w:t>
                  </w:r>
                </w:p>
              </w:tc>
              <w:tc>
                <w:tcPr>
                  <w:tcW w:w="1134" w:type="dxa"/>
                  <w:gridSpan w:val="2"/>
                  <w:vAlign w:val="center"/>
                </w:tcPr>
                <w:p w14:paraId="021CAF76">
                  <w:pPr>
                    <w:jc w:val="center"/>
                    <w:rPr>
                      <w:rFonts w:eastAsiaTheme="minorEastAsia"/>
                      <w:szCs w:val="21"/>
                    </w:rPr>
                  </w:pPr>
                  <w:r>
                    <w:rPr>
                      <w:rFonts w:eastAsiaTheme="minorEastAsia"/>
                      <w:szCs w:val="21"/>
                    </w:rPr>
                    <w:t>1</w:t>
                  </w:r>
                  <w:r>
                    <w:rPr>
                      <w:rFonts w:hAnsiTheme="minorEastAsia" w:eastAsiaTheme="minorEastAsia"/>
                      <w:szCs w:val="21"/>
                    </w:rPr>
                    <w:t>、项目位于</w:t>
                  </w:r>
                  <w:r>
                    <w:rPr>
                      <w:rFonts w:hint="eastAsia" w:hAnsiTheme="minorEastAsia" w:eastAsiaTheme="minorEastAsia"/>
                      <w:szCs w:val="21"/>
                    </w:rPr>
                    <w:t>涪陵李渡工业园区</w:t>
                  </w:r>
                  <w:r>
                    <w:rPr>
                      <w:rFonts w:hAnsiTheme="minorEastAsia" w:eastAsiaTheme="minorEastAsia"/>
                      <w:szCs w:val="21"/>
                    </w:rPr>
                    <w:t>，不属于四山保护区域、自然保护区的核心区和缓</w:t>
                  </w:r>
                  <w:r>
                    <w:rPr>
                      <w:rFonts w:eastAsiaTheme="minorEastAsia"/>
                      <w:szCs w:val="21"/>
                    </w:rPr>
                    <w:t xml:space="preserve"> </w:t>
                  </w:r>
                  <w:r>
                    <w:rPr>
                      <w:rFonts w:hAnsiTheme="minorEastAsia" w:eastAsiaTheme="minorEastAsia"/>
                      <w:szCs w:val="21"/>
                    </w:rPr>
                    <w:t>冲区，饮用水源保护区、风景名胜区、湿地</w:t>
                  </w:r>
                  <w:r>
                    <w:rPr>
                      <w:rFonts w:eastAsiaTheme="minorEastAsia"/>
                      <w:szCs w:val="21"/>
                    </w:rPr>
                    <w:t xml:space="preserve"> </w:t>
                  </w:r>
                  <w:r>
                    <w:rPr>
                      <w:rFonts w:hAnsiTheme="minorEastAsia" w:eastAsiaTheme="minorEastAsia"/>
                      <w:szCs w:val="21"/>
                    </w:rPr>
                    <w:t>公园、重要</w:t>
                  </w:r>
                  <w:r>
                    <w:rPr>
                      <w:rFonts w:eastAsiaTheme="minorEastAsia"/>
                      <w:szCs w:val="21"/>
                    </w:rPr>
                    <w:t xml:space="preserve"> </w:t>
                  </w:r>
                  <w:r>
                    <w:rPr>
                      <w:rFonts w:hAnsiTheme="minorEastAsia" w:eastAsiaTheme="minorEastAsia"/>
                      <w:szCs w:val="21"/>
                    </w:rPr>
                    <w:t>水源地、水源涵养地等</w:t>
                  </w:r>
                  <w:r>
                    <w:rPr>
                      <w:rFonts w:eastAsiaTheme="minorEastAsia"/>
                      <w:szCs w:val="21"/>
                    </w:rPr>
                    <w:t xml:space="preserve"> </w:t>
                  </w:r>
                  <w:r>
                    <w:rPr>
                      <w:rFonts w:hAnsiTheme="minorEastAsia" w:eastAsiaTheme="minorEastAsia"/>
                      <w:szCs w:val="21"/>
                    </w:rPr>
                    <w:t>需特殊保护区域的核心区等。</w:t>
                  </w:r>
                  <w:r>
                    <w:rPr>
                      <w:rFonts w:eastAsiaTheme="minorEastAsia"/>
                      <w:szCs w:val="21"/>
                    </w:rPr>
                    <w:t>2</w:t>
                  </w:r>
                  <w:r>
                    <w:rPr>
                      <w:rFonts w:hAnsiTheme="minorEastAsia" w:eastAsiaTheme="minorEastAsia"/>
                      <w:szCs w:val="21"/>
                    </w:rPr>
                    <w:t>、项目不设</w:t>
                  </w:r>
                  <w:r>
                    <w:rPr>
                      <w:rFonts w:eastAsiaTheme="minorEastAsia"/>
                      <w:szCs w:val="21"/>
                    </w:rPr>
                    <w:t xml:space="preserve"> </w:t>
                  </w:r>
                  <w:r>
                    <w:rPr>
                      <w:rFonts w:hAnsiTheme="minorEastAsia" w:eastAsiaTheme="minorEastAsia"/>
                      <w:szCs w:val="21"/>
                    </w:rPr>
                    <w:t>置燃煤锅炉。</w:t>
                  </w:r>
                </w:p>
              </w:tc>
              <w:tc>
                <w:tcPr>
                  <w:tcW w:w="698" w:type="dxa"/>
                  <w:vAlign w:val="center"/>
                </w:tcPr>
                <w:p w14:paraId="0C0CC1FE">
                  <w:pPr>
                    <w:jc w:val="center"/>
                    <w:rPr>
                      <w:rFonts w:eastAsiaTheme="minorEastAsia"/>
                      <w:bCs/>
                      <w:spacing w:val="-2"/>
                      <w:szCs w:val="21"/>
                    </w:rPr>
                  </w:pPr>
                  <w:r>
                    <w:rPr>
                      <w:rFonts w:hint="eastAsia" w:eastAsiaTheme="minorEastAsia"/>
                      <w:bCs/>
                      <w:spacing w:val="-2"/>
                      <w:szCs w:val="21"/>
                    </w:rPr>
                    <w:t>符合</w:t>
                  </w:r>
                </w:p>
              </w:tc>
            </w:tr>
            <w:tr w14:paraId="2BDE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gridSpan w:val="2"/>
                  <w:vAlign w:val="center"/>
                </w:tcPr>
                <w:p w14:paraId="40199FE1">
                  <w:pPr>
                    <w:jc w:val="center"/>
                    <w:rPr>
                      <w:rFonts w:eastAsiaTheme="minorEastAsia"/>
                      <w:bCs/>
                      <w:spacing w:val="-2"/>
                      <w:szCs w:val="21"/>
                    </w:rPr>
                  </w:pPr>
                  <w:r>
                    <w:rPr>
                      <w:rFonts w:hAnsiTheme="minorEastAsia" w:eastAsiaTheme="minorEastAsia"/>
                      <w:bCs/>
                      <w:spacing w:val="-2"/>
                      <w:szCs w:val="21"/>
                    </w:rPr>
                    <w:t>限制准入类</w:t>
                  </w:r>
                </w:p>
              </w:tc>
              <w:tc>
                <w:tcPr>
                  <w:tcW w:w="5009" w:type="dxa"/>
                  <w:vAlign w:val="center"/>
                </w:tcPr>
                <w:p w14:paraId="42C787FA">
                  <w:pPr>
                    <w:jc w:val="left"/>
                    <w:rPr>
                      <w:rFonts w:eastAsiaTheme="minorEastAsia"/>
                      <w:szCs w:val="21"/>
                    </w:rPr>
                  </w:pPr>
                  <w:r>
                    <w:rPr>
                      <w:rFonts w:eastAsiaTheme="minorEastAsia"/>
                      <w:szCs w:val="21"/>
                    </w:rPr>
                    <w:t>1</w:t>
                  </w:r>
                  <w:r>
                    <w:rPr>
                      <w:rFonts w:hAnsiTheme="minorEastAsia" w:eastAsiaTheme="minorEastAsia"/>
                      <w:szCs w:val="21"/>
                    </w:rPr>
                    <w:t>、长江干流及主要支流岸线</w:t>
                  </w:r>
                  <w:r>
                    <w:rPr>
                      <w:rFonts w:eastAsiaTheme="minorEastAsia"/>
                      <w:szCs w:val="21"/>
                    </w:rPr>
                    <w:t>5</w:t>
                  </w:r>
                  <w:r>
                    <w:rPr>
                      <w:rFonts w:hAnsiTheme="minorEastAsia" w:eastAsiaTheme="minorEastAsia"/>
                      <w:szCs w:val="21"/>
                    </w:rPr>
                    <w:t>公里范围内，除经国家和市政府批准设立、仍在建设的工业园区外，不再新布局工业园区（不包括现有工业园区拓展）。</w:t>
                  </w:r>
                </w:p>
                <w:p w14:paraId="70FDF473">
                  <w:pPr>
                    <w:jc w:val="left"/>
                    <w:rPr>
                      <w:rFonts w:eastAsiaTheme="minorEastAsia"/>
                      <w:szCs w:val="21"/>
                    </w:rPr>
                  </w:pPr>
                  <w:r>
                    <w:rPr>
                      <w:rFonts w:eastAsiaTheme="minorEastAsia"/>
                      <w:szCs w:val="21"/>
                    </w:rPr>
                    <w:t>2</w:t>
                  </w:r>
                  <w:r>
                    <w:rPr>
                      <w:rFonts w:hAnsiTheme="minorEastAsia" w:eastAsiaTheme="minorEastAsia"/>
                      <w:szCs w:val="21"/>
                    </w:rPr>
                    <w:t>、大气污染防治一般控制区域内，限制建设大气污染严重项目。</w:t>
                  </w:r>
                </w:p>
                <w:p w14:paraId="37A41D5E">
                  <w:pPr>
                    <w:jc w:val="left"/>
                    <w:rPr>
                      <w:rFonts w:eastAsiaTheme="minorEastAsia"/>
                      <w:szCs w:val="21"/>
                    </w:rPr>
                  </w:pPr>
                  <w:r>
                    <w:rPr>
                      <w:rFonts w:eastAsiaTheme="minorEastAsia"/>
                      <w:szCs w:val="21"/>
                    </w:rPr>
                    <w:t>3</w:t>
                  </w:r>
                  <w:r>
                    <w:rPr>
                      <w:rFonts w:hAnsiTheme="minorEastAsia" w:eastAsiaTheme="minorEastAsia"/>
                      <w:szCs w:val="21"/>
                    </w:rPr>
                    <w:t>、其他区县（涪陵区、长寿区、江津区、合川区、永川区、綦江区（含万盛经开区）、南川区、大足区（含双桥经开区）、铜梁区、璧山区、潼南区、荣昌区）的缺水区域严格限制建设高耗水的工业项目。</w:t>
                  </w:r>
                </w:p>
                <w:p w14:paraId="02E4618A">
                  <w:pPr>
                    <w:jc w:val="left"/>
                    <w:rPr>
                      <w:rFonts w:eastAsiaTheme="minorEastAsia"/>
                      <w:szCs w:val="21"/>
                    </w:rPr>
                  </w:pPr>
                  <w:r>
                    <w:rPr>
                      <w:rFonts w:eastAsiaTheme="minorEastAsia"/>
                      <w:szCs w:val="21"/>
                    </w:rPr>
                    <w:t>4</w:t>
                  </w:r>
                  <w:r>
                    <w:rPr>
                      <w:rFonts w:hAnsiTheme="minorEastAsia" w:eastAsiaTheme="minorEastAsia"/>
                      <w:szCs w:val="21"/>
                    </w:rPr>
                    <w:t>、合川区、江津区、长寿区、璧山区等地区，严格限制新建可能对主城区大气产生影响的燃用煤、重油等高污染燃料的工业项目。</w:t>
                  </w:r>
                </w:p>
                <w:p w14:paraId="0CC267EB">
                  <w:pPr>
                    <w:jc w:val="left"/>
                    <w:rPr>
                      <w:rFonts w:eastAsiaTheme="minorEastAsia"/>
                      <w:bCs/>
                      <w:spacing w:val="-2"/>
                      <w:szCs w:val="21"/>
                    </w:rPr>
                  </w:pPr>
                  <w:r>
                    <w:rPr>
                      <w:rFonts w:eastAsiaTheme="minorEastAsia"/>
                      <w:szCs w:val="21"/>
                    </w:rPr>
                    <w:t>5</w:t>
                  </w:r>
                  <w:r>
                    <w:rPr>
                      <w:rFonts w:hAnsiTheme="minorEastAsia" w:eastAsiaTheme="minorEastAsia"/>
                      <w:szCs w:val="21"/>
                    </w:rPr>
                    <w:t>、东北部地区（万州区、开州区、梁平县、城口县、丰都县、垫江县、忠县、云阳县、奉节县、巫山县、巫溪县）、东南部地区（黔江区、武隆区、石柱县、秀山县、酉阳县、彭水县）</w:t>
                  </w:r>
                  <w:r>
                    <w:rPr>
                      <w:rFonts w:eastAsiaTheme="minorEastAsia"/>
                      <w:szCs w:val="21"/>
                    </w:rPr>
                    <w:t xml:space="preserve"> </w:t>
                  </w:r>
                  <w:r>
                    <w:rPr>
                      <w:rFonts w:hAnsiTheme="minorEastAsia" w:eastAsiaTheme="minorEastAsia"/>
                      <w:szCs w:val="21"/>
                    </w:rPr>
                    <w:t>限制发展易破坏生态植被的采矿业、建材等工业项目。</w:t>
                  </w:r>
                </w:p>
              </w:tc>
              <w:tc>
                <w:tcPr>
                  <w:tcW w:w="916" w:type="dxa"/>
                  <w:vAlign w:val="center"/>
                </w:tcPr>
                <w:p w14:paraId="757903C8">
                  <w:pPr>
                    <w:jc w:val="center"/>
                    <w:rPr>
                      <w:rFonts w:eastAsiaTheme="minorEastAsia"/>
                      <w:bCs/>
                      <w:spacing w:val="-2"/>
                      <w:szCs w:val="21"/>
                    </w:rPr>
                  </w:pPr>
                  <w:r>
                    <w:rPr>
                      <w:rFonts w:hAnsiTheme="minorEastAsia" w:eastAsiaTheme="minorEastAsia"/>
                      <w:szCs w:val="21"/>
                    </w:rPr>
                    <w:t>本项目位于</w:t>
                  </w:r>
                  <w:r>
                    <w:rPr>
                      <w:rFonts w:eastAsiaTheme="minorEastAsia"/>
                      <w:szCs w:val="21"/>
                    </w:rPr>
                    <w:t xml:space="preserve"> </w:t>
                  </w:r>
                  <w:r>
                    <w:rPr>
                      <w:rFonts w:hint="eastAsia" w:hAnsiTheme="minorEastAsia" w:eastAsiaTheme="minorEastAsia"/>
                      <w:szCs w:val="21"/>
                    </w:rPr>
                    <w:t>涪陵区</w:t>
                  </w:r>
                  <w:r>
                    <w:rPr>
                      <w:rFonts w:hAnsiTheme="minorEastAsia" w:eastAsiaTheme="minorEastAsia"/>
                      <w:szCs w:val="21"/>
                    </w:rPr>
                    <w:t>，</w:t>
                  </w:r>
                  <w:r>
                    <w:rPr>
                      <w:rFonts w:hAnsiTheme="minorEastAsia" w:eastAsiaTheme="minorEastAsia"/>
                      <w:spacing w:val="-2"/>
                      <w:szCs w:val="21"/>
                    </w:rPr>
                    <w:t>为</w:t>
                  </w:r>
                  <w:r>
                    <w:rPr>
                      <w:rFonts w:hint="eastAsia"/>
                      <w:szCs w:val="21"/>
                    </w:rPr>
                    <w:t>C2459其他玩具制造</w:t>
                  </w:r>
                  <w:r>
                    <w:rPr>
                      <w:rFonts w:hAnsi="宋体"/>
                      <w:szCs w:val="21"/>
                      <w:lang w:val="en-GB"/>
                    </w:rPr>
                    <w:t>，</w:t>
                  </w:r>
                  <w:r>
                    <w:rPr>
                      <w:rFonts w:hint="eastAsia" w:hAnsi="宋体"/>
                      <w:szCs w:val="21"/>
                      <w:lang w:val="en-GB"/>
                    </w:rPr>
                    <w:t>涉及印刷工艺</w:t>
                  </w:r>
                  <w:r>
                    <w:rPr>
                      <w:rFonts w:eastAsiaTheme="minorEastAsia"/>
                      <w:bCs/>
                      <w:szCs w:val="21"/>
                    </w:rPr>
                    <w:t>，</w:t>
                  </w:r>
                  <w:r>
                    <w:rPr>
                      <w:rFonts w:hAnsiTheme="minorEastAsia" w:eastAsiaTheme="minorEastAsia"/>
                      <w:szCs w:val="21"/>
                    </w:rPr>
                    <w:t>不属于高耗</w:t>
                  </w:r>
                  <w:r>
                    <w:rPr>
                      <w:rFonts w:eastAsiaTheme="minorEastAsia"/>
                      <w:szCs w:val="21"/>
                    </w:rPr>
                    <w:t xml:space="preserve"> </w:t>
                  </w:r>
                  <w:r>
                    <w:rPr>
                      <w:rFonts w:hAnsiTheme="minorEastAsia" w:eastAsiaTheme="minorEastAsia"/>
                      <w:szCs w:val="21"/>
                    </w:rPr>
                    <w:t>水项目，不</w:t>
                  </w:r>
                  <w:r>
                    <w:rPr>
                      <w:rFonts w:eastAsiaTheme="minorEastAsia"/>
                      <w:szCs w:val="21"/>
                    </w:rPr>
                    <w:t xml:space="preserve"> </w:t>
                  </w:r>
                  <w:r>
                    <w:rPr>
                      <w:rFonts w:hAnsiTheme="minorEastAsia" w:eastAsiaTheme="minorEastAsia"/>
                      <w:szCs w:val="21"/>
                    </w:rPr>
                    <w:t>采用煤及重油作为燃料。</w:t>
                  </w:r>
                </w:p>
              </w:tc>
              <w:tc>
                <w:tcPr>
                  <w:tcW w:w="916" w:type="dxa"/>
                  <w:gridSpan w:val="2"/>
                  <w:vAlign w:val="center"/>
                </w:tcPr>
                <w:p w14:paraId="4C3C37EB">
                  <w:pPr>
                    <w:jc w:val="center"/>
                    <w:rPr>
                      <w:rFonts w:eastAsiaTheme="minorEastAsia"/>
                      <w:bCs/>
                      <w:spacing w:val="-2"/>
                      <w:szCs w:val="21"/>
                    </w:rPr>
                  </w:pPr>
                  <w:r>
                    <w:rPr>
                      <w:rFonts w:hint="eastAsia" w:eastAsiaTheme="minorEastAsia"/>
                      <w:bCs/>
                      <w:spacing w:val="-2"/>
                      <w:szCs w:val="21"/>
                    </w:rPr>
                    <w:t>符合</w:t>
                  </w:r>
                </w:p>
              </w:tc>
            </w:tr>
          </w:tbl>
          <w:p w14:paraId="457F38B8">
            <w:pPr>
              <w:spacing w:line="480" w:lineRule="exact"/>
              <w:ind w:firstLine="480" w:firstLineChars="200"/>
              <w:rPr>
                <w:b/>
                <w:spacing w:val="-2"/>
                <w:sz w:val="24"/>
              </w:rPr>
            </w:pPr>
            <w:r>
              <w:rPr>
                <w:rFonts w:hint="eastAsia"/>
                <w:sz w:val="24"/>
              </w:rPr>
              <w:t>拟建</w:t>
            </w:r>
            <w:r>
              <w:rPr>
                <w:sz w:val="24"/>
              </w:rPr>
              <w:t>项目</w:t>
            </w:r>
            <w:r>
              <w:rPr>
                <w:rFonts w:hint="eastAsia"/>
                <w:spacing w:val="-2"/>
                <w:sz w:val="24"/>
              </w:rPr>
              <w:t>为</w:t>
            </w:r>
            <w:r>
              <w:rPr>
                <w:rFonts w:hint="eastAsia"/>
                <w:sz w:val="24"/>
              </w:rPr>
              <w:t>C2459其他玩具制造</w:t>
            </w:r>
            <w:r>
              <w:rPr>
                <w:rFonts w:hAnsi="宋体"/>
                <w:sz w:val="24"/>
                <w:lang w:val="en-GB"/>
              </w:rPr>
              <w:t>，</w:t>
            </w:r>
            <w:r>
              <w:rPr>
                <w:rFonts w:hint="eastAsia" w:hAnsi="宋体"/>
                <w:sz w:val="24"/>
                <w:lang w:val="en-GB"/>
              </w:rPr>
              <w:t>涉及印刷工艺</w:t>
            </w:r>
            <w:r>
              <w:rPr>
                <w:rFonts w:eastAsiaTheme="minorEastAsia"/>
                <w:bCs/>
                <w:sz w:val="24"/>
              </w:rPr>
              <w:t>，</w:t>
            </w:r>
            <w:r>
              <w:rPr>
                <w:sz w:val="24"/>
              </w:rPr>
              <w:t>位于</w:t>
            </w:r>
            <w:r>
              <w:rPr>
                <w:rFonts w:hint="eastAsia"/>
                <w:sz w:val="24"/>
              </w:rPr>
              <w:t>涪陵区李渡工业园区</w:t>
            </w:r>
            <w:r>
              <w:rPr>
                <w:sz w:val="24"/>
              </w:rPr>
              <w:t>，不属于全市范围内不予准入的产业和重点区域范围内不予准入的产业，不属于限制准入类项目， 因此，符合重庆市产业投资工作手册要求。</w:t>
            </w:r>
          </w:p>
          <w:p w14:paraId="464BCF7E">
            <w:pPr>
              <w:spacing w:line="480" w:lineRule="exact"/>
              <w:ind w:firstLine="474" w:firstLineChars="200"/>
              <w:rPr>
                <w:rFonts w:hAnsi="宋体"/>
                <w:b/>
                <w:spacing w:val="-2"/>
                <w:sz w:val="24"/>
              </w:rPr>
            </w:pPr>
            <w:r>
              <w:rPr>
                <w:rFonts w:hint="eastAsia" w:hAnsi="宋体"/>
                <w:b/>
                <w:spacing w:val="-2"/>
                <w:sz w:val="24"/>
              </w:rPr>
              <w:t xml:space="preserve">1.4.3 </w:t>
            </w:r>
            <w:r>
              <w:rPr>
                <w:rFonts w:hAnsi="宋体"/>
                <w:b/>
                <w:spacing w:val="-2"/>
                <w:sz w:val="24"/>
              </w:rPr>
              <w:t>与《</w:t>
            </w:r>
            <w:r>
              <w:rPr>
                <w:b/>
                <w:sz w:val="24"/>
              </w:rPr>
              <w:t>重庆市发展和改革委员会、重庆市工业和信息化委员会关于严格 工业布局和准入的通知》（渝发改工[2018]781 号）</w:t>
            </w:r>
            <w:r>
              <w:rPr>
                <w:rFonts w:hint="eastAsia" w:hAnsi="宋体"/>
                <w:b/>
                <w:spacing w:val="-2"/>
                <w:sz w:val="24"/>
              </w:rPr>
              <w:t>的</w:t>
            </w:r>
            <w:r>
              <w:rPr>
                <w:rFonts w:hAnsi="宋体"/>
                <w:b/>
                <w:spacing w:val="-2"/>
                <w:sz w:val="24"/>
              </w:rPr>
              <w:t>符合性</w:t>
            </w:r>
            <w:r>
              <w:rPr>
                <w:rFonts w:hint="eastAsia" w:hAnsi="宋体"/>
                <w:b/>
                <w:spacing w:val="-2"/>
                <w:sz w:val="24"/>
              </w:rPr>
              <w:t>分析</w:t>
            </w:r>
          </w:p>
          <w:p w14:paraId="040ED612">
            <w:pPr>
              <w:spacing w:line="480" w:lineRule="exact"/>
              <w:ind w:firstLine="480" w:firstLineChars="200"/>
              <w:rPr>
                <w:sz w:val="24"/>
              </w:rPr>
            </w:pPr>
            <w:r>
              <w:rPr>
                <w:sz w:val="24"/>
              </w:rPr>
              <w:t>本项目与《重庆市发展和改革委员会、重庆市工业和信息化委员会关于严格工业布局和准入的通知》（渝发改工[2018]781号）的符合性分析见表1.</w:t>
            </w:r>
            <w:r>
              <w:rPr>
                <w:rFonts w:hint="eastAsia"/>
                <w:sz w:val="24"/>
              </w:rPr>
              <w:t>4-2</w:t>
            </w:r>
            <w:r>
              <w:rPr>
                <w:sz w:val="24"/>
              </w:rPr>
              <w:t>。</w:t>
            </w:r>
          </w:p>
          <w:p w14:paraId="34E623D1">
            <w:pPr>
              <w:jc w:val="center"/>
              <w:rPr>
                <w:b/>
                <w:spacing w:val="-2"/>
                <w:szCs w:val="21"/>
              </w:rPr>
            </w:pPr>
            <w:r>
              <w:rPr>
                <w:rFonts w:hint="eastAsia"/>
                <w:b/>
                <w:spacing w:val="-2"/>
                <w:szCs w:val="21"/>
              </w:rPr>
              <w:t>表1</w:t>
            </w:r>
            <w:r>
              <w:rPr>
                <w:b/>
                <w:spacing w:val="-2"/>
                <w:szCs w:val="21"/>
              </w:rPr>
              <w:t>.</w:t>
            </w:r>
            <w:r>
              <w:rPr>
                <w:rFonts w:hint="eastAsia"/>
                <w:b/>
                <w:spacing w:val="-2"/>
                <w:szCs w:val="21"/>
              </w:rPr>
              <w:t>4-2</w:t>
            </w:r>
            <w:r>
              <w:rPr>
                <w:b/>
                <w:spacing w:val="-2"/>
                <w:szCs w:val="21"/>
              </w:rPr>
              <w:t xml:space="preserve"> </w:t>
            </w:r>
            <w:r>
              <w:rPr>
                <w:rFonts w:hint="eastAsia"/>
                <w:b/>
                <w:spacing w:val="-2"/>
                <w:szCs w:val="21"/>
              </w:rPr>
              <w:t>项目与</w:t>
            </w:r>
            <w:r>
              <w:rPr>
                <w:b/>
                <w:szCs w:val="21"/>
              </w:rPr>
              <w:t>《重庆市发展和改革委员会、重庆市工业和信息化委员会关于严格工业布局和准入的通知》（渝发改工[2018]781号）</w:t>
            </w:r>
            <w:r>
              <w:rPr>
                <w:rFonts w:hint="eastAsia"/>
                <w:b/>
                <w:spacing w:val="-2"/>
                <w:szCs w:val="21"/>
              </w:rPr>
              <w:t>符合性对照表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4111"/>
              <w:gridCol w:w="1984"/>
              <w:gridCol w:w="888"/>
            </w:tblGrid>
            <w:tr w14:paraId="69A665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752F83A0">
                  <w:pPr>
                    <w:jc w:val="center"/>
                    <w:rPr>
                      <w:rFonts w:eastAsiaTheme="minorEastAsia"/>
                      <w:bCs/>
                      <w:spacing w:val="-2"/>
                      <w:szCs w:val="21"/>
                    </w:rPr>
                  </w:pPr>
                  <w:r>
                    <w:rPr>
                      <w:rFonts w:hAnsiTheme="minorEastAsia" w:eastAsiaTheme="minorEastAsia"/>
                      <w:bCs/>
                      <w:spacing w:val="-2"/>
                      <w:szCs w:val="21"/>
                    </w:rPr>
                    <w:t>序号</w:t>
                  </w:r>
                </w:p>
              </w:tc>
              <w:tc>
                <w:tcPr>
                  <w:tcW w:w="4111" w:type="dxa"/>
                  <w:vAlign w:val="center"/>
                </w:tcPr>
                <w:p w14:paraId="1A35DD25">
                  <w:pPr>
                    <w:jc w:val="center"/>
                    <w:rPr>
                      <w:rFonts w:eastAsiaTheme="minorEastAsia"/>
                      <w:bCs/>
                      <w:spacing w:val="-2"/>
                      <w:szCs w:val="21"/>
                    </w:rPr>
                  </w:pPr>
                  <w:r>
                    <w:rPr>
                      <w:rFonts w:hAnsiTheme="minorEastAsia" w:eastAsiaTheme="minorEastAsia"/>
                      <w:bCs/>
                      <w:spacing w:val="-2"/>
                      <w:szCs w:val="21"/>
                    </w:rPr>
                    <w:t>环境准入条件</w:t>
                  </w:r>
                </w:p>
              </w:tc>
              <w:tc>
                <w:tcPr>
                  <w:tcW w:w="1984" w:type="dxa"/>
                  <w:vAlign w:val="center"/>
                </w:tcPr>
                <w:p w14:paraId="0D68E1AE">
                  <w:pPr>
                    <w:jc w:val="center"/>
                    <w:rPr>
                      <w:rFonts w:eastAsiaTheme="minorEastAsia"/>
                      <w:bCs/>
                      <w:spacing w:val="-2"/>
                      <w:szCs w:val="21"/>
                    </w:rPr>
                  </w:pPr>
                  <w:r>
                    <w:rPr>
                      <w:rFonts w:hAnsiTheme="minorEastAsia" w:eastAsiaTheme="minorEastAsia"/>
                      <w:bCs/>
                      <w:spacing w:val="-2"/>
                      <w:szCs w:val="21"/>
                    </w:rPr>
                    <w:t>项目情况</w:t>
                  </w:r>
                </w:p>
              </w:tc>
              <w:tc>
                <w:tcPr>
                  <w:tcW w:w="888" w:type="dxa"/>
                  <w:vAlign w:val="center"/>
                </w:tcPr>
                <w:p w14:paraId="0BC41E20">
                  <w:pPr>
                    <w:jc w:val="center"/>
                    <w:rPr>
                      <w:rFonts w:eastAsiaTheme="minorEastAsia"/>
                      <w:bCs/>
                      <w:spacing w:val="-2"/>
                      <w:szCs w:val="21"/>
                    </w:rPr>
                  </w:pPr>
                  <w:r>
                    <w:rPr>
                      <w:rFonts w:hAnsiTheme="minorEastAsia" w:eastAsiaTheme="minorEastAsia"/>
                      <w:bCs/>
                      <w:spacing w:val="-2"/>
                      <w:szCs w:val="21"/>
                    </w:rPr>
                    <w:t>符合性</w:t>
                  </w:r>
                </w:p>
              </w:tc>
            </w:tr>
            <w:tr w14:paraId="50E3C5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1BC4F210">
                  <w:pPr>
                    <w:jc w:val="center"/>
                    <w:rPr>
                      <w:rFonts w:eastAsiaTheme="minorEastAsia"/>
                      <w:bCs/>
                      <w:spacing w:val="-2"/>
                      <w:szCs w:val="21"/>
                    </w:rPr>
                  </w:pPr>
                  <w:r>
                    <w:rPr>
                      <w:rFonts w:eastAsiaTheme="minorEastAsia"/>
                      <w:bCs/>
                      <w:spacing w:val="-2"/>
                      <w:szCs w:val="21"/>
                    </w:rPr>
                    <w:t>1</w:t>
                  </w:r>
                </w:p>
              </w:tc>
              <w:tc>
                <w:tcPr>
                  <w:tcW w:w="4111" w:type="dxa"/>
                  <w:vAlign w:val="center"/>
                </w:tcPr>
                <w:p w14:paraId="2392A2B9">
                  <w:pPr>
                    <w:jc w:val="center"/>
                    <w:rPr>
                      <w:rFonts w:eastAsiaTheme="minorEastAsia"/>
                      <w:bCs/>
                      <w:spacing w:val="-2"/>
                      <w:szCs w:val="21"/>
                    </w:rPr>
                  </w:pPr>
                  <w:r>
                    <w:rPr>
                      <w:rFonts w:hAnsiTheme="minorEastAsia" w:eastAsiaTheme="minorEastAsia"/>
                      <w:bCs/>
                      <w:szCs w:val="21"/>
                    </w:rPr>
                    <w:t>对在长江干流及主要支流岸线</w:t>
                  </w:r>
                  <w:r>
                    <w:rPr>
                      <w:rFonts w:eastAsiaTheme="minorEastAsia"/>
                      <w:bCs/>
                      <w:szCs w:val="21"/>
                    </w:rPr>
                    <w:t xml:space="preserve"> 1</w:t>
                  </w:r>
                  <w:r>
                    <w:rPr>
                      <w:rFonts w:hAnsiTheme="minorEastAsia" w:eastAsiaTheme="minorEastAsia"/>
                      <w:bCs/>
                      <w:szCs w:val="21"/>
                    </w:rPr>
                    <w:t>公里范围内新建重化工、纺织、造纸等存在污染风险的工业项目，不得办理项目核准或备案手续。禁止在长江干流及主要支流岸线</w:t>
                  </w:r>
                  <w:r>
                    <w:rPr>
                      <w:rFonts w:eastAsiaTheme="minorEastAsia"/>
                      <w:bCs/>
                      <w:szCs w:val="21"/>
                    </w:rPr>
                    <w:t>5</w:t>
                  </w:r>
                  <w:r>
                    <w:rPr>
                      <w:rFonts w:hAnsiTheme="minorEastAsia" w:eastAsiaTheme="minorEastAsia"/>
                      <w:bCs/>
                      <w:szCs w:val="21"/>
                    </w:rPr>
                    <w:t>公里范围内新布局工业园区，有序推进现有工业园区空间布局的调整优化。</w:t>
                  </w:r>
                </w:p>
              </w:tc>
              <w:tc>
                <w:tcPr>
                  <w:tcW w:w="1984" w:type="dxa"/>
                  <w:vAlign w:val="center"/>
                </w:tcPr>
                <w:p w14:paraId="5F9A3A0E">
                  <w:pPr>
                    <w:jc w:val="center"/>
                    <w:rPr>
                      <w:rFonts w:eastAsiaTheme="minorEastAsia"/>
                      <w:bCs/>
                      <w:spacing w:val="-2"/>
                      <w:szCs w:val="21"/>
                    </w:rPr>
                  </w:pPr>
                  <w:r>
                    <w:rPr>
                      <w:rFonts w:hAnsiTheme="minorEastAsia" w:eastAsiaTheme="minorEastAsia"/>
                      <w:spacing w:val="-2"/>
                      <w:szCs w:val="21"/>
                    </w:rPr>
                    <w:t>拟建项目位于</w:t>
                  </w:r>
                  <w:r>
                    <w:rPr>
                      <w:rFonts w:hint="eastAsia"/>
                      <w:szCs w:val="21"/>
                    </w:rPr>
                    <w:t>重庆市涪陵区鹤凤大道33号</w:t>
                  </w:r>
                  <w:r>
                    <w:rPr>
                      <w:rFonts w:hAnsiTheme="minorEastAsia" w:eastAsiaTheme="minorEastAsia"/>
                      <w:szCs w:val="21"/>
                    </w:rPr>
                    <w:t>，</w:t>
                  </w:r>
                  <w:r>
                    <w:rPr>
                      <w:rFonts w:hAnsiTheme="minorEastAsia" w:eastAsiaTheme="minorEastAsia"/>
                      <w:spacing w:val="-2"/>
                      <w:szCs w:val="21"/>
                    </w:rPr>
                    <w:t>为</w:t>
                  </w:r>
                  <w:r>
                    <w:rPr>
                      <w:rFonts w:hint="eastAsia"/>
                      <w:szCs w:val="21"/>
                    </w:rPr>
                    <w:t>C2459其他玩具制造</w:t>
                  </w:r>
                  <w:r>
                    <w:rPr>
                      <w:rFonts w:hAnsi="宋体"/>
                      <w:szCs w:val="21"/>
                      <w:lang w:val="en-GB"/>
                    </w:rPr>
                    <w:t>，</w:t>
                  </w:r>
                  <w:r>
                    <w:rPr>
                      <w:rFonts w:hint="eastAsia" w:hAnsi="宋体"/>
                      <w:szCs w:val="21"/>
                      <w:lang w:val="en-GB"/>
                    </w:rPr>
                    <w:t>涉及印刷工艺</w:t>
                  </w:r>
                  <w:r>
                    <w:rPr>
                      <w:rFonts w:hAnsiTheme="minorEastAsia" w:eastAsiaTheme="minorEastAsia"/>
                      <w:szCs w:val="21"/>
                    </w:rPr>
                    <w:t>。</w:t>
                  </w:r>
                </w:p>
              </w:tc>
              <w:tc>
                <w:tcPr>
                  <w:tcW w:w="888" w:type="dxa"/>
                  <w:vAlign w:val="center"/>
                </w:tcPr>
                <w:p w14:paraId="343A5DA3">
                  <w:pPr>
                    <w:jc w:val="center"/>
                    <w:rPr>
                      <w:rFonts w:eastAsiaTheme="minorEastAsia"/>
                      <w:bCs/>
                      <w:spacing w:val="-2"/>
                      <w:szCs w:val="21"/>
                    </w:rPr>
                  </w:pPr>
                  <w:r>
                    <w:rPr>
                      <w:rFonts w:hAnsiTheme="minorEastAsia" w:eastAsiaTheme="minorEastAsia"/>
                      <w:bCs/>
                      <w:spacing w:val="-2"/>
                      <w:szCs w:val="21"/>
                    </w:rPr>
                    <w:t>符合</w:t>
                  </w:r>
                </w:p>
              </w:tc>
            </w:tr>
            <w:tr w14:paraId="66863E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61F8C958">
                  <w:pPr>
                    <w:jc w:val="center"/>
                    <w:rPr>
                      <w:rFonts w:eastAsiaTheme="minorEastAsia"/>
                      <w:bCs/>
                      <w:spacing w:val="-2"/>
                      <w:szCs w:val="21"/>
                    </w:rPr>
                  </w:pPr>
                  <w:r>
                    <w:rPr>
                      <w:rFonts w:eastAsiaTheme="minorEastAsia"/>
                      <w:bCs/>
                      <w:spacing w:val="-2"/>
                      <w:szCs w:val="21"/>
                    </w:rPr>
                    <w:t>2</w:t>
                  </w:r>
                </w:p>
              </w:tc>
              <w:tc>
                <w:tcPr>
                  <w:tcW w:w="4111" w:type="dxa"/>
                  <w:vAlign w:val="center"/>
                </w:tcPr>
                <w:p w14:paraId="46F6ED8B">
                  <w:pPr>
                    <w:jc w:val="center"/>
                    <w:rPr>
                      <w:rFonts w:eastAsiaTheme="minorEastAsia"/>
                      <w:bCs/>
                      <w:spacing w:val="-2"/>
                      <w:szCs w:val="21"/>
                    </w:rPr>
                  </w:pPr>
                  <w:r>
                    <w:rPr>
                      <w:rFonts w:hAnsiTheme="minorEastAsia" w:eastAsiaTheme="minorEastAsia"/>
                      <w:bCs/>
                      <w:szCs w:val="21"/>
                    </w:rPr>
                    <w:t>新建有污染物排放的工业项目，除在安全生产或者产业布局等方面有特殊要求外，应当进入工业园区（工业集聚区，下同）。对未进入工业园区的项目，或在工业园区（工业集聚区）</w:t>
                  </w:r>
                  <w:r>
                    <w:rPr>
                      <w:rFonts w:eastAsiaTheme="minorEastAsia"/>
                      <w:bCs/>
                      <w:szCs w:val="21"/>
                    </w:rPr>
                    <w:t xml:space="preserve"> </w:t>
                  </w:r>
                  <w:r>
                    <w:rPr>
                      <w:rFonts w:hAnsiTheme="minorEastAsia" w:eastAsiaTheme="minorEastAsia"/>
                      <w:bCs/>
                      <w:szCs w:val="21"/>
                    </w:rPr>
                    <w:t>以外区域实施单纯增加产能的改扩建（扩建）的项目，不得办理项目核准或备案手续。</w:t>
                  </w:r>
                </w:p>
              </w:tc>
              <w:tc>
                <w:tcPr>
                  <w:tcW w:w="1984" w:type="dxa"/>
                  <w:vAlign w:val="center"/>
                </w:tcPr>
                <w:p w14:paraId="6550A599">
                  <w:pPr>
                    <w:jc w:val="center"/>
                    <w:rPr>
                      <w:rFonts w:eastAsiaTheme="minorEastAsia"/>
                      <w:b/>
                      <w:spacing w:val="-2"/>
                      <w:szCs w:val="21"/>
                    </w:rPr>
                  </w:pPr>
                  <w:r>
                    <w:rPr>
                      <w:rFonts w:hAnsiTheme="minorEastAsia" w:eastAsiaTheme="minorEastAsia"/>
                      <w:szCs w:val="21"/>
                    </w:rPr>
                    <w:t>拟建项目在</w:t>
                  </w:r>
                  <w:r>
                    <w:rPr>
                      <w:rFonts w:hint="eastAsia" w:hAnsiTheme="minorEastAsia" w:eastAsiaTheme="minorEastAsia"/>
                      <w:szCs w:val="21"/>
                    </w:rPr>
                    <w:t>涪陵李渡工业园区内</w:t>
                  </w:r>
                  <w:r>
                    <w:rPr>
                      <w:rFonts w:hAnsiTheme="minorEastAsia" w:eastAsiaTheme="minorEastAsia"/>
                      <w:szCs w:val="21"/>
                    </w:rPr>
                    <w:t>建设</w:t>
                  </w:r>
                </w:p>
              </w:tc>
              <w:tc>
                <w:tcPr>
                  <w:tcW w:w="888" w:type="dxa"/>
                  <w:vAlign w:val="center"/>
                </w:tcPr>
                <w:p w14:paraId="332B841C">
                  <w:pPr>
                    <w:jc w:val="center"/>
                    <w:rPr>
                      <w:rFonts w:eastAsiaTheme="minorEastAsia"/>
                      <w:bCs/>
                      <w:spacing w:val="-2"/>
                      <w:szCs w:val="21"/>
                    </w:rPr>
                  </w:pPr>
                  <w:r>
                    <w:rPr>
                      <w:rFonts w:hAnsiTheme="minorEastAsia" w:eastAsiaTheme="minorEastAsia"/>
                      <w:bCs/>
                      <w:spacing w:val="-2"/>
                      <w:szCs w:val="21"/>
                    </w:rPr>
                    <w:t>符合</w:t>
                  </w:r>
                </w:p>
              </w:tc>
            </w:tr>
            <w:tr w14:paraId="2291D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0" w:type="dxa"/>
                  <w:vAlign w:val="center"/>
                </w:tcPr>
                <w:p w14:paraId="2209C923">
                  <w:pPr>
                    <w:jc w:val="center"/>
                    <w:rPr>
                      <w:rFonts w:eastAsiaTheme="minorEastAsia"/>
                      <w:bCs/>
                      <w:spacing w:val="-2"/>
                      <w:szCs w:val="21"/>
                    </w:rPr>
                  </w:pPr>
                  <w:r>
                    <w:rPr>
                      <w:rFonts w:eastAsiaTheme="minorEastAsia"/>
                      <w:bCs/>
                      <w:spacing w:val="-2"/>
                      <w:szCs w:val="21"/>
                    </w:rPr>
                    <w:t>3</w:t>
                  </w:r>
                </w:p>
              </w:tc>
              <w:tc>
                <w:tcPr>
                  <w:tcW w:w="4111" w:type="dxa"/>
                  <w:vAlign w:val="center"/>
                </w:tcPr>
                <w:p w14:paraId="4C84F5BA">
                  <w:pPr>
                    <w:jc w:val="center"/>
                    <w:rPr>
                      <w:rFonts w:eastAsiaTheme="minorEastAsia"/>
                      <w:bCs/>
                      <w:spacing w:val="-2"/>
                      <w:szCs w:val="21"/>
                    </w:rPr>
                  </w:pPr>
                  <w:r>
                    <w:rPr>
                      <w:rFonts w:hAnsiTheme="minorEastAsia" w:eastAsiaTheme="minorEastAsia"/>
                      <w:bCs/>
                      <w:szCs w:val="21"/>
                    </w:rPr>
                    <w:t>严格控制过剩产能和</w:t>
                  </w:r>
                  <w:r>
                    <w:rPr>
                      <w:rFonts w:eastAsiaTheme="minorEastAsia"/>
                      <w:bCs/>
                      <w:szCs w:val="21"/>
                    </w:rPr>
                    <w:t>“</w:t>
                  </w:r>
                  <w:r>
                    <w:rPr>
                      <w:rFonts w:hAnsiTheme="minorEastAsia" w:eastAsiaTheme="minorEastAsia"/>
                      <w:bCs/>
                      <w:szCs w:val="21"/>
                    </w:rPr>
                    <w:t>两高一贷</w:t>
                  </w:r>
                  <w:r>
                    <w:rPr>
                      <w:rFonts w:eastAsiaTheme="minorEastAsia"/>
                      <w:bCs/>
                      <w:szCs w:val="21"/>
                    </w:rPr>
                    <w:t>”</w:t>
                  </w:r>
                  <w:r>
                    <w:rPr>
                      <w:rFonts w:hAnsiTheme="minorEastAsia" w:eastAsiaTheme="minorEastAsia"/>
                      <w:bCs/>
                      <w:szCs w:val="21"/>
                    </w:rPr>
                    <w:t>项目，严格限制造纸、印染、煤电、传统化工、传统燃油汽车、涉及重金属以及有毒有害和持久性污染物排放的项目。新建或扩建上述项目，必须符合国家及我市产业政策和布局，依法办理环境保护、安全生产、资源（能源）节约等有关手续。</w:t>
                  </w:r>
                </w:p>
              </w:tc>
              <w:tc>
                <w:tcPr>
                  <w:tcW w:w="1984" w:type="dxa"/>
                  <w:vAlign w:val="center"/>
                </w:tcPr>
                <w:p w14:paraId="1941D8BC">
                  <w:pPr>
                    <w:jc w:val="center"/>
                    <w:rPr>
                      <w:rFonts w:eastAsiaTheme="minorEastAsia"/>
                      <w:bCs/>
                      <w:spacing w:val="-2"/>
                      <w:szCs w:val="21"/>
                    </w:rPr>
                  </w:pPr>
                  <w:r>
                    <w:rPr>
                      <w:rFonts w:hAnsiTheme="minorEastAsia" w:eastAsiaTheme="minorEastAsia"/>
                      <w:szCs w:val="21"/>
                    </w:rPr>
                    <w:t>本项目</w:t>
                  </w:r>
                  <w:r>
                    <w:rPr>
                      <w:rFonts w:hAnsiTheme="minorEastAsia" w:eastAsiaTheme="minorEastAsia"/>
                      <w:spacing w:val="-2"/>
                      <w:szCs w:val="21"/>
                    </w:rPr>
                    <w:t>为</w:t>
                  </w:r>
                  <w:r>
                    <w:rPr>
                      <w:rFonts w:hint="eastAsia"/>
                      <w:szCs w:val="21"/>
                    </w:rPr>
                    <w:t>C2459其他玩具制造</w:t>
                  </w:r>
                  <w:r>
                    <w:rPr>
                      <w:rFonts w:hAnsi="宋体"/>
                      <w:szCs w:val="21"/>
                      <w:lang w:val="en-GB"/>
                    </w:rPr>
                    <w:t>，</w:t>
                  </w:r>
                  <w:r>
                    <w:rPr>
                      <w:rFonts w:hint="eastAsia" w:hAnsi="宋体"/>
                      <w:szCs w:val="21"/>
                      <w:lang w:val="en-GB"/>
                    </w:rPr>
                    <w:t>涉及印刷工艺</w:t>
                  </w:r>
                  <w:r>
                    <w:rPr>
                      <w:rFonts w:hint="eastAsia"/>
                      <w:spacing w:val="-2"/>
                      <w:szCs w:val="21"/>
                    </w:rPr>
                    <w:t>，</w:t>
                  </w:r>
                  <w:r>
                    <w:rPr>
                      <w:rFonts w:hAnsiTheme="minorEastAsia" w:eastAsiaTheme="minorEastAsia"/>
                      <w:szCs w:val="21"/>
                    </w:rPr>
                    <w:t>不属于造纸、印染、煤电、传统化工、传统燃</w:t>
                  </w:r>
                  <w:r>
                    <w:rPr>
                      <w:rFonts w:eastAsiaTheme="minorEastAsia"/>
                      <w:szCs w:val="21"/>
                    </w:rPr>
                    <w:t xml:space="preserve"> </w:t>
                  </w:r>
                  <w:r>
                    <w:rPr>
                      <w:rFonts w:hAnsiTheme="minorEastAsia" w:eastAsiaTheme="minorEastAsia"/>
                      <w:szCs w:val="21"/>
                    </w:rPr>
                    <w:t>油汽车、涉及重金属以及有毒有害和持久性污染物排放的项目。</w:t>
                  </w:r>
                </w:p>
              </w:tc>
              <w:tc>
                <w:tcPr>
                  <w:tcW w:w="888" w:type="dxa"/>
                  <w:vAlign w:val="center"/>
                </w:tcPr>
                <w:p w14:paraId="6A9862C3">
                  <w:pPr>
                    <w:jc w:val="center"/>
                    <w:rPr>
                      <w:rFonts w:eastAsiaTheme="minorEastAsia"/>
                      <w:bCs/>
                      <w:spacing w:val="-2"/>
                      <w:szCs w:val="21"/>
                    </w:rPr>
                  </w:pPr>
                  <w:r>
                    <w:rPr>
                      <w:rFonts w:hAnsiTheme="minorEastAsia" w:eastAsiaTheme="minorEastAsia"/>
                      <w:bCs/>
                      <w:spacing w:val="-2"/>
                      <w:szCs w:val="21"/>
                    </w:rPr>
                    <w:t>符合</w:t>
                  </w:r>
                </w:p>
              </w:tc>
            </w:tr>
          </w:tbl>
          <w:p w14:paraId="0CB9D0F3">
            <w:pPr>
              <w:spacing w:line="460" w:lineRule="exact"/>
              <w:ind w:firstLine="474" w:firstLineChars="200"/>
              <w:rPr>
                <w:rFonts w:hAnsi="宋体"/>
                <w:b/>
                <w:spacing w:val="-2"/>
                <w:sz w:val="24"/>
              </w:rPr>
            </w:pPr>
            <w:r>
              <w:rPr>
                <w:rFonts w:hint="eastAsia" w:hAnsi="宋体"/>
                <w:b/>
                <w:spacing w:val="-2"/>
                <w:sz w:val="24"/>
              </w:rPr>
              <w:t xml:space="preserve">1.4.4 </w:t>
            </w:r>
            <w:r>
              <w:rPr>
                <w:rFonts w:hAnsi="宋体"/>
                <w:b/>
                <w:spacing w:val="-2"/>
                <w:sz w:val="24"/>
              </w:rPr>
              <w:t>与《</w:t>
            </w:r>
            <w:r>
              <w:rPr>
                <w:b/>
                <w:sz w:val="24"/>
              </w:rPr>
              <w:t>重庆市</w:t>
            </w:r>
            <w:r>
              <w:rPr>
                <w:rFonts w:hint="eastAsia"/>
                <w:b/>
                <w:sz w:val="24"/>
              </w:rPr>
              <w:t>生态环境保护“十四五”规划（2</w:t>
            </w:r>
            <w:r>
              <w:rPr>
                <w:b/>
                <w:sz w:val="24"/>
              </w:rPr>
              <w:t>021-2025</w:t>
            </w:r>
            <w:r>
              <w:rPr>
                <w:rFonts w:hint="eastAsia"/>
                <w:b/>
                <w:sz w:val="24"/>
              </w:rPr>
              <w:t>年）</w:t>
            </w:r>
            <w:r>
              <w:rPr>
                <w:b/>
                <w:sz w:val="24"/>
              </w:rPr>
              <w:t>》</w:t>
            </w:r>
            <w:r>
              <w:rPr>
                <w:rFonts w:hint="eastAsia" w:hAnsi="宋体"/>
                <w:b/>
                <w:spacing w:val="-2"/>
                <w:sz w:val="24"/>
              </w:rPr>
              <w:t>的</w:t>
            </w:r>
            <w:r>
              <w:rPr>
                <w:rFonts w:hAnsi="宋体"/>
                <w:b/>
                <w:spacing w:val="-2"/>
                <w:sz w:val="24"/>
              </w:rPr>
              <w:t>符合性</w:t>
            </w:r>
            <w:r>
              <w:rPr>
                <w:rFonts w:hint="eastAsia" w:hAnsi="宋体"/>
                <w:b/>
                <w:spacing w:val="-2"/>
                <w:sz w:val="24"/>
              </w:rPr>
              <w:t>分析</w:t>
            </w:r>
          </w:p>
          <w:p w14:paraId="4FFA80A5">
            <w:pPr>
              <w:spacing w:line="460" w:lineRule="exact"/>
              <w:ind w:firstLine="480" w:firstLineChars="200"/>
              <w:rPr>
                <w:sz w:val="24"/>
              </w:rPr>
            </w:pPr>
            <w:r>
              <w:rPr>
                <w:sz w:val="24"/>
              </w:rPr>
              <w:t xml:space="preserve">根据重庆市人民政府2022年1月27日发布的《重庆市生态环境保护“十四五” 规划（2021—2025 年）》（渝府发〔2022〕11号）中明确提出以下要求：“第三章第二节 落实生态环境准入规定。落实《中华人民共和国长江保护法》等法律法规和产业结构调整指导目录、环境保护综合名录、长江经济带发展负面清单、重庆市产业投资准入等规定，坚决管控高耗能、高排放项目。落实生态保护红线、环境质量底线、资源利用上线、生态环境准入清单硬约束，实施生态环境分区管控。进一步发挥规划环境影响评价的引领作用，加强规划环评、区域环评与项目环评联动。除在安全生产或者产业布局等方面有特殊要求外，禁止在工业园区外新建工业项目。禁止在工业园区外扩建钢铁、焦化、建材、有色等高污染项目，禁止新建、扩建不符合国家石化、现代煤化工等产业布局规划的项目。深化生态环境领域“放管服”改革，规范环境影响报告书技术评估，优化环评审批流程，拓展环评告知承诺制审批改革试点。完善重大项目环评审批服务机制，拓展“网上办”“掌上办”，做好提前对接和跟踪服务”。 </w:t>
            </w:r>
          </w:p>
          <w:p w14:paraId="659D673F">
            <w:pPr>
              <w:spacing w:line="460" w:lineRule="exact"/>
              <w:ind w:firstLine="480" w:firstLineChars="200"/>
              <w:rPr>
                <w:b/>
                <w:spacing w:val="-2"/>
                <w:sz w:val="24"/>
              </w:rPr>
            </w:pPr>
            <w:r>
              <w:rPr>
                <w:rFonts w:hint="eastAsia"/>
                <w:sz w:val="24"/>
              </w:rPr>
              <w:t>拟建</w:t>
            </w:r>
            <w:r>
              <w:rPr>
                <w:sz w:val="24"/>
              </w:rPr>
              <w:t>项目</w:t>
            </w:r>
            <w:r>
              <w:rPr>
                <w:rFonts w:hint="eastAsia"/>
                <w:spacing w:val="-2"/>
                <w:sz w:val="24"/>
              </w:rPr>
              <w:t>为新建项目，为</w:t>
            </w:r>
            <w:r>
              <w:rPr>
                <w:rFonts w:hint="eastAsia"/>
                <w:sz w:val="24"/>
              </w:rPr>
              <w:t>C2459其他玩具制造</w:t>
            </w:r>
            <w:r>
              <w:rPr>
                <w:rFonts w:hAnsi="宋体"/>
                <w:sz w:val="24"/>
                <w:lang w:val="en-GB"/>
              </w:rPr>
              <w:t>，</w:t>
            </w:r>
            <w:r>
              <w:rPr>
                <w:rFonts w:hint="eastAsia" w:hAnsi="宋体"/>
                <w:sz w:val="24"/>
                <w:lang w:val="en-GB"/>
              </w:rPr>
              <w:t>涉及印刷工艺</w:t>
            </w:r>
            <w:r>
              <w:rPr>
                <w:sz w:val="24"/>
              </w:rPr>
              <w:t>，</w:t>
            </w:r>
            <w:r>
              <w:rPr>
                <w:rFonts w:hint="eastAsia"/>
                <w:spacing w:val="-2"/>
                <w:sz w:val="24"/>
              </w:rPr>
              <w:t>位于</w:t>
            </w:r>
            <w:r>
              <w:rPr>
                <w:rFonts w:hint="eastAsia"/>
                <w:sz w:val="24"/>
              </w:rPr>
              <w:t>重庆市涪陵区李渡组团大鹅分区R21-2/03地块</w:t>
            </w:r>
            <w:r>
              <w:rPr>
                <w:sz w:val="24"/>
              </w:rPr>
              <w:t>，符合国家产业政策，满足《重庆市生态环境保护“十四五”规划（2021—2025 年）》（渝府发〔2022〕11号）的要求</w:t>
            </w:r>
            <w:r>
              <w:rPr>
                <w:rFonts w:hint="eastAsia"/>
                <w:sz w:val="24"/>
              </w:rPr>
              <w:t>。</w:t>
            </w:r>
          </w:p>
          <w:p w14:paraId="75C659DF">
            <w:pPr>
              <w:spacing w:line="460" w:lineRule="exact"/>
              <w:ind w:firstLine="474" w:firstLineChars="200"/>
              <w:rPr>
                <w:rFonts w:hAnsi="宋体"/>
                <w:b/>
                <w:spacing w:val="-2"/>
                <w:sz w:val="24"/>
              </w:rPr>
            </w:pPr>
            <w:r>
              <w:rPr>
                <w:rFonts w:hint="eastAsia" w:hAnsi="宋体"/>
                <w:b/>
                <w:spacing w:val="-2"/>
                <w:sz w:val="24"/>
              </w:rPr>
              <w:t xml:space="preserve">1.4.5 </w:t>
            </w:r>
            <w:r>
              <w:rPr>
                <w:rFonts w:hAnsi="宋体"/>
                <w:b/>
                <w:spacing w:val="-2"/>
                <w:sz w:val="24"/>
              </w:rPr>
              <w:t>与《</w:t>
            </w:r>
            <w:r>
              <w:rPr>
                <w:b/>
                <w:sz w:val="24"/>
              </w:rPr>
              <w:t>重庆市</w:t>
            </w:r>
            <w:r>
              <w:rPr>
                <w:rFonts w:hint="eastAsia"/>
                <w:b/>
                <w:sz w:val="24"/>
              </w:rPr>
              <w:t>大气环境保护“十四五”规划（2</w:t>
            </w:r>
            <w:r>
              <w:rPr>
                <w:b/>
                <w:sz w:val="24"/>
              </w:rPr>
              <w:t>021</w:t>
            </w:r>
            <w:r>
              <w:rPr>
                <w:rFonts w:hint="eastAsia"/>
                <w:b/>
                <w:sz w:val="24"/>
              </w:rPr>
              <w:t>-</w:t>
            </w:r>
            <w:r>
              <w:rPr>
                <w:b/>
                <w:sz w:val="24"/>
              </w:rPr>
              <w:t>2025</w:t>
            </w:r>
            <w:r>
              <w:rPr>
                <w:rFonts w:hint="eastAsia"/>
                <w:b/>
                <w:sz w:val="24"/>
              </w:rPr>
              <w:t>）</w:t>
            </w:r>
            <w:r>
              <w:rPr>
                <w:b/>
                <w:sz w:val="24"/>
              </w:rPr>
              <w:t>》</w:t>
            </w:r>
            <w:r>
              <w:rPr>
                <w:rFonts w:hint="eastAsia" w:hAnsi="宋体"/>
                <w:b/>
                <w:spacing w:val="-2"/>
                <w:sz w:val="24"/>
              </w:rPr>
              <w:t>的</w:t>
            </w:r>
            <w:r>
              <w:rPr>
                <w:rFonts w:hAnsi="宋体"/>
                <w:b/>
                <w:spacing w:val="-2"/>
                <w:sz w:val="24"/>
              </w:rPr>
              <w:t>符合性</w:t>
            </w:r>
            <w:r>
              <w:rPr>
                <w:rFonts w:hint="eastAsia" w:hAnsi="宋体"/>
                <w:b/>
                <w:spacing w:val="-2"/>
                <w:sz w:val="24"/>
              </w:rPr>
              <w:t>分析</w:t>
            </w:r>
          </w:p>
          <w:p w14:paraId="6AA3FD5E">
            <w:pPr>
              <w:spacing w:line="460" w:lineRule="exact"/>
              <w:ind w:firstLine="480" w:firstLineChars="200"/>
              <w:rPr>
                <w:rFonts w:eastAsiaTheme="minorEastAsia"/>
                <w:sz w:val="24"/>
              </w:rPr>
            </w:pPr>
            <w:r>
              <w:rPr>
                <w:rFonts w:eastAsiaTheme="minorEastAsia"/>
                <w:sz w:val="24"/>
              </w:rPr>
              <w:t xml:space="preserve">2022年4月24日，重庆市生态环境局发布了《重庆市大气环境保护“十四五” 规划（2021—2025 年）》（以下简称《规划》)。《规划》提出，到2025 年，我市空气质量优良天数比率力争达到92.6%，细颗粒物（PM2.5）年平均浓度不超过31微克/立方米，无重度及以上污染天气，各区县（自治县）空气质量均达到现行 《环境空气质量标准》二级标准。 </w:t>
            </w:r>
          </w:p>
          <w:p w14:paraId="3F965FC0">
            <w:pPr>
              <w:spacing w:line="460" w:lineRule="exact"/>
              <w:ind w:firstLine="480" w:firstLineChars="200"/>
              <w:rPr>
                <w:rFonts w:eastAsiaTheme="minorEastAsia"/>
                <w:sz w:val="24"/>
              </w:rPr>
            </w:pPr>
            <w:r>
              <w:rPr>
                <w:rFonts w:eastAsiaTheme="minorEastAsia"/>
                <w:sz w:val="24"/>
              </w:rPr>
              <w:t xml:space="preserve">《规划》提出，“十四五”期间，我市大气环境保护将按照深入打好污染防治攻坚战的总体要求，以“减污降碳”为总抓手，强化PM2.5、臭氧协同控制，以VOCs 和氮氧化物减排为重点，加强 PM2.5污染来源、VOCs 和氮氧化物对夏秋季臭氧污染贡献规律研究和区域性空气质量预报及污染预警，严格落实“五个精准”（问题、 时间、区位、对象、措施精准），分区、分级、分类、分时，抓重点、补短板、强弱项，深化“五大举措”，有效改善城市及区域环境空气质量，服务双城经济圈高质量发展。 </w:t>
            </w:r>
          </w:p>
          <w:p w14:paraId="11C6ED6D">
            <w:pPr>
              <w:spacing w:line="460" w:lineRule="exact"/>
              <w:ind w:firstLine="480" w:firstLineChars="200"/>
              <w:rPr>
                <w:rFonts w:eastAsiaTheme="minorEastAsia"/>
                <w:sz w:val="24"/>
              </w:rPr>
            </w:pPr>
            <w:r>
              <w:rPr>
                <w:rFonts w:eastAsiaTheme="minorEastAsia"/>
                <w:sz w:val="24"/>
              </w:rPr>
              <w:t xml:space="preserve">《规划》规定了“十四五”期间，重庆大气环境保护五大方面重点任务和措施。一是以挥发性有机物治理和工业炉窑综合整治为重点，深化工业污染控制；二是以柴油货车治理和纯电动车推广为重点，深化交通污染控制；三是以绿色示范创建和智能监管为重点，深化扬尘污染控制；四是以餐饮油烟综合整治和露天焚烧管控为重点，深化生活污染控制；五是以区域联防联控和科研管理支撑为重点，提高污染天气应对能力。 </w:t>
            </w:r>
          </w:p>
          <w:p w14:paraId="366530CA">
            <w:pPr>
              <w:spacing w:line="460" w:lineRule="exact"/>
              <w:ind w:firstLine="472" w:firstLineChars="200"/>
              <w:rPr>
                <w:rFonts w:eastAsiaTheme="minorEastAsia"/>
                <w:b/>
                <w:spacing w:val="-2"/>
                <w:sz w:val="24"/>
              </w:rPr>
            </w:pPr>
            <w:r>
              <w:rPr>
                <w:rFonts w:hint="eastAsia"/>
                <w:spacing w:val="-2"/>
                <w:sz w:val="24"/>
              </w:rPr>
              <w:t>拟建项目位于</w:t>
            </w:r>
            <w:r>
              <w:rPr>
                <w:rFonts w:hint="eastAsia"/>
                <w:sz w:val="24"/>
              </w:rPr>
              <w:t>重庆市涪陵区李渡组团大鹅分区R21-2/03地块</w:t>
            </w:r>
            <w:r>
              <w:rPr>
                <w:rFonts w:eastAsiaTheme="minorEastAsia"/>
                <w:sz w:val="24"/>
              </w:rPr>
              <w:t>，</w:t>
            </w:r>
            <w:r>
              <w:rPr>
                <w:rFonts w:hint="eastAsia"/>
                <w:spacing w:val="-2"/>
                <w:sz w:val="24"/>
              </w:rPr>
              <w:t>为</w:t>
            </w:r>
            <w:r>
              <w:rPr>
                <w:rFonts w:hint="eastAsia"/>
                <w:sz w:val="24"/>
              </w:rPr>
              <w:t>C2459其他玩具制造</w:t>
            </w:r>
            <w:r>
              <w:rPr>
                <w:rFonts w:hAnsi="宋体"/>
                <w:sz w:val="24"/>
                <w:lang w:val="en-GB"/>
              </w:rPr>
              <w:t>，</w:t>
            </w:r>
            <w:r>
              <w:rPr>
                <w:rFonts w:hint="eastAsia" w:hAnsi="宋体"/>
                <w:sz w:val="24"/>
                <w:lang w:val="en-GB"/>
              </w:rPr>
              <w:t>涉及印刷工艺</w:t>
            </w:r>
            <w:r>
              <w:rPr>
                <w:rFonts w:hint="eastAsia"/>
                <w:spacing w:val="-2"/>
                <w:sz w:val="24"/>
              </w:rPr>
              <w:t>，</w:t>
            </w:r>
            <w:r>
              <w:rPr>
                <w:rFonts w:eastAsiaTheme="minorEastAsia"/>
                <w:sz w:val="24"/>
              </w:rPr>
              <w:t>项目对生产过程中产生的挥发性有机物采取应收尽收的原则，废气经</w:t>
            </w:r>
            <w:r>
              <w:rPr>
                <w:rFonts w:hint="eastAsia"/>
                <w:sz w:val="24"/>
              </w:rPr>
              <w:t>“二级活性炭吸附”</w:t>
            </w:r>
            <w:r>
              <w:rPr>
                <w:rFonts w:eastAsiaTheme="minorEastAsia"/>
                <w:sz w:val="24"/>
              </w:rPr>
              <w:t>处理达标后排放， 满足《重庆市大气环境保护“十四五”规划（2021—2025 年）》要求。</w:t>
            </w:r>
          </w:p>
          <w:p w14:paraId="0BC9BD99">
            <w:pPr>
              <w:spacing w:line="460" w:lineRule="exact"/>
              <w:ind w:firstLine="474" w:firstLineChars="200"/>
              <w:rPr>
                <w:rFonts w:hAnsi="宋体"/>
                <w:b/>
                <w:spacing w:val="-2"/>
                <w:sz w:val="24"/>
              </w:rPr>
            </w:pPr>
            <w:r>
              <w:rPr>
                <w:rFonts w:hint="eastAsia" w:hAnsi="宋体"/>
                <w:b/>
                <w:spacing w:val="-2"/>
                <w:sz w:val="24"/>
              </w:rPr>
              <w:t xml:space="preserve">1.4.6 </w:t>
            </w:r>
            <w:r>
              <w:rPr>
                <w:rFonts w:hAnsi="宋体"/>
                <w:b/>
                <w:spacing w:val="-2"/>
                <w:sz w:val="24"/>
              </w:rPr>
              <w:t>与</w:t>
            </w:r>
            <w:r>
              <w:rPr>
                <w:rFonts w:hint="eastAsia" w:hAnsi="宋体"/>
                <w:b/>
                <w:spacing w:val="-2"/>
                <w:sz w:val="24"/>
              </w:rPr>
              <w:t>《重庆市工业项目环境准入规定（修订）》（渝办发[2012]142号）符合性分析</w:t>
            </w:r>
          </w:p>
          <w:p w14:paraId="6430B429">
            <w:pPr>
              <w:spacing w:line="480" w:lineRule="exact"/>
              <w:ind w:firstLine="480" w:firstLineChars="200"/>
              <w:rPr>
                <w:rFonts w:hAnsi="宋体"/>
                <w:spacing w:val="-2"/>
                <w:sz w:val="24"/>
              </w:rPr>
            </w:pPr>
            <w:r>
              <w:rPr>
                <w:snapToGrid w:val="0"/>
                <w:sz w:val="24"/>
              </w:rPr>
              <w:t>《重庆市工业项目环境准入规定（修订）》（渝办发〔2012〕142号）对全市工业项目环境准入实施统一监督管理，对工业项目提出了一定的环境准入条件。结合本项目的具体情况，下面就该项目与《重庆市工业项目环境准入规定（修订）》的具体准入条件的符合性进行对比分析</w:t>
            </w:r>
            <w:r>
              <w:rPr>
                <w:rFonts w:hint="eastAsia" w:hAnsi="宋体"/>
                <w:spacing w:val="-2"/>
                <w:sz w:val="24"/>
              </w:rPr>
              <w:t>见表1.4-3。</w:t>
            </w:r>
          </w:p>
          <w:p w14:paraId="35E38FF0">
            <w:pPr>
              <w:spacing w:line="480" w:lineRule="exact"/>
              <w:jc w:val="center"/>
              <w:rPr>
                <w:rFonts w:hAnsi="宋体"/>
                <w:b/>
                <w:spacing w:val="-2"/>
                <w:szCs w:val="21"/>
              </w:rPr>
            </w:pPr>
            <w:r>
              <w:rPr>
                <w:rFonts w:hint="eastAsia" w:hAnsi="宋体"/>
                <w:b/>
                <w:spacing w:val="-2"/>
                <w:szCs w:val="21"/>
              </w:rPr>
              <w:t>表1.4-3 与《重庆市工业项目环境准入规定（修订）》符合性分析</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7"/>
              <w:gridCol w:w="3589"/>
              <w:gridCol w:w="2654"/>
              <w:gridCol w:w="784"/>
            </w:tblGrid>
            <w:tr w14:paraId="12BB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367" w:type="pct"/>
                  <w:vAlign w:val="center"/>
                </w:tcPr>
                <w:p w14:paraId="23FC0102">
                  <w:pPr>
                    <w:adjustRightInd w:val="0"/>
                    <w:snapToGrid w:val="0"/>
                    <w:spacing w:line="320" w:lineRule="exact"/>
                    <w:jc w:val="center"/>
                    <w:rPr>
                      <w:szCs w:val="21"/>
                    </w:rPr>
                  </w:pPr>
                  <w:r>
                    <w:rPr>
                      <w:szCs w:val="21"/>
                    </w:rPr>
                    <w:t>序号</w:t>
                  </w:r>
                </w:p>
              </w:tc>
              <w:tc>
                <w:tcPr>
                  <w:tcW w:w="2365" w:type="pct"/>
                  <w:vAlign w:val="center"/>
                </w:tcPr>
                <w:p w14:paraId="04EFB9BF">
                  <w:pPr>
                    <w:adjustRightInd w:val="0"/>
                    <w:snapToGrid w:val="0"/>
                    <w:spacing w:line="320" w:lineRule="exact"/>
                    <w:jc w:val="center"/>
                    <w:rPr>
                      <w:szCs w:val="21"/>
                    </w:rPr>
                  </w:pPr>
                  <w:r>
                    <w:rPr>
                      <w:szCs w:val="21"/>
                    </w:rPr>
                    <w:t>重庆市工业项目环境准入规定</w:t>
                  </w:r>
                </w:p>
              </w:tc>
              <w:tc>
                <w:tcPr>
                  <w:tcW w:w="1749" w:type="pct"/>
                  <w:vAlign w:val="center"/>
                </w:tcPr>
                <w:p w14:paraId="0FA9B4E9">
                  <w:pPr>
                    <w:adjustRightInd w:val="0"/>
                    <w:snapToGrid w:val="0"/>
                    <w:spacing w:line="320" w:lineRule="exact"/>
                    <w:jc w:val="center"/>
                    <w:rPr>
                      <w:szCs w:val="21"/>
                    </w:rPr>
                  </w:pPr>
                  <w:r>
                    <w:rPr>
                      <w:szCs w:val="21"/>
                    </w:rPr>
                    <w:t>本项目情况</w:t>
                  </w:r>
                </w:p>
              </w:tc>
              <w:tc>
                <w:tcPr>
                  <w:tcW w:w="517" w:type="pct"/>
                  <w:vAlign w:val="center"/>
                </w:tcPr>
                <w:p w14:paraId="176AE04A">
                  <w:pPr>
                    <w:adjustRightInd w:val="0"/>
                    <w:snapToGrid w:val="0"/>
                    <w:spacing w:line="320" w:lineRule="exact"/>
                    <w:jc w:val="center"/>
                    <w:rPr>
                      <w:szCs w:val="21"/>
                    </w:rPr>
                  </w:pPr>
                  <w:r>
                    <w:rPr>
                      <w:szCs w:val="21"/>
                    </w:rPr>
                    <w:t>符合性</w:t>
                  </w:r>
                </w:p>
              </w:tc>
            </w:tr>
            <w:tr w14:paraId="4A00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67" w:type="pct"/>
                  <w:vAlign w:val="center"/>
                </w:tcPr>
                <w:p w14:paraId="4BAD4021">
                  <w:pPr>
                    <w:adjustRightInd w:val="0"/>
                    <w:snapToGrid w:val="0"/>
                    <w:spacing w:line="320" w:lineRule="exact"/>
                    <w:jc w:val="center"/>
                    <w:rPr>
                      <w:szCs w:val="21"/>
                    </w:rPr>
                  </w:pPr>
                  <w:r>
                    <w:rPr>
                      <w:szCs w:val="21"/>
                    </w:rPr>
                    <w:t>1</w:t>
                  </w:r>
                </w:p>
              </w:tc>
              <w:tc>
                <w:tcPr>
                  <w:tcW w:w="2365" w:type="pct"/>
                  <w:vAlign w:val="center"/>
                </w:tcPr>
                <w:p w14:paraId="1796A8BA">
                  <w:pPr>
                    <w:adjustRightInd w:val="0"/>
                    <w:snapToGrid w:val="0"/>
                    <w:spacing w:line="320" w:lineRule="exact"/>
                    <w:rPr>
                      <w:snapToGrid w:val="0"/>
                      <w:szCs w:val="21"/>
                    </w:rPr>
                  </w:pPr>
                  <w:r>
                    <w:rPr>
                      <w:szCs w:val="21"/>
                    </w:rPr>
                    <w:t>工业项目应符合产业政策，不得采用国家和本市淘汰的或禁止使用的工艺、技术和设备，不得建设生产工艺或污染防治技术不成熟的项目</w:t>
                  </w:r>
                </w:p>
              </w:tc>
              <w:tc>
                <w:tcPr>
                  <w:tcW w:w="1749" w:type="pct"/>
                  <w:vAlign w:val="center"/>
                </w:tcPr>
                <w:p w14:paraId="0EDCC43B">
                  <w:pPr>
                    <w:adjustRightInd w:val="0"/>
                    <w:snapToGrid w:val="0"/>
                    <w:spacing w:line="320" w:lineRule="exact"/>
                    <w:jc w:val="center"/>
                    <w:rPr>
                      <w:szCs w:val="21"/>
                    </w:rPr>
                  </w:pPr>
                  <w:r>
                    <w:rPr>
                      <w:szCs w:val="21"/>
                    </w:rPr>
                    <w:t>本项目符合国家产业政策，未采用国家和重庆市明文规定淘汰的、落后的或禁止使用的工艺、技术和设备</w:t>
                  </w:r>
                </w:p>
              </w:tc>
              <w:tc>
                <w:tcPr>
                  <w:tcW w:w="517" w:type="pct"/>
                  <w:vAlign w:val="center"/>
                </w:tcPr>
                <w:p w14:paraId="773AEC63">
                  <w:pPr>
                    <w:adjustRightInd w:val="0"/>
                    <w:snapToGrid w:val="0"/>
                    <w:spacing w:line="320" w:lineRule="exact"/>
                    <w:jc w:val="center"/>
                    <w:rPr>
                      <w:szCs w:val="21"/>
                    </w:rPr>
                  </w:pPr>
                  <w:r>
                    <w:rPr>
                      <w:szCs w:val="21"/>
                    </w:rPr>
                    <w:t>符合</w:t>
                  </w:r>
                </w:p>
              </w:tc>
            </w:tr>
            <w:tr w14:paraId="128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367" w:type="pct"/>
                  <w:vAlign w:val="center"/>
                </w:tcPr>
                <w:p w14:paraId="40D4E041">
                  <w:pPr>
                    <w:adjustRightInd w:val="0"/>
                    <w:snapToGrid w:val="0"/>
                    <w:spacing w:line="320" w:lineRule="exact"/>
                    <w:jc w:val="center"/>
                    <w:rPr>
                      <w:szCs w:val="21"/>
                    </w:rPr>
                  </w:pPr>
                  <w:r>
                    <w:rPr>
                      <w:szCs w:val="21"/>
                    </w:rPr>
                    <w:t>2</w:t>
                  </w:r>
                </w:p>
              </w:tc>
              <w:tc>
                <w:tcPr>
                  <w:tcW w:w="2365" w:type="pct"/>
                  <w:vAlign w:val="center"/>
                </w:tcPr>
                <w:p w14:paraId="6AD43CC2">
                  <w:pPr>
                    <w:adjustRightInd w:val="0"/>
                    <w:snapToGrid w:val="0"/>
                    <w:spacing w:line="320" w:lineRule="exact"/>
                    <w:rPr>
                      <w:snapToGrid w:val="0"/>
                      <w:szCs w:val="21"/>
                    </w:rPr>
                  </w:pPr>
                  <w:r>
                    <w:rPr>
                      <w:szCs w:val="21"/>
                    </w:rPr>
                    <w:t>本市新建和改造的工业项目清洁生产水平不得低于国家清洁生产标准的国内基本水平。其中，</w:t>
                  </w:r>
                  <w:r>
                    <w:rPr>
                      <w:rFonts w:hint="eastAsia"/>
                      <w:szCs w:val="21"/>
                    </w:rPr>
                    <w:t>“</w:t>
                  </w:r>
                  <w:r>
                    <w:rPr>
                      <w:szCs w:val="21"/>
                    </w:rPr>
                    <w:t>一小时经济圈</w:t>
                  </w:r>
                  <w:r>
                    <w:rPr>
                      <w:rFonts w:hint="eastAsia"/>
                      <w:szCs w:val="21"/>
                    </w:rPr>
                    <w:t>”</w:t>
                  </w:r>
                  <w:r>
                    <w:rPr>
                      <w:szCs w:val="21"/>
                    </w:rPr>
                    <w:t>和国家级开发区内的，应达到国内先进水平</w:t>
                  </w:r>
                </w:p>
              </w:tc>
              <w:tc>
                <w:tcPr>
                  <w:tcW w:w="1749" w:type="pct"/>
                  <w:vAlign w:val="center"/>
                </w:tcPr>
                <w:p w14:paraId="01162E13">
                  <w:pPr>
                    <w:adjustRightInd w:val="0"/>
                    <w:snapToGrid w:val="0"/>
                    <w:spacing w:line="320" w:lineRule="exact"/>
                    <w:jc w:val="center"/>
                    <w:rPr>
                      <w:szCs w:val="21"/>
                    </w:rPr>
                  </w:pPr>
                  <w:r>
                    <w:rPr>
                      <w:szCs w:val="21"/>
                    </w:rPr>
                    <w:t>项目采用先进的生产工艺和设备，从源头抓起，最大限度地控制污染物的排放，其清洁生产水平预计可达国内先进水平</w:t>
                  </w:r>
                </w:p>
              </w:tc>
              <w:tc>
                <w:tcPr>
                  <w:tcW w:w="517" w:type="pct"/>
                  <w:vAlign w:val="center"/>
                </w:tcPr>
                <w:p w14:paraId="2E3979BC">
                  <w:pPr>
                    <w:adjustRightInd w:val="0"/>
                    <w:snapToGrid w:val="0"/>
                    <w:spacing w:line="320" w:lineRule="exact"/>
                    <w:jc w:val="center"/>
                    <w:rPr>
                      <w:szCs w:val="21"/>
                    </w:rPr>
                  </w:pPr>
                  <w:r>
                    <w:rPr>
                      <w:szCs w:val="21"/>
                    </w:rPr>
                    <w:t>符合</w:t>
                  </w:r>
                </w:p>
              </w:tc>
            </w:tr>
            <w:tr w14:paraId="5CB3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5" w:hRule="atLeast"/>
                <w:jc w:val="center"/>
              </w:trPr>
              <w:tc>
                <w:tcPr>
                  <w:tcW w:w="367" w:type="pct"/>
                  <w:vAlign w:val="center"/>
                </w:tcPr>
                <w:p w14:paraId="1B6DDDBB">
                  <w:pPr>
                    <w:adjustRightInd w:val="0"/>
                    <w:snapToGrid w:val="0"/>
                    <w:spacing w:line="320" w:lineRule="exact"/>
                    <w:jc w:val="center"/>
                    <w:rPr>
                      <w:szCs w:val="21"/>
                    </w:rPr>
                  </w:pPr>
                  <w:r>
                    <w:rPr>
                      <w:szCs w:val="21"/>
                    </w:rPr>
                    <w:t>3</w:t>
                  </w:r>
                </w:p>
              </w:tc>
              <w:tc>
                <w:tcPr>
                  <w:tcW w:w="2365" w:type="pct"/>
                  <w:vAlign w:val="center"/>
                </w:tcPr>
                <w:p w14:paraId="7DA235B7">
                  <w:pPr>
                    <w:adjustRightInd w:val="0"/>
                    <w:snapToGrid w:val="0"/>
                    <w:spacing w:line="320" w:lineRule="exact"/>
                    <w:rPr>
                      <w:szCs w:val="21"/>
                    </w:rPr>
                  </w:pPr>
                  <w:r>
                    <w:rPr>
                      <w:szCs w:val="21"/>
                    </w:rPr>
                    <w:t>工业项目选址应符合产业发展规划、城乡总体规划、土地利用规划等规划。新建有污染物排放的工业项目应进入工业园区或工业集中区</w:t>
                  </w:r>
                </w:p>
              </w:tc>
              <w:tc>
                <w:tcPr>
                  <w:tcW w:w="1749" w:type="pct"/>
                  <w:vAlign w:val="center"/>
                </w:tcPr>
                <w:p w14:paraId="4B5D5A6F">
                  <w:pPr>
                    <w:adjustRightInd w:val="0"/>
                    <w:snapToGrid w:val="0"/>
                    <w:spacing w:line="320" w:lineRule="exact"/>
                    <w:jc w:val="center"/>
                    <w:rPr>
                      <w:szCs w:val="21"/>
                    </w:rPr>
                  </w:pPr>
                  <w:r>
                    <w:rPr>
                      <w:szCs w:val="21"/>
                    </w:rPr>
                    <w:t>本项目位于</w:t>
                  </w:r>
                  <w:r>
                    <w:rPr>
                      <w:rFonts w:hint="eastAsia"/>
                      <w:szCs w:val="21"/>
                    </w:rPr>
                    <w:t>重庆市涪陵区李渡工业园区</w:t>
                  </w:r>
                </w:p>
              </w:tc>
              <w:tc>
                <w:tcPr>
                  <w:tcW w:w="517" w:type="pct"/>
                  <w:vAlign w:val="center"/>
                </w:tcPr>
                <w:p w14:paraId="374AD195">
                  <w:pPr>
                    <w:adjustRightInd w:val="0"/>
                    <w:snapToGrid w:val="0"/>
                    <w:spacing w:line="320" w:lineRule="exact"/>
                    <w:jc w:val="center"/>
                    <w:rPr>
                      <w:szCs w:val="21"/>
                    </w:rPr>
                  </w:pPr>
                  <w:r>
                    <w:rPr>
                      <w:szCs w:val="21"/>
                    </w:rPr>
                    <w:t>符合</w:t>
                  </w:r>
                </w:p>
              </w:tc>
            </w:tr>
            <w:tr w14:paraId="6141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 w:hRule="atLeast"/>
                <w:jc w:val="center"/>
              </w:trPr>
              <w:tc>
                <w:tcPr>
                  <w:tcW w:w="367" w:type="pct"/>
                  <w:vAlign w:val="center"/>
                </w:tcPr>
                <w:p w14:paraId="4411F0BF">
                  <w:pPr>
                    <w:adjustRightInd w:val="0"/>
                    <w:snapToGrid w:val="0"/>
                    <w:spacing w:line="320" w:lineRule="exact"/>
                    <w:jc w:val="center"/>
                    <w:rPr>
                      <w:szCs w:val="21"/>
                    </w:rPr>
                  </w:pPr>
                  <w:r>
                    <w:rPr>
                      <w:szCs w:val="21"/>
                    </w:rPr>
                    <w:t>4</w:t>
                  </w:r>
                </w:p>
              </w:tc>
              <w:tc>
                <w:tcPr>
                  <w:tcW w:w="2365" w:type="pct"/>
                  <w:vAlign w:val="center"/>
                </w:tcPr>
                <w:p w14:paraId="17C36839">
                  <w:pPr>
                    <w:adjustRightInd w:val="0"/>
                    <w:snapToGrid w:val="0"/>
                    <w:spacing w:line="320" w:lineRule="exact"/>
                    <w:rPr>
                      <w:szCs w:val="21"/>
                    </w:rPr>
                  </w:pPr>
                  <w:r>
                    <w:rPr>
                      <w:szCs w:val="21"/>
                    </w:rPr>
                    <w:t>在长江、嘉陵江主城区江段及其上游沿江河地区严格限制建设可能对饮用水源带来安全隐患的化工、造纸、印染及排放有毒有害物质和重金属的工业项目</w:t>
                  </w:r>
                </w:p>
              </w:tc>
              <w:tc>
                <w:tcPr>
                  <w:tcW w:w="1749" w:type="pct"/>
                  <w:vAlign w:val="center"/>
                </w:tcPr>
                <w:p w14:paraId="648168EC">
                  <w:pPr>
                    <w:adjustRightInd w:val="0"/>
                    <w:snapToGrid w:val="0"/>
                    <w:spacing w:line="320" w:lineRule="exact"/>
                    <w:jc w:val="center"/>
                    <w:rPr>
                      <w:szCs w:val="21"/>
                    </w:rPr>
                  </w:pPr>
                  <w:r>
                    <w:rPr>
                      <w:szCs w:val="21"/>
                    </w:rPr>
                    <w:t>本项目不属于可能对饮用水源带来安全隐患的化工、造纸、印染及排放有毒有害物质和重金属的工业项目</w:t>
                  </w:r>
                </w:p>
              </w:tc>
              <w:tc>
                <w:tcPr>
                  <w:tcW w:w="517" w:type="pct"/>
                  <w:vAlign w:val="center"/>
                </w:tcPr>
                <w:p w14:paraId="62045E93">
                  <w:pPr>
                    <w:adjustRightInd w:val="0"/>
                    <w:snapToGrid w:val="0"/>
                    <w:spacing w:line="320" w:lineRule="exact"/>
                    <w:jc w:val="center"/>
                    <w:rPr>
                      <w:szCs w:val="21"/>
                    </w:rPr>
                  </w:pPr>
                  <w:r>
                    <w:rPr>
                      <w:szCs w:val="21"/>
                    </w:rPr>
                    <w:t>符合</w:t>
                  </w:r>
                </w:p>
              </w:tc>
            </w:tr>
            <w:tr w14:paraId="6EC9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367" w:type="pct"/>
                  <w:vAlign w:val="center"/>
                </w:tcPr>
                <w:p w14:paraId="706E70F7">
                  <w:pPr>
                    <w:adjustRightInd w:val="0"/>
                    <w:snapToGrid w:val="0"/>
                    <w:spacing w:line="320" w:lineRule="exact"/>
                    <w:jc w:val="center"/>
                    <w:rPr>
                      <w:szCs w:val="21"/>
                    </w:rPr>
                  </w:pPr>
                  <w:r>
                    <w:rPr>
                      <w:szCs w:val="21"/>
                    </w:rPr>
                    <w:t>5</w:t>
                  </w:r>
                </w:p>
              </w:tc>
              <w:tc>
                <w:tcPr>
                  <w:tcW w:w="2365" w:type="pct"/>
                  <w:vAlign w:val="center"/>
                </w:tcPr>
                <w:p w14:paraId="4A1A84E1">
                  <w:pPr>
                    <w:adjustRightInd w:val="0"/>
                    <w:snapToGrid w:val="0"/>
                    <w:spacing w:line="320" w:lineRule="exact"/>
                    <w:rPr>
                      <w:szCs w:val="21"/>
                    </w:rPr>
                  </w:pPr>
                  <w:r>
                    <w:rPr>
                      <w:szCs w:val="21"/>
                    </w:rPr>
                    <w:t>在主城区禁止新建、改建、扩建以煤、重油为燃料的工业项目；在合川区、江津区、长寿区、璧山县等地区严格限制新建、扩建可能对主城区大气产生影响的燃用煤、重油等高污染燃料的工业项目</w:t>
                  </w:r>
                </w:p>
              </w:tc>
              <w:tc>
                <w:tcPr>
                  <w:tcW w:w="1749" w:type="pct"/>
                  <w:vAlign w:val="center"/>
                </w:tcPr>
                <w:p w14:paraId="6A203E45">
                  <w:pPr>
                    <w:adjustRightInd w:val="0"/>
                    <w:snapToGrid w:val="0"/>
                    <w:spacing w:line="320" w:lineRule="exact"/>
                    <w:jc w:val="center"/>
                    <w:rPr>
                      <w:szCs w:val="21"/>
                    </w:rPr>
                  </w:pPr>
                  <w:r>
                    <w:rPr>
                      <w:szCs w:val="21"/>
                    </w:rPr>
                    <w:t>项目不使用对主城区大气产生影响的燃用煤、重油等高污染燃料</w:t>
                  </w:r>
                </w:p>
              </w:tc>
              <w:tc>
                <w:tcPr>
                  <w:tcW w:w="517" w:type="pct"/>
                  <w:vAlign w:val="center"/>
                </w:tcPr>
                <w:p w14:paraId="1FCF3509">
                  <w:pPr>
                    <w:adjustRightInd w:val="0"/>
                    <w:snapToGrid w:val="0"/>
                    <w:spacing w:line="320" w:lineRule="exact"/>
                    <w:jc w:val="center"/>
                    <w:rPr>
                      <w:szCs w:val="21"/>
                    </w:rPr>
                  </w:pPr>
                  <w:r>
                    <w:rPr>
                      <w:szCs w:val="21"/>
                    </w:rPr>
                    <w:t>符合</w:t>
                  </w:r>
                </w:p>
              </w:tc>
            </w:tr>
            <w:tr w14:paraId="5DD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5" w:hRule="atLeast"/>
                <w:jc w:val="center"/>
              </w:trPr>
              <w:tc>
                <w:tcPr>
                  <w:tcW w:w="367" w:type="pct"/>
                  <w:vAlign w:val="center"/>
                </w:tcPr>
                <w:p w14:paraId="60AB0BE8">
                  <w:pPr>
                    <w:adjustRightInd w:val="0"/>
                    <w:snapToGrid w:val="0"/>
                    <w:spacing w:line="320" w:lineRule="exact"/>
                    <w:jc w:val="center"/>
                    <w:rPr>
                      <w:szCs w:val="21"/>
                    </w:rPr>
                  </w:pPr>
                  <w:r>
                    <w:rPr>
                      <w:szCs w:val="21"/>
                    </w:rPr>
                    <w:t>6</w:t>
                  </w:r>
                </w:p>
              </w:tc>
              <w:tc>
                <w:tcPr>
                  <w:tcW w:w="2365" w:type="pct"/>
                  <w:vAlign w:val="center"/>
                </w:tcPr>
                <w:p w14:paraId="0E1B0405">
                  <w:pPr>
                    <w:adjustRightInd w:val="0"/>
                    <w:snapToGrid w:val="0"/>
                    <w:spacing w:line="320" w:lineRule="exact"/>
                    <w:rPr>
                      <w:szCs w:val="21"/>
                      <w:highlight w:val="yellow"/>
                    </w:rPr>
                  </w:pPr>
                  <w:r>
                    <w:rPr>
                      <w:szCs w:val="21"/>
                    </w:rPr>
                    <w:t>工业项目选址区域应有相应的环境容量，新增主要污染物排放量的工业项目必须取得排污指标，不得影响污染物总量减排计划的完成。未按要求完成污染物总量削减任务的企业、流域和区域，不得建设新增相应污染物排放量的工业项目</w:t>
                  </w:r>
                </w:p>
              </w:tc>
              <w:tc>
                <w:tcPr>
                  <w:tcW w:w="1749" w:type="pct"/>
                  <w:vAlign w:val="center"/>
                </w:tcPr>
                <w:p w14:paraId="0073EE56">
                  <w:pPr>
                    <w:autoSpaceDE w:val="0"/>
                    <w:autoSpaceDN w:val="0"/>
                    <w:adjustRightInd w:val="0"/>
                    <w:jc w:val="left"/>
                    <w:rPr>
                      <w:rFonts w:ascii="宋体" w:hAnsi="宋体" w:cs="宋体"/>
                      <w:kern w:val="0"/>
                      <w:szCs w:val="21"/>
                    </w:rPr>
                  </w:pPr>
                  <w:r>
                    <w:rPr>
                      <w:rFonts w:ascii="宋体" w:hAnsi="宋体" w:cs="宋体"/>
                      <w:kern w:val="0"/>
                      <w:szCs w:val="21"/>
                    </w:rPr>
                    <w:t>环境现状监测表明，项目选</w:t>
                  </w:r>
                </w:p>
                <w:p w14:paraId="10B098D7">
                  <w:pPr>
                    <w:autoSpaceDE w:val="0"/>
                    <w:autoSpaceDN w:val="0"/>
                    <w:adjustRightInd w:val="0"/>
                    <w:jc w:val="left"/>
                    <w:rPr>
                      <w:rFonts w:ascii="宋体" w:hAnsi="宋体" w:cs="宋体"/>
                      <w:kern w:val="0"/>
                      <w:szCs w:val="21"/>
                    </w:rPr>
                  </w:pPr>
                  <w:r>
                    <w:rPr>
                      <w:rFonts w:ascii="宋体" w:hAnsi="宋体" w:cs="宋体"/>
                      <w:kern w:val="0"/>
                      <w:szCs w:val="21"/>
                    </w:rPr>
                    <w:t>址区域环境空气、地表水环</w:t>
                  </w:r>
                </w:p>
                <w:p w14:paraId="69202076">
                  <w:pPr>
                    <w:autoSpaceDE w:val="0"/>
                    <w:autoSpaceDN w:val="0"/>
                    <w:adjustRightInd w:val="0"/>
                    <w:jc w:val="left"/>
                    <w:rPr>
                      <w:rFonts w:ascii="宋体" w:hAnsi="宋体" w:cs="宋体"/>
                      <w:kern w:val="0"/>
                      <w:szCs w:val="21"/>
                    </w:rPr>
                  </w:pPr>
                  <w:r>
                    <w:rPr>
                      <w:rFonts w:ascii="宋体" w:hAnsi="宋体" w:cs="宋体"/>
                      <w:kern w:val="0"/>
                      <w:szCs w:val="21"/>
                    </w:rPr>
                    <w:t>境现状质量较好，有一定的</w:t>
                  </w:r>
                </w:p>
                <w:p w14:paraId="7E27A8CC">
                  <w:pPr>
                    <w:autoSpaceDE w:val="0"/>
                    <w:autoSpaceDN w:val="0"/>
                    <w:adjustRightInd w:val="0"/>
                    <w:jc w:val="left"/>
                    <w:rPr>
                      <w:rFonts w:ascii="宋体" w:hAnsi="宋体" w:cs="宋体"/>
                      <w:kern w:val="0"/>
                      <w:szCs w:val="21"/>
                    </w:rPr>
                  </w:pPr>
                  <w:r>
                    <w:rPr>
                      <w:rFonts w:ascii="宋体" w:hAnsi="宋体" w:cs="宋体"/>
                      <w:kern w:val="0"/>
                      <w:szCs w:val="21"/>
                    </w:rPr>
                    <w:t>环境容量。本项目营运期废</w:t>
                  </w:r>
                </w:p>
                <w:p w14:paraId="05557D2E">
                  <w:pPr>
                    <w:autoSpaceDE w:val="0"/>
                    <w:autoSpaceDN w:val="0"/>
                    <w:adjustRightInd w:val="0"/>
                    <w:jc w:val="left"/>
                    <w:rPr>
                      <w:rFonts w:ascii="宋体" w:hAnsi="宋体" w:cs="宋体"/>
                      <w:kern w:val="0"/>
                      <w:szCs w:val="21"/>
                    </w:rPr>
                  </w:pPr>
                  <w:r>
                    <w:rPr>
                      <w:rFonts w:ascii="宋体" w:hAnsi="宋体" w:cs="宋体"/>
                      <w:kern w:val="0"/>
                      <w:szCs w:val="21"/>
                    </w:rPr>
                    <w:t>气、废水污染物采取措施处</w:t>
                  </w:r>
                </w:p>
                <w:p w14:paraId="64CB08E1">
                  <w:pPr>
                    <w:autoSpaceDE w:val="0"/>
                    <w:autoSpaceDN w:val="0"/>
                    <w:adjustRightInd w:val="0"/>
                    <w:jc w:val="left"/>
                    <w:rPr>
                      <w:rFonts w:ascii="宋体" w:hAnsi="宋体" w:cs="宋体"/>
                      <w:kern w:val="0"/>
                      <w:szCs w:val="21"/>
                    </w:rPr>
                  </w:pPr>
                  <w:r>
                    <w:rPr>
                      <w:rFonts w:ascii="宋体" w:hAnsi="宋体" w:cs="宋体"/>
                      <w:kern w:val="0"/>
                      <w:szCs w:val="21"/>
                    </w:rPr>
                    <w:t>理后达标排放，对环境影响</w:t>
                  </w:r>
                </w:p>
                <w:p w14:paraId="63E0A4F5">
                  <w:pPr>
                    <w:autoSpaceDE w:val="0"/>
                    <w:autoSpaceDN w:val="0"/>
                    <w:adjustRightInd w:val="0"/>
                    <w:jc w:val="left"/>
                    <w:rPr>
                      <w:rFonts w:ascii="宋体" w:hAnsi="宋体" w:cs="宋体"/>
                      <w:kern w:val="0"/>
                      <w:szCs w:val="21"/>
                    </w:rPr>
                  </w:pPr>
                  <w:r>
                    <w:rPr>
                      <w:rFonts w:ascii="宋体" w:hAnsi="宋体" w:cs="宋体"/>
                      <w:kern w:val="0"/>
                      <w:szCs w:val="21"/>
                    </w:rPr>
                    <w:t>较小。项目按要求取得排污</w:t>
                  </w:r>
                </w:p>
                <w:p w14:paraId="6C67C2CB">
                  <w:pPr>
                    <w:adjustRightInd w:val="0"/>
                    <w:snapToGrid w:val="0"/>
                    <w:spacing w:line="320" w:lineRule="exact"/>
                    <w:jc w:val="center"/>
                    <w:rPr>
                      <w:szCs w:val="21"/>
                      <w:highlight w:val="yellow"/>
                    </w:rPr>
                  </w:pPr>
                  <w:r>
                    <w:rPr>
                      <w:rFonts w:ascii="宋体" w:hAnsi="宋体" w:cs="宋体"/>
                      <w:kern w:val="0"/>
                      <w:szCs w:val="21"/>
                    </w:rPr>
                    <w:t>指标。</w:t>
                  </w:r>
                </w:p>
              </w:tc>
              <w:tc>
                <w:tcPr>
                  <w:tcW w:w="517" w:type="pct"/>
                  <w:vAlign w:val="center"/>
                </w:tcPr>
                <w:p w14:paraId="2A46A48A">
                  <w:pPr>
                    <w:adjustRightInd w:val="0"/>
                    <w:snapToGrid w:val="0"/>
                    <w:spacing w:line="320" w:lineRule="exact"/>
                    <w:jc w:val="center"/>
                    <w:rPr>
                      <w:szCs w:val="21"/>
                    </w:rPr>
                  </w:pPr>
                  <w:r>
                    <w:rPr>
                      <w:szCs w:val="21"/>
                    </w:rPr>
                    <w:t>符合</w:t>
                  </w:r>
                </w:p>
              </w:tc>
            </w:tr>
            <w:tr w14:paraId="1B78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367" w:type="pct"/>
                  <w:vAlign w:val="center"/>
                </w:tcPr>
                <w:p w14:paraId="0BFBA3C6">
                  <w:pPr>
                    <w:adjustRightInd w:val="0"/>
                    <w:snapToGrid w:val="0"/>
                    <w:spacing w:line="320" w:lineRule="exact"/>
                    <w:jc w:val="center"/>
                    <w:rPr>
                      <w:szCs w:val="21"/>
                    </w:rPr>
                  </w:pPr>
                  <w:r>
                    <w:rPr>
                      <w:szCs w:val="21"/>
                    </w:rPr>
                    <w:t>7</w:t>
                  </w:r>
                </w:p>
              </w:tc>
              <w:tc>
                <w:tcPr>
                  <w:tcW w:w="2365" w:type="pct"/>
                  <w:vAlign w:val="center"/>
                </w:tcPr>
                <w:p w14:paraId="28D10F48">
                  <w:pPr>
                    <w:adjustRightInd w:val="0"/>
                    <w:snapToGrid w:val="0"/>
                    <w:spacing w:line="320" w:lineRule="exact"/>
                    <w:rPr>
                      <w:szCs w:val="21"/>
                      <w:highlight w:val="yellow"/>
                    </w:rPr>
                  </w:pPr>
                  <w:r>
                    <w:rPr>
                      <w:szCs w:val="21"/>
                    </w:rPr>
                    <w:t>新建、改建、扩建工业项目所在地大气、水环境主要污染物现状浓度占标准值90%-100%的，项目所在地应按该项目新增污染物排放量的1.5倍削减现有污染物排放量</w:t>
                  </w:r>
                </w:p>
              </w:tc>
              <w:tc>
                <w:tcPr>
                  <w:tcW w:w="1749" w:type="pct"/>
                  <w:vAlign w:val="center"/>
                </w:tcPr>
                <w:p w14:paraId="7208A044">
                  <w:pPr>
                    <w:autoSpaceDE w:val="0"/>
                    <w:autoSpaceDN w:val="0"/>
                    <w:adjustRightInd w:val="0"/>
                    <w:jc w:val="left"/>
                    <w:rPr>
                      <w:rFonts w:eastAsiaTheme="minorEastAsia"/>
                      <w:kern w:val="0"/>
                      <w:szCs w:val="21"/>
                    </w:rPr>
                  </w:pPr>
                  <w:r>
                    <w:rPr>
                      <w:rFonts w:hint="eastAsia" w:hAnsiTheme="minorEastAsia" w:eastAsiaTheme="minorEastAsia"/>
                      <w:kern w:val="0"/>
                      <w:szCs w:val="21"/>
                    </w:rPr>
                    <w:t>涪陵区</w:t>
                  </w:r>
                  <w:r>
                    <w:rPr>
                      <w:rFonts w:eastAsiaTheme="minorEastAsia"/>
                      <w:kern w:val="0"/>
                      <w:szCs w:val="21"/>
                    </w:rPr>
                    <w:t xml:space="preserve">2021 </w:t>
                  </w:r>
                  <w:r>
                    <w:rPr>
                      <w:rFonts w:hAnsiTheme="minorEastAsia" w:eastAsiaTheme="minorEastAsia"/>
                      <w:kern w:val="0"/>
                      <w:szCs w:val="21"/>
                    </w:rPr>
                    <w:t>年为环境空气</w:t>
                  </w:r>
                </w:p>
                <w:p w14:paraId="32BCF5D1">
                  <w:pPr>
                    <w:autoSpaceDE w:val="0"/>
                    <w:autoSpaceDN w:val="0"/>
                    <w:adjustRightInd w:val="0"/>
                    <w:jc w:val="left"/>
                    <w:rPr>
                      <w:rFonts w:eastAsiaTheme="minorEastAsia"/>
                      <w:kern w:val="0"/>
                      <w:szCs w:val="21"/>
                    </w:rPr>
                  </w:pPr>
                  <w:r>
                    <w:rPr>
                      <w:rFonts w:hAnsiTheme="minorEastAsia" w:eastAsiaTheme="minorEastAsia"/>
                      <w:kern w:val="0"/>
                      <w:szCs w:val="21"/>
                    </w:rPr>
                    <w:t>达标区。本项目涉及废气污染物非甲烷总烃现状浓度</w:t>
                  </w:r>
                </w:p>
                <w:p w14:paraId="49684286">
                  <w:pPr>
                    <w:adjustRightInd w:val="0"/>
                    <w:snapToGrid w:val="0"/>
                    <w:spacing w:line="320" w:lineRule="exact"/>
                    <w:jc w:val="center"/>
                    <w:rPr>
                      <w:szCs w:val="21"/>
                      <w:highlight w:val="yellow"/>
                    </w:rPr>
                  </w:pPr>
                  <w:r>
                    <w:rPr>
                      <w:rFonts w:hAnsiTheme="minorEastAsia" w:eastAsiaTheme="minorEastAsia"/>
                      <w:kern w:val="0"/>
                      <w:szCs w:val="21"/>
                    </w:rPr>
                    <w:t>低于</w:t>
                  </w:r>
                  <w:r>
                    <w:rPr>
                      <w:rFonts w:eastAsiaTheme="minorEastAsia"/>
                      <w:kern w:val="0"/>
                      <w:szCs w:val="21"/>
                    </w:rPr>
                    <w:t>90%</w:t>
                  </w:r>
                  <w:r>
                    <w:rPr>
                      <w:rFonts w:hAnsiTheme="minorEastAsia" w:eastAsiaTheme="minorEastAsia"/>
                      <w:kern w:val="0"/>
                      <w:szCs w:val="21"/>
                    </w:rPr>
                    <w:t>。</w:t>
                  </w:r>
                </w:p>
              </w:tc>
              <w:tc>
                <w:tcPr>
                  <w:tcW w:w="517" w:type="pct"/>
                  <w:vAlign w:val="center"/>
                </w:tcPr>
                <w:p w14:paraId="13A69A7A">
                  <w:pPr>
                    <w:adjustRightInd w:val="0"/>
                    <w:snapToGrid w:val="0"/>
                    <w:spacing w:line="320" w:lineRule="exact"/>
                    <w:jc w:val="center"/>
                    <w:rPr>
                      <w:szCs w:val="21"/>
                    </w:rPr>
                  </w:pPr>
                  <w:r>
                    <w:rPr>
                      <w:szCs w:val="21"/>
                    </w:rPr>
                    <w:t>符合</w:t>
                  </w:r>
                </w:p>
              </w:tc>
            </w:tr>
            <w:tr w14:paraId="43AF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367" w:type="pct"/>
                  <w:vAlign w:val="center"/>
                </w:tcPr>
                <w:p w14:paraId="06F06B3E">
                  <w:pPr>
                    <w:adjustRightInd w:val="0"/>
                    <w:snapToGrid w:val="0"/>
                    <w:spacing w:line="320" w:lineRule="exact"/>
                    <w:jc w:val="center"/>
                    <w:rPr>
                      <w:szCs w:val="21"/>
                    </w:rPr>
                  </w:pPr>
                  <w:r>
                    <w:rPr>
                      <w:szCs w:val="21"/>
                    </w:rPr>
                    <w:t>8</w:t>
                  </w:r>
                </w:p>
              </w:tc>
              <w:tc>
                <w:tcPr>
                  <w:tcW w:w="2365" w:type="pct"/>
                  <w:vAlign w:val="center"/>
                </w:tcPr>
                <w:p w14:paraId="6F4E7FCA">
                  <w:pPr>
                    <w:adjustRightInd w:val="0"/>
                    <w:snapToGrid w:val="0"/>
                    <w:spacing w:line="320" w:lineRule="exact"/>
                    <w:rPr>
                      <w:szCs w:val="21"/>
                    </w:rPr>
                  </w:pPr>
                  <w:r>
                    <w:rPr>
                      <w:szCs w:val="21"/>
                    </w:rPr>
                    <w:t>新增重金属排放量的工业项目应落实污染物排放指标来源，确保国家重金属重点防控区域重金属排放总量按计划削减，其余区域的重金属排放总量不增加。优先保障市级重点项目的重金属污染物排放指标</w:t>
                  </w:r>
                </w:p>
              </w:tc>
              <w:tc>
                <w:tcPr>
                  <w:tcW w:w="1749" w:type="pct"/>
                  <w:vAlign w:val="center"/>
                </w:tcPr>
                <w:p w14:paraId="602E6A69">
                  <w:pPr>
                    <w:adjustRightInd w:val="0"/>
                    <w:snapToGrid w:val="0"/>
                    <w:spacing w:line="320" w:lineRule="exact"/>
                    <w:jc w:val="center"/>
                    <w:rPr>
                      <w:szCs w:val="21"/>
                    </w:rPr>
                  </w:pPr>
                  <w:r>
                    <w:rPr>
                      <w:rFonts w:hint="eastAsia"/>
                      <w:szCs w:val="21"/>
                    </w:rPr>
                    <w:t>不涉及</w:t>
                  </w:r>
                  <w:r>
                    <w:rPr>
                      <w:szCs w:val="21"/>
                    </w:rPr>
                    <w:t>重金属</w:t>
                  </w:r>
                  <w:r>
                    <w:rPr>
                      <w:rFonts w:hint="eastAsia"/>
                      <w:szCs w:val="21"/>
                    </w:rPr>
                    <w:t>污染物</w:t>
                  </w:r>
                  <w:r>
                    <w:rPr>
                      <w:szCs w:val="21"/>
                    </w:rPr>
                    <w:t>排放</w:t>
                  </w:r>
                </w:p>
              </w:tc>
              <w:tc>
                <w:tcPr>
                  <w:tcW w:w="517" w:type="pct"/>
                  <w:vAlign w:val="center"/>
                </w:tcPr>
                <w:p w14:paraId="48F557CA">
                  <w:pPr>
                    <w:adjustRightInd w:val="0"/>
                    <w:snapToGrid w:val="0"/>
                    <w:spacing w:line="320" w:lineRule="exact"/>
                    <w:jc w:val="center"/>
                    <w:rPr>
                      <w:szCs w:val="21"/>
                    </w:rPr>
                  </w:pPr>
                  <w:r>
                    <w:rPr>
                      <w:szCs w:val="21"/>
                    </w:rPr>
                    <w:t>符合</w:t>
                  </w:r>
                </w:p>
              </w:tc>
            </w:tr>
            <w:tr w14:paraId="457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67" w:type="pct"/>
                  <w:vAlign w:val="center"/>
                </w:tcPr>
                <w:p w14:paraId="1F65D299">
                  <w:pPr>
                    <w:adjustRightInd w:val="0"/>
                    <w:snapToGrid w:val="0"/>
                    <w:spacing w:line="320" w:lineRule="exact"/>
                    <w:jc w:val="center"/>
                    <w:rPr>
                      <w:szCs w:val="21"/>
                    </w:rPr>
                  </w:pPr>
                  <w:r>
                    <w:rPr>
                      <w:szCs w:val="21"/>
                    </w:rPr>
                    <w:t>9</w:t>
                  </w:r>
                </w:p>
              </w:tc>
              <w:tc>
                <w:tcPr>
                  <w:tcW w:w="2365" w:type="pct"/>
                  <w:vAlign w:val="center"/>
                </w:tcPr>
                <w:p w14:paraId="105DC621">
                  <w:pPr>
                    <w:adjustRightInd w:val="0"/>
                    <w:snapToGrid w:val="0"/>
                    <w:spacing w:line="320" w:lineRule="exact"/>
                    <w:rPr>
                      <w:szCs w:val="21"/>
                    </w:rPr>
                  </w:pPr>
                  <w:r>
                    <w:rPr>
                      <w:szCs w:val="21"/>
                    </w:rPr>
                    <w:t>禁止建设存在重大环境安全隐患的工业项目</w:t>
                  </w:r>
                </w:p>
              </w:tc>
              <w:tc>
                <w:tcPr>
                  <w:tcW w:w="1749" w:type="pct"/>
                  <w:vAlign w:val="center"/>
                </w:tcPr>
                <w:p w14:paraId="114C91FD">
                  <w:pPr>
                    <w:adjustRightInd w:val="0"/>
                    <w:snapToGrid w:val="0"/>
                    <w:spacing w:line="320" w:lineRule="exact"/>
                    <w:jc w:val="center"/>
                    <w:rPr>
                      <w:szCs w:val="21"/>
                    </w:rPr>
                  </w:pPr>
                  <w:r>
                    <w:rPr>
                      <w:szCs w:val="21"/>
                    </w:rPr>
                    <w:t>项目不存在重大环境安全隐患</w:t>
                  </w:r>
                </w:p>
              </w:tc>
              <w:tc>
                <w:tcPr>
                  <w:tcW w:w="517" w:type="pct"/>
                  <w:vAlign w:val="center"/>
                </w:tcPr>
                <w:p w14:paraId="6D923018">
                  <w:pPr>
                    <w:adjustRightInd w:val="0"/>
                    <w:snapToGrid w:val="0"/>
                    <w:spacing w:line="320" w:lineRule="exact"/>
                    <w:jc w:val="center"/>
                    <w:rPr>
                      <w:szCs w:val="21"/>
                    </w:rPr>
                  </w:pPr>
                  <w:r>
                    <w:rPr>
                      <w:szCs w:val="21"/>
                    </w:rPr>
                    <w:t>符合</w:t>
                  </w:r>
                </w:p>
              </w:tc>
            </w:tr>
            <w:tr w14:paraId="2FD6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67" w:type="pct"/>
                  <w:vAlign w:val="center"/>
                </w:tcPr>
                <w:p w14:paraId="77419DA5">
                  <w:pPr>
                    <w:adjustRightInd w:val="0"/>
                    <w:snapToGrid w:val="0"/>
                    <w:spacing w:line="320" w:lineRule="exact"/>
                    <w:jc w:val="center"/>
                    <w:rPr>
                      <w:szCs w:val="21"/>
                    </w:rPr>
                  </w:pPr>
                  <w:r>
                    <w:rPr>
                      <w:szCs w:val="21"/>
                    </w:rPr>
                    <w:t>10</w:t>
                  </w:r>
                </w:p>
              </w:tc>
              <w:tc>
                <w:tcPr>
                  <w:tcW w:w="2365" w:type="pct"/>
                  <w:vAlign w:val="center"/>
                </w:tcPr>
                <w:p w14:paraId="1DCF928D">
                  <w:pPr>
                    <w:adjustRightInd w:val="0"/>
                    <w:snapToGrid w:val="0"/>
                    <w:spacing w:line="320" w:lineRule="exact"/>
                    <w:rPr>
                      <w:szCs w:val="21"/>
                    </w:rPr>
                  </w:pPr>
                  <w:r>
                    <w:rPr>
                      <w:szCs w:val="21"/>
                    </w:rPr>
                    <w:t>工业项目排放污染物必须达到国家和地方规定的污染物排放标准，资源环境绩效水平应达到本规定要求</w:t>
                  </w:r>
                </w:p>
              </w:tc>
              <w:tc>
                <w:tcPr>
                  <w:tcW w:w="1749" w:type="pct"/>
                  <w:vAlign w:val="center"/>
                </w:tcPr>
                <w:p w14:paraId="03289110">
                  <w:pPr>
                    <w:adjustRightInd w:val="0"/>
                    <w:snapToGrid w:val="0"/>
                    <w:spacing w:line="320" w:lineRule="exact"/>
                    <w:jc w:val="center"/>
                    <w:rPr>
                      <w:szCs w:val="21"/>
                    </w:rPr>
                  </w:pPr>
                  <w:r>
                    <w:rPr>
                      <w:szCs w:val="21"/>
                    </w:rPr>
                    <w:t>项目在采取措施后，污染物可实现达标排放；规定中尚未对本项目行业提出资源环境绩效水平要求</w:t>
                  </w:r>
                </w:p>
              </w:tc>
              <w:tc>
                <w:tcPr>
                  <w:tcW w:w="517" w:type="pct"/>
                  <w:vAlign w:val="center"/>
                </w:tcPr>
                <w:p w14:paraId="3C16B82D">
                  <w:pPr>
                    <w:adjustRightInd w:val="0"/>
                    <w:snapToGrid w:val="0"/>
                    <w:spacing w:line="320" w:lineRule="exact"/>
                    <w:jc w:val="center"/>
                    <w:rPr>
                      <w:szCs w:val="21"/>
                    </w:rPr>
                  </w:pPr>
                  <w:r>
                    <w:rPr>
                      <w:szCs w:val="21"/>
                    </w:rPr>
                    <w:t>符合</w:t>
                  </w:r>
                </w:p>
              </w:tc>
            </w:tr>
          </w:tbl>
          <w:p w14:paraId="3A4D48BA">
            <w:pPr>
              <w:spacing w:line="460" w:lineRule="exact"/>
              <w:rPr>
                <w:b/>
                <w:spacing w:val="-2"/>
                <w:sz w:val="24"/>
              </w:rPr>
            </w:pPr>
            <w:r>
              <w:rPr>
                <w:rFonts w:hint="eastAsia"/>
                <w:b/>
                <w:spacing w:val="-2"/>
                <w:sz w:val="24"/>
              </w:rPr>
              <w:t>1.5 挥发性有机物防治政策符合性分析</w:t>
            </w:r>
          </w:p>
          <w:p w14:paraId="24B6E8AE">
            <w:pPr>
              <w:spacing w:line="460" w:lineRule="exact"/>
              <w:ind w:firstLine="474" w:firstLineChars="200"/>
              <w:rPr>
                <w:b/>
                <w:spacing w:val="-2"/>
                <w:sz w:val="24"/>
              </w:rPr>
            </w:pPr>
            <w:r>
              <w:rPr>
                <w:rFonts w:hint="eastAsia"/>
                <w:b/>
                <w:spacing w:val="-2"/>
                <w:sz w:val="24"/>
              </w:rPr>
              <w:t>1.5.1与《挥发性有机物无组织排放控制标准》符合性分析</w:t>
            </w:r>
          </w:p>
          <w:p w14:paraId="70F786B7">
            <w:pPr>
              <w:spacing w:line="460" w:lineRule="exact"/>
              <w:ind w:firstLine="472" w:firstLineChars="200"/>
              <w:rPr>
                <w:spacing w:val="-2"/>
                <w:sz w:val="24"/>
              </w:rPr>
            </w:pPr>
            <w:r>
              <w:rPr>
                <w:rFonts w:hint="eastAsia"/>
                <w:spacing w:val="-2"/>
                <w:sz w:val="24"/>
              </w:rPr>
              <w:t>《挥发性有机物无组织排放控制标准》（GB37822-2019）中对 VOCs 物料的储存、转运、使用过程提出了相关的管理要求。本项目所采取的措施与该文件的符合性对比分析详见表1.5-1。</w:t>
            </w:r>
          </w:p>
          <w:p w14:paraId="49B01419">
            <w:pPr>
              <w:spacing w:line="480" w:lineRule="exact"/>
              <w:jc w:val="center"/>
              <w:rPr>
                <w:b/>
                <w:spacing w:val="-2"/>
                <w:szCs w:val="21"/>
              </w:rPr>
            </w:pPr>
            <w:r>
              <w:rPr>
                <w:rFonts w:hAnsi="宋体"/>
                <w:b/>
                <w:spacing w:val="-2"/>
                <w:szCs w:val="21"/>
              </w:rPr>
              <w:t>表</w:t>
            </w:r>
            <w:r>
              <w:rPr>
                <w:rFonts w:hint="eastAsia"/>
                <w:b/>
                <w:spacing w:val="-2"/>
                <w:szCs w:val="21"/>
              </w:rPr>
              <w:t>1.5-1</w:t>
            </w:r>
            <w:r>
              <w:rPr>
                <w:b/>
                <w:spacing w:val="-2"/>
                <w:szCs w:val="21"/>
              </w:rPr>
              <w:t xml:space="preserve"> </w:t>
            </w:r>
            <w:r>
              <w:rPr>
                <w:rFonts w:hAnsi="宋体"/>
                <w:b/>
                <w:spacing w:val="-2"/>
                <w:szCs w:val="21"/>
              </w:rPr>
              <w:t>本项目与《挥发性有机物无组织排放控制标准》的符合性分析</w:t>
            </w:r>
          </w:p>
          <w:tbl>
            <w:tblPr>
              <w:tblStyle w:val="24"/>
              <w:tblW w:w="7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3972"/>
              <w:gridCol w:w="2549"/>
              <w:gridCol w:w="802"/>
            </w:tblGrid>
            <w:tr w14:paraId="3049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38F8BEB5">
                  <w:pPr>
                    <w:jc w:val="center"/>
                    <w:rPr>
                      <w:spacing w:val="-2"/>
                      <w:szCs w:val="21"/>
                    </w:rPr>
                  </w:pPr>
                  <w:r>
                    <w:rPr>
                      <w:spacing w:val="-2"/>
                      <w:szCs w:val="21"/>
                    </w:rPr>
                    <w:t>序号</w:t>
                  </w:r>
                </w:p>
              </w:tc>
              <w:tc>
                <w:tcPr>
                  <w:tcW w:w="3972" w:type="dxa"/>
                  <w:vAlign w:val="center"/>
                </w:tcPr>
                <w:p w14:paraId="7DFECE77">
                  <w:pPr>
                    <w:rPr>
                      <w:spacing w:val="-2"/>
                      <w:szCs w:val="21"/>
                    </w:rPr>
                  </w:pPr>
                  <w:r>
                    <w:rPr>
                      <w:spacing w:val="-2"/>
                      <w:szCs w:val="21"/>
                    </w:rPr>
                    <w:t>《挥发性有机物无组织排放控制标准》</w:t>
                  </w:r>
                </w:p>
              </w:tc>
              <w:tc>
                <w:tcPr>
                  <w:tcW w:w="2549" w:type="dxa"/>
                  <w:vAlign w:val="center"/>
                </w:tcPr>
                <w:p w14:paraId="024F29AC">
                  <w:pPr>
                    <w:rPr>
                      <w:spacing w:val="-2"/>
                      <w:szCs w:val="21"/>
                    </w:rPr>
                  </w:pPr>
                  <w:r>
                    <w:rPr>
                      <w:spacing w:val="-2"/>
                      <w:szCs w:val="21"/>
                    </w:rPr>
                    <w:t>本项目情况</w:t>
                  </w:r>
                </w:p>
              </w:tc>
              <w:tc>
                <w:tcPr>
                  <w:tcW w:w="802" w:type="dxa"/>
                  <w:vAlign w:val="center"/>
                </w:tcPr>
                <w:p w14:paraId="657C161C">
                  <w:pPr>
                    <w:jc w:val="center"/>
                    <w:rPr>
                      <w:spacing w:val="-2"/>
                      <w:szCs w:val="21"/>
                    </w:rPr>
                  </w:pPr>
                  <w:r>
                    <w:rPr>
                      <w:spacing w:val="-2"/>
                      <w:szCs w:val="21"/>
                    </w:rPr>
                    <w:t>符合性</w:t>
                  </w:r>
                </w:p>
              </w:tc>
            </w:tr>
            <w:tr w14:paraId="4A19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2BF669A9">
                  <w:pPr>
                    <w:jc w:val="center"/>
                    <w:rPr>
                      <w:spacing w:val="-2"/>
                      <w:szCs w:val="21"/>
                    </w:rPr>
                  </w:pPr>
                  <w:r>
                    <w:rPr>
                      <w:rFonts w:hint="eastAsia"/>
                      <w:spacing w:val="-2"/>
                      <w:szCs w:val="21"/>
                    </w:rPr>
                    <w:t>1</w:t>
                  </w:r>
                </w:p>
              </w:tc>
              <w:tc>
                <w:tcPr>
                  <w:tcW w:w="3972" w:type="dxa"/>
                  <w:vAlign w:val="center"/>
                </w:tcPr>
                <w:p w14:paraId="245F952D">
                  <w:pPr>
                    <w:rPr>
                      <w:spacing w:val="-2"/>
                      <w:szCs w:val="21"/>
                    </w:rPr>
                  </w:pPr>
                  <w:r>
                    <w:rPr>
                      <w:rFonts w:hint="eastAsia"/>
                      <w:spacing w:val="-2"/>
                      <w:szCs w:val="21"/>
                    </w:rPr>
                    <w:t>VOCs 物料应储存于密闭的容器、包装</w:t>
                  </w:r>
                </w:p>
                <w:p w14:paraId="49F53A76">
                  <w:pPr>
                    <w:rPr>
                      <w:spacing w:val="-2"/>
                      <w:szCs w:val="21"/>
                    </w:rPr>
                  </w:pPr>
                  <w:r>
                    <w:rPr>
                      <w:rFonts w:hint="eastAsia"/>
                      <w:spacing w:val="-2"/>
                      <w:szCs w:val="21"/>
                    </w:rPr>
                    <w:t>袋、储罐、储库、料仓中</w:t>
                  </w:r>
                </w:p>
              </w:tc>
              <w:tc>
                <w:tcPr>
                  <w:tcW w:w="2549" w:type="dxa"/>
                  <w:vAlign w:val="center"/>
                </w:tcPr>
                <w:p w14:paraId="58EE7618">
                  <w:pPr>
                    <w:rPr>
                      <w:spacing w:val="-2"/>
                      <w:szCs w:val="21"/>
                    </w:rPr>
                  </w:pPr>
                  <w:r>
                    <w:rPr>
                      <w:rFonts w:hint="eastAsia"/>
                      <w:spacing w:val="-2"/>
                      <w:szCs w:val="21"/>
                    </w:rPr>
                    <w:t>本项目的VOCs 物料均采用密闭罐装或管装</w:t>
                  </w:r>
                </w:p>
              </w:tc>
              <w:tc>
                <w:tcPr>
                  <w:tcW w:w="802" w:type="dxa"/>
                  <w:vAlign w:val="center"/>
                </w:tcPr>
                <w:p w14:paraId="5CBD2C2E">
                  <w:pPr>
                    <w:jc w:val="center"/>
                    <w:rPr>
                      <w:spacing w:val="-2"/>
                      <w:szCs w:val="21"/>
                    </w:rPr>
                  </w:pPr>
                  <w:r>
                    <w:rPr>
                      <w:rFonts w:hint="eastAsia"/>
                      <w:spacing w:val="-2"/>
                      <w:szCs w:val="21"/>
                    </w:rPr>
                    <w:t>符合</w:t>
                  </w:r>
                </w:p>
              </w:tc>
            </w:tr>
            <w:tr w14:paraId="3D80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429EE136">
                  <w:pPr>
                    <w:jc w:val="center"/>
                    <w:rPr>
                      <w:spacing w:val="-2"/>
                      <w:szCs w:val="21"/>
                    </w:rPr>
                  </w:pPr>
                  <w:r>
                    <w:rPr>
                      <w:rFonts w:hint="eastAsia"/>
                      <w:spacing w:val="-2"/>
                      <w:szCs w:val="21"/>
                    </w:rPr>
                    <w:t>2</w:t>
                  </w:r>
                </w:p>
              </w:tc>
              <w:tc>
                <w:tcPr>
                  <w:tcW w:w="3972" w:type="dxa"/>
                  <w:vAlign w:val="center"/>
                </w:tcPr>
                <w:p w14:paraId="69FBC2B1">
                  <w:pPr>
                    <w:rPr>
                      <w:spacing w:val="-2"/>
                      <w:szCs w:val="21"/>
                    </w:rPr>
                  </w:pPr>
                  <w:r>
                    <w:rPr>
                      <w:rFonts w:hint="eastAsia"/>
                      <w:spacing w:val="-2"/>
                      <w:szCs w:val="21"/>
                    </w:rPr>
                    <w:t>盛装 VOCs 物料的容器或包装袋应存放于室内，或存放于设置有雨棚，遮阳和防渗设施的专用场地。盛装 VOCs 物料的容器或包装袋在非取用状态时应加</w:t>
                  </w:r>
                </w:p>
                <w:p w14:paraId="7E055BDE">
                  <w:pPr>
                    <w:rPr>
                      <w:spacing w:val="-2"/>
                      <w:szCs w:val="21"/>
                    </w:rPr>
                  </w:pPr>
                  <w:r>
                    <w:rPr>
                      <w:rFonts w:hint="eastAsia"/>
                      <w:spacing w:val="-2"/>
                      <w:szCs w:val="21"/>
                    </w:rPr>
                    <w:t>盖、封口，保持密闭。</w:t>
                  </w:r>
                </w:p>
              </w:tc>
              <w:tc>
                <w:tcPr>
                  <w:tcW w:w="2549" w:type="dxa"/>
                  <w:vAlign w:val="center"/>
                </w:tcPr>
                <w:p w14:paraId="2BC32789">
                  <w:pPr>
                    <w:rPr>
                      <w:spacing w:val="-2"/>
                      <w:szCs w:val="21"/>
                    </w:rPr>
                  </w:pPr>
                  <w:r>
                    <w:rPr>
                      <w:rFonts w:hint="eastAsia"/>
                      <w:spacing w:val="-2"/>
                      <w:szCs w:val="21"/>
                    </w:rPr>
                    <w:t>本项目设置有专门的原辅料库房用于存放VOCs 物料，为密闭设计，不受雨淋和阳光照射，地面进行了防渗处理。盛装 VOCs 物料的容器在非取用时，均及时加盖封口保持了密封</w:t>
                  </w:r>
                </w:p>
              </w:tc>
              <w:tc>
                <w:tcPr>
                  <w:tcW w:w="802" w:type="dxa"/>
                  <w:vAlign w:val="center"/>
                </w:tcPr>
                <w:p w14:paraId="663C66E5">
                  <w:pPr>
                    <w:jc w:val="center"/>
                    <w:rPr>
                      <w:spacing w:val="-2"/>
                      <w:szCs w:val="21"/>
                    </w:rPr>
                  </w:pPr>
                  <w:r>
                    <w:rPr>
                      <w:rFonts w:hint="eastAsia"/>
                      <w:spacing w:val="-2"/>
                      <w:szCs w:val="21"/>
                    </w:rPr>
                    <w:t>符合</w:t>
                  </w:r>
                </w:p>
              </w:tc>
            </w:tr>
            <w:tr w14:paraId="3779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1765D373">
                  <w:pPr>
                    <w:jc w:val="center"/>
                    <w:rPr>
                      <w:spacing w:val="-2"/>
                      <w:szCs w:val="21"/>
                    </w:rPr>
                  </w:pPr>
                  <w:r>
                    <w:rPr>
                      <w:rFonts w:hint="eastAsia"/>
                      <w:spacing w:val="-2"/>
                      <w:szCs w:val="21"/>
                    </w:rPr>
                    <w:t>3</w:t>
                  </w:r>
                </w:p>
              </w:tc>
              <w:tc>
                <w:tcPr>
                  <w:tcW w:w="3972" w:type="dxa"/>
                  <w:vAlign w:val="center"/>
                </w:tcPr>
                <w:p w14:paraId="0FE90BB8">
                  <w:pPr>
                    <w:rPr>
                      <w:spacing w:val="-2"/>
                      <w:szCs w:val="21"/>
                    </w:rPr>
                  </w:pPr>
                  <w:r>
                    <w:rPr>
                      <w:rFonts w:hint="eastAsia"/>
                      <w:spacing w:val="-2"/>
                      <w:szCs w:val="21"/>
                    </w:rPr>
                    <w:t>液态 VOCs 物料应采用密闭管道输送。采用非管道输送方式转移液态VOCs物料时，应采用密闭容器、罐车。</w:t>
                  </w:r>
                </w:p>
              </w:tc>
              <w:tc>
                <w:tcPr>
                  <w:tcW w:w="2549" w:type="dxa"/>
                  <w:vAlign w:val="center"/>
                </w:tcPr>
                <w:p w14:paraId="74D6D669">
                  <w:pPr>
                    <w:rPr>
                      <w:spacing w:val="-2"/>
                      <w:szCs w:val="21"/>
                    </w:rPr>
                  </w:pPr>
                  <w:r>
                    <w:rPr>
                      <w:rFonts w:hint="eastAsia"/>
                      <w:spacing w:val="-2"/>
                      <w:szCs w:val="21"/>
                    </w:rPr>
                    <w:t>本项目液态VOCs 物料的输送及转运均采用密闭容器</w:t>
                  </w:r>
                </w:p>
              </w:tc>
              <w:tc>
                <w:tcPr>
                  <w:tcW w:w="802" w:type="dxa"/>
                  <w:vAlign w:val="center"/>
                </w:tcPr>
                <w:p w14:paraId="4FF21FC5">
                  <w:pPr>
                    <w:jc w:val="center"/>
                    <w:rPr>
                      <w:spacing w:val="-2"/>
                      <w:szCs w:val="21"/>
                    </w:rPr>
                  </w:pPr>
                  <w:r>
                    <w:rPr>
                      <w:rFonts w:hint="eastAsia"/>
                      <w:spacing w:val="-2"/>
                      <w:szCs w:val="21"/>
                    </w:rPr>
                    <w:t>符合</w:t>
                  </w:r>
                </w:p>
              </w:tc>
            </w:tr>
            <w:tr w14:paraId="44BB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087DF3CB">
                  <w:pPr>
                    <w:jc w:val="center"/>
                    <w:rPr>
                      <w:spacing w:val="-2"/>
                      <w:szCs w:val="21"/>
                    </w:rPr>
                  </w:pPr>
                  <w:r>
                    <w:rPr>
                      <w:rFonts w:hint="eastAsia"/>
                      <w:spacing w:val="-2"/>
                      <w:szCs w:val="21"/>
                    </w:rPr>
                    <w:t>4</w:t>
                  </w:r>
                </w:p>
              </w:tc>
              <w:tc>
                <w:tcPr>
                  <w:tcW w:w="3972" w:type="dxa"/>
                  <w:vAlign w:val="center"/>
                </w:tcPr>
                <w:p w14:paraId="6CA5FF02">
                  <w:pPr>
                    <w:rPr>
                      <w:spacing w:val="-2"/>
                      <w:szCs w:val="21"/>
                    </w:rPr>
                  </w:pPr>
                  <w:r>
                    <w:rPr>
                      <w:rFonts w:hint="eastAsia"/>
                      <w:spacing w:val="-2"/>
                      <w:szCs w:val="21"/>
                    </w:rPr>
                    <w:t>VOCs 物料混合、搅拌、研磨、造粒、切片、压块等配料加工过程，以及含VOCs 产品的包装（灌装、分装）过程应采用密闭设备或在密闭空间内操作，废气应排至 VOCs 废气收集处理系统；无法密闭的，应采取局部气体收集措施，废气应排至 VOCs 废气收集处理系</w:t>
                  </w:r>
                </w:p>
                <w:p w14:paraId="59B0C566">
                  <w:pPr>
                    <w:rPr>
                      <w:spacing w:val="-2"/>
                      <w:szCs w:val="21"/>
                    </w:rPr>
                  </w:pPr>
                  <w:r>
                    <w:rPr>
                      <w:rFonts w:hint="eastAsia"/>
                      <w:spacing w:val="-2"/>
                      <w:szCs w:val="21"/>
                    </w:rPr>
                    <w:t>统。</w:t>
                  </w:r>
                </w:p>
              </w:tc>
              <w:tc>
                <w:tcPr>
                  <w:tcW w:w="2549" w:type="dxa"/>
                  <w:vAlign w:val="center"/>
                </w:tcPr>
                <w:p w14:paraId="43DEADA4">
                  <w:pPr>
                    <w:rPr>
                      <w:spacing w:val="-2"/>
                      <w:szCs w:val="21"/>
                    </w:rPr>
                  </w:pPr>
                  <w:r>
                    <w:rPr>
                      <w:rFonts w:hint="eastAsia"/>
                      <w:spacing w:val="-2"/>
                      <w:szCs w:val="21"/>
                    </w:rPr>
                    <w:t>生产和使用环节在密闭空间内操作，废气通过密闭管道收集后排至废气处理设施进行处理</w:t>
                  </w:r>
                </w:p>
              </w:tc>
              <w:tc>
                <w:tcPr>
                  <w:tcW w:w="802" w:type="dxa"/>
                  <w:vAlign w:val="center"/>
                </w:tcPr>
                <w:p w14:paraId="44654D37">
                  <w:pPr>
                    <w:jc w:val="center"/>
                    <w:rPr>
                      <w:spacing w:val="-2"/>
                      <w:szCs w:val="21"/>
                    </w:rPr>
                  </w:pPr>
                  <w:r>
                    <w:rPr>
                      <w:rFonts w:hint="eastAsia"/>
                      <w:spacing w:val="-2"/>
                      <w:szCs w:val="21"/>
                    </w:rPr>
                    <w:t>符合</w:t>
                  </w:r>
                </w:p>
              </w:tc>
            </w:tr>
            <w:tr w14:paraId="1AC9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14B87460">
                  <w:pPr>
                    <w:jc w:val="center"/>
                    <w:rPr>
                      <w:spacing w:val="-2"/>
                      <w:szCs w:val="21"/>
                    </w:rPr>
                  </w:pPr>
                  <w:r>
                    <w:rPr>
                      <w:rFonts w:hint="eastAsia"/>
                      <w:spacing w:val="-2"/>
                      <w:szCs w:val="21"/>
                    </w:rPr>
                    <w:t>5</w:t>
                  </w:r>
                </w:p>
              </w:tc>
              <w:tc>
                <w:tcPr>
                  <w:tcW w:w="3972" w:type="dxa"/>
                  <w:vAlign w:val="center"/>
                </w:tcPr>
                <w:p w14:paraId="2F827C86">
                  <w:pPr>
                    <w:rPr>
                      <w:spacing w:val="-2"/>
                      <w:szCs w:val="21"/>
                    </w:rPr>
                  </w:pPr>
                  <w:r>
                    <w:rPr>
                      <w:rFonts w:hint="eastAsia"/>
                      <w:spacing w:val="-2"/>
                      <w:szCs w:val="21"/>
                    </w:rPr>
                    <w:t>企业应建立台账，记录含 VOCs 原辅材料和含 VOCs 产品的名称、使用量、回收量、废弃量、去向以及 VOCs 含量等信息。台账保存期限不少于 3 年。”</w:t>
                  </w:r>
                </w:p>
              </w:tc>
              <w:tc>
                <w:tcPr>
                  <w:tcW w:w="2549" w:type="dxa"/>
                  <w:vAlign w:val="center"/>
                </w:tcPr>
                <w:p w14:paraId="003989DD">
                  <w:pPr>
                    <w:rPr>
                      <w:spacing w:val="-2"/>
                      <w:szCs w:val="21"/>
                    </w:rPr>
                  </w:pPr>
                  <w:r>
                    <w:rPr>
                      <w:rFonts w:hint="eastAsia"/>
                      <w:spacing w:val="-2"/>
                      <w:szCs w:val="21"/>
                    </w:rPr>
                    <w:t>本项目针对涉及VOCs 物料的使用量、去向以及 VOCs 含量等信息建立台账，台账保存期限为 3年</w:t>
                  </w:r>
                </w:p>
              </w:tc>
              <w:tc>
                <w:tcPr>
                  <w:tcW w:w="802" w:type="dxa"/>
                  <w:vAlign w:val="center"/>
                </w:tcPr>
                <w:p w14:paraId="117A8326">
                  <w:pPr>
                    <w:jc w:val="center"/>
                    <w:rPr>
                      <w:spacing w:val="-2"/>
                      <w:szCs w:val="21"/>
                    </w:rPr>
                  </w:pPr>
                  <w:r>
                    <w:rPr>
                      <w:rFonts w:hint="eastAsia"/>
                      <w:spacing w:val="-2"/>
                      <w:szCs w:val="21"/>
                    </w:rPr>
                    <w:t>符合</w:t>
                  </w:r>
                </w:p>
              </w:tc>
            </w:tr>
            <w:tr w14:paraId="5FB4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3BDE42EA">
                  <w:pPr>
                    <w:jc w:val="center"/>
                    <w:rPr>
                      <w:spacing w:val="-2"/>
                      <w:szCs w:val="21"/>
                    </w:rPr>
                  </w:pPr>
                  <w:r>
                    <w:rPr>
                      <w:rFonts w:hint="eastAsia"/>
                      <w:spacing w:val="-2"/>
                      <w:szCs w:val="21"/>
                    </w:rPr>
                    <w:t>6</w:t>
                  </w:r>
                </w:p>
              </w:tc>
              <w:tc>
                <w:tcPr>
                  <w:tcW w:w="3972" w:type="dxa"/>
                  <w:vAlign w:val="center"/>
                </w:tcPr>
                <w:p w14:paraId="346ED9B9">
                  <w:pPr>
                    <w:rPr>
                      <w:spacing w:val="-2"/>
                      <w:szCs w:val="21"/>
                    </w:rPr>
                  </w:pPr>
                  <w:r>
                    <w:rPr>
                      <w:rFonts w:hint="eastAsia"/>
                      <w:bCs/>
                      <w:szCs w:val="21"/>
                    </w:rPr>
                    <w:t>V</w:t>
                  </w:r>
                  <w:r>
                    <w:rPr>
                      <w:bCs/>
                      <w:szCs w:val="21"/>
                    </w:rPr>
                    <w:t>OCs质量占比大于等于10%的含VOCs产品，其使用过程应采用密闭设备或在密闭空间内操作，废气应排至VOCs废气收集处理系统；无法密闭的，应采取局部气体收集措施，废气应排至VOCs废气收集处理系统。</w:t>
                  </w:r>
                </w:p>
              </w:tc>
              <w:tc>
                <w:tcPr>
                  <w:tcW w:w="2549" w:type="dxa"/>
                  <w:vAlign w:val="center"/>
                </w:tcPr>
                <w:p w14:paraId="61BC992E">
                  <w:pPr>
                    <w:rPr>
                      <w:spacing w:val="-2"/>
                      <w:szCs w:val="21"/>
                    </w:rPr>
                  </w:pPr>
                  <w:r>
                    <w:rPr>
                      <w:rFonts w:hint="eastAsia"/>
                      <w:spacing w:val="-2"/>
                      <w:szCs w:val="21"/>
                    </w:rPr>
                    <w:t>根据业主提供的油墨、洗车水、水性上光油、水基性胶粘剂的VOCs检测报告，项目所使用的原辅料均为低VOCs物料。项目生产过程中废气经集气罩收集后引入</w:t>
                  </w:r>
                  <w:r>
                    <w:rPr>
                      <w:rFonts w:hint="eastAsia"/>
                      <w:szCs w:val="21"/>
                    </w:rPr>
                    <w:t>“二级活性炭吸附”</w:t>
                  </w:r>
                  <w:r>
                    <w:rPr>
                      <w:rFonts w:hint="eastAsia"/>
                      <w:spacing w:val="-2"/>
                      <w:szCs w:val="21"/>
                    </w:rPr>
                    <w:t>装置处理后达标排放</w:t>
                  </w:r>
                </w:p>
              </w:tc>
              <w:tc>
                <w:tcPr>
                  <w:tcW w:w="802" w:type="dxa"/>
                  <w:vAlign w:val="center"/>
                </w:tcPr>
                <w:p w14:paraId="1824A1CF">
                  <w:pPr>
                    <w:jc w:val="center"/>
                    <w:rPr>
                      <w:spacing w:val="-2"/>
                      <w:szCs w:val="21"/>
                    </w:rPr>
                  </w:pPr>
                  <w:r>
                    <w:rPr>
                      <w:rFonts w:hint="eastAsia"/>
                      <w:spacing w:val="-2"/>
                      <w:szCs w:val="21"/>
                    </w:rPr>
                    <w:t>符合</w:t>
                  </w:r>
                </w:p>
              </w:tc>
            </w:tr>
            <w:tr w14:paraId="242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3D41A0C3">
                  <w:pPr>
                    <w:jc w:val="center"/>
                    <w:rPr>
                      <w:spacing w:val="-2"/>
                      <w:szCs w:val="21"/>
                    </w:rPr>
                  </w:pPr>
                  <w:r>
                    <w:rPr>
                      <w:rFonts w:hint="eastAsia"/>
                      <w:spacing w:val="-2"/>
                      <w:szCs w:val="21"/>
                    </w:rPr>
                    <w:t>7</w:t>
                  </w:r>
                </w:p>
              </w:tc>
              <w:tc>
                <w:tcPr>
                  <w:tcW w:w="3972" w:type="dxa"/>
                  <w:vAlign w:val="center"/>
                </w:tcPr>
                <w:p w14:paraId="5B6BFB12">
                  <w:pPr>
                    <w:rPr>
                      <w:spacing w:val="-2"/>
                      <w:szCs w:val="21"/>
                    </w:rPr>
                  </w:pPr>
                  <w:r>
                    <w:rPr>
                      <w:rFonts w:hint="eastAsia"/>
                      <w:spacing w:val="-2"/>
                      <w:szCs w:val="21"/>
                    </w:rPr>
                    <w:t>对于工艺过程排放的含 VOCs 废水、集输系统应符合下列规定之一：a、采用密闭管道输送，接入口和排出口采取与环境空气隔离的措施；b、采用沟渠输送，若敞开液面上方 100mm 处 VOCs检测浓度≥200μmol/mol，应加盖密闭，接入口和排出口采取与环境空气隔离的措施</w:t>
                  </w:r>
                </w:p>
              </w:tc>
              <w:tc>
                <w:tcPr>
                  <w:tcW w:w="2549" w:type="dxa"/>
                  <w:vAlign w:val="center"/>
                </w:tcPr>
                <w:p w14:paraId="71920FF9">
                  <w:pPr>
                    <w:rPr>
                      <w:spacing w:val="-2"/>
                      <w:szCs w:val="21"/>
                    </w:rPr>
                  </w:pPr>
                  <w:r>
                    <w:rPr>
                      <w:rFonts w:hint="eastAsia"/>
                      <w:spacing w:val="-2"/>
                      <w:szCs w:val="21"/>
                    </w:rPr>
                    <w:t>本项目无含VOCs 废水的排放</w:t>
                  </w:r>
                </w:p>
              </w:tc>
              <w:tc>
                <w:tcPr>
                  <w:tcW w:w="802" w:type="dxa"/>
                  <w:vAlign w:val="center"/>
                </w:tcPr>
                <w:p w14:paraId="5C3153B8">
                  <w:pPr>
                    <w:jc w:val="center"/>
                    <w:rPr>
                      <w:spacing w:val="-2"/>
                      <w:szCs w:val="21"/>
                    </w:rPr>
                  </w:pPr>
                  <w:r>
                    <w:rPr>
                      <w:rFonts w:hint="eastAsia"/>
                      <w:spacing w:val="-2"/>
                      <w:szCs w:val="21"/>
                    </w:rPr>
                    <w:t>符合</w:t>
                  </w:r>
                </w:p>
              </w:tc>
            </w:tr>
            <w:tr w14:paraId="7043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0BE5ED4F">
                  <w:pPr>
                    <w:jc w:val="center"/>
                    <w:rPr>
                      <w:spacing w:val="-2"/>
                      <w:szCs w:val="21"/>
                    </w:rPr>
                  </w:pPr>
                  <w:r>
                    <w:rPr>
                      <w:rFonts w:hint="eastAsia"/>
                      <w:spacing w:val="-2"/>
                      <w:szCs w:val="21"/>
                    </w:rPr>
                    <w:t>8</w:t>
                  </w:r>
                </w:p>
              </w:tc>
              <w:tc>
                <w:tcPr>
                  <w:tcW w:w="3972" w:type="dxa"/>
                  <w:vAlign w:val="center"/>
                </w:tcPr>
                <w:p w14:paraId="1B3B07A6">
                  <w:pPr>
                    <w:rPr>
                      <w:spacing w:val="-2"/>
                      <w:szCs w:val="21"/>
                    </w:rPr>
                  </w:pPr>
                  <w:r>
                    <w:rPr>
                      <w:rFonts w:hint="eastAsia"/>
                      <w:spacing w:val="-2"/>
                      <w:szCs w:val="21"/>
                    </w:rPr>
                    <w:t>含 VOCs 废水储存、处理设施敞开液面上方 100mm 处 VOCs 检测浓度≥200μmol/mol，应符合下列规定之一：a、采用浮动顶盖；b、采用固定顶盖，收集废气至 VOCs 废气收集处理系统；c、其他有效措施</w:t>
                  </w:r>
                </w:p>
              </w:tc>
              <w:tc>
                <w:tcPr>
                  <w:tcW w:w="2549" w:type="dxa"/>
                  <w:vAlign w:val="center"/>
                </w:tcPr>
                <w:p w14:paraId="1FB1FD7D">
                  <w:pPr>
                    <w:rPr>
                      <w:spacing w:val="-2"/>
                      <w:szCs w:val="21"/>
                    </w:rPr>
                  </w:pPr>
                  <w:r>
                    <w:rPr>
                      <w:rFonts w:hint="eastAsia"/>
                      <w:spacing w:val="-2"/>
                      <w:szCs w:val="21"/>
                    </w:rPr>
                    <w:t>本项目无含VOCs 废水的排放</w:t>
                  </w:r>
                </w:p>
              </w:tc>
              <w:tc>
                <w:tcPr>
                  <w:tcW w:w="802" w:type="dxa"/>
                  <w:vAlign w:val="center"/>
                </w:tcPr>
                <w:p w14:paraId="5808D810">
                  <w:pPr>
                    <w:jc w:val="center"/>
                    <w:rPr>
                      <w:spacing w:val="-2"/>
                      <w:szCs w:val="21"/>
                    </w:rPr>
                  </w:pPr>
                  <w:r>
                    <w:rPr>
                      <w:rFonts w:hint="eastAsia"/>
                      <w:spacing w:val="-2"/>
                      <w:szCs w:val="21"/>
                    </w:rPr>
                    <w:t>符合</w:t>
                  </w:r>
                </w:p>
              </w:tc>
            </w:tr>
            <w:tr w14:paraId="1878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dxa"/>
                  <w:vAlign w:val="center"/>
                </w:tcPr>
                <w:p w14:paraId="1D1939CB">
                  <w:pPr>
                    <w:jc w:val="center"/>
                    <w:rPr>
                      <w:spacing w:val="-2"/>
                      <w:szCs w:val="21"/>
                    </w:rPr>
                  </w:pPr>
                  <w:r>
                    <w:rPr>
                      <w:rFonts w:hint="eastAsia"/>
                      <w:spacing w:val="-2"/>
                      <w:szCs w:val="21"/>
                    </w:rPr>
                    <w:t>9</w:t>
                  </w:r>
                </w:p>
              </w:tc>
              <w:tc>
                <w:tcPr>
                  <w:tcW w:w="3972" w:type="dxa"/>
                  <w:vAlign w:val="center"/>
                </w:tcPr>
                <w:p w14:paraId="2AB151F0">
                  <w:pPr>
                    <w:rPr>
                      <w:spacing w:val="-2"/>
                      <w:szCs w:val="21"/>
                    </w:rPr>
                  </w:pPr>
                  <w:r>
                    <w:rPr>
                      <w:rFonts w:hint="eastAsia"/>
                      <w:spacing w:val="-2"/>
                      <w:szCs w:val="21"/>
                    </w:rPr>
                    <w:t>VOCs 废气收集处理系统应与生产工艺设备同步运行；废气收集系统的输送管道应密闭，废气收集系统应在负压下运行；VOCs 废气收集处理系统污染物排放应符合 GB16297 或相关行业排放标准的规定</w:t>
                  </w:r>
                </w:p>
              </w:tc>
              <w:tc>
                <w:tcPr>
                  <w:tcW w:w="2549" w:type="dxa"/>
                  <w:vAlign w:val="center"/>
                </w:tcPr>
                <w:p w14:paraId="4114E88A">
                  <w:pPr>
                    <w:jc w:val="left"/>
                    <w:rPr>
                      <w:spacing w:val="-2"/>
                      <w:szCs w:val="21"/>
                    </w:rPr>
                  </w:pPr>
                  <w:r>
                    <w:rPr>
                      <w:rFonts w:hint="eastAsia"/>
                      <w:spacing w:val="-2"/>
                      <w:szCs w:val="21"/>
                    </w:rPr>
                    <w:t>有机废气收集处理系统与生产工艺设备同步运行；废气收集管道密闭，经</w:t>
                  </w:r>
                  <w:r>
                    <w:rPr>
                      <w:rFonts w:hint="eastAsia"/>
                      <w:szCs w:val="21"/>
                    </w:rPr>
                    <w:t>“二级活性炭吸附”</w:t>
                  </w:r>
                  <w:r>
                    <w:rPr>
                      <w:rFonts w:hint="eastAsia"/>
                      <w:spacing w:val="-2"/>
                      <w:szCs w:val="21"/>
                    </w:rPr>
                    <w:t>装置处理后有组织排放，排放浓度满足</w:t>
                  </w:r>
                  <w:r>
                    <w:rPr>
                      <w:szCs w:val="21"/>
                    </w:rPr>
                    <w:t>《包装印刷业大气污染物排放标准》（DB 50/7</w:t>
                  </w:r>
                  <w:r>
                    <w:rPr>
                      <w:rFonts w:eastAsiaTheme="minorEastAsia"/>
                      <w:szCs w:val="21"/>
                    </w:rPr>
                    <w:t>58-2017</w:t>
                  </w:r>
                  <w:r>
                    <w:rPr>
                      <w:rFonts w:hAnsiTheme="minorEastAsia" w:eastAsiaTheme="minorEastAsia"/>
                      <w:szCs w:val="21"/>
                    </w:rPr>
                    <w:t>）</w:t>
                  </w:r>
                  <w:r>
                    <w:rPr>
                      <w:rFonts w:hint="eastAsia" w:hAnsiTheme="minorEastAsia" w:eastAsiaTheme="minorEastAsia"/>
                      <w:szCs w:val="21"/>
                    </w:rPr>
                    <w:t>。</w:t>
                  </w:r>
                </w:p>
              </w:tc>
              <w:tc>
                <w:tcPr>
                  <w:tcW w:w="802" w:type="dxa"/>
                  <w:vAlign w:val="center"/>
                </w:tcPr>
                <w:p w14:paraId="1C8CA9EF">
                  <w:pPr>
                    <w:jc w:val="center"/>
                    <w:rPr>
                      <w:spacing w:val="-2"/>
                      <w:szCs w:val="21"/>
                    </w:rPr>
                  </w:pPr>
                  <w:r>
                    <w:rPr>
                      <w:rFonts w:hint="eastAsia"/>
                      <w:spacing w:val="-2"/>
                      <w:szCs w:val="21"/>
                    </w:rPr>
                    <w:t>符合</w:t>
                  </w:r>
                </w:p>
              </w:tc>
            </w:tr>
          </w:tbl>
          <w:p w14:paraId="40A654D9">
            <w:pPr>
              <w:spacing w:line="460" w:lineRule="exact"/>
              <w:ind w:firstLine="474" w:firstLineChars="200"/>
              <w:rPr>
                <w:b/>
                <w:spacing w:val="-2"/>
                <w:sz w:val="24"/>
              </w:rPr>
            </w:pPr>
            <w:r>
              <w:rPr>
                <w:rFonts w:hint="eastAsia"/>
                <w:b/>
                <w:spacing w:val="-2"/>
                <w:sz w:val="24"/>
              </w:rPr>
              <w:t>1.5</w:t>
            </w:r>
            <w:r>
              <w:rPr>
                <w:b/>
                <w:spacing w:val="-2"/>
                <w:sz w:val="24"/>
              </w:rPr>
              <w:t>.</w:t>
            </w:r>
            <w:r>
              <w:rPr>
                <w:rFonts w:hint="eastAsia"/>
                <w:b/>
                <w:spacing w:val="-2"/>
                <w:sz w:val="24"/>
              </w:rPr>
              <w:t>2 与《2020年挥发性有机物治理攻坚方案》符合性分析</w:t>
            </w:r>
          </w:p>
          <w:p w14:paraId="57D21B4D">
            <w:pPr>
              <w:spacing w:line="460" w:lineRule="exact"/>
              <w:ind w:firstLine="472" w:firstLineChars="200"/>
              <w:rPr>
                <w:spacing w:val="-2"/>
                <w:sz w:val="24"/>
              </w:rPr>
            </w:pPr>
            <w:r>
              <w:rPr>
                <w:rFonts w:hint="eastAsia"/>
                <w:spacing w:val="-2"/>
                <w:sz w:val="24"/>
              </w:rPr>
              <w:t>本项目所采取的措施与《2020 年挥发性有机物治理攻坚方案》符合性对比分析详见表1.5-2。</w:t>
            </w:r>
          </w:p>
          <w:p w14:paraId="5352E5BB">
            <w:pPr>
              <w:spacing w:line="480" w:lineRule="exact"/>
              <w:jc w:val="center"/>
              <w:rPr>
                <w:spacing w:val="-2"/>
                <w:szCs w:val="21"/>
              </w:rPr>
            </w:pPr>
            <w:r>
              <w:rPr>
                <w:rFonts w:hAnsi="宋体"/>
                <w:b/>
                <w:szCs w:val="21"/>
              </w:rPr>
              <w:t>表</w:t>
            </w:r>
            <w:r>
              <w:rPr>
                <w:rFonts w:hint="eastAsia"/>
                <w:b/>
                <w:szCs w:val="21"/>
              </w:rPr>
              <w:t>1.5-2 本项</w:t>
            </w:r>
            <w:r>
              <w:rPr>
                <w:rFonts w:hint="eastAsia" w:hAnsi="宋体"/>
                <w:b/>
                <w:szCs w:val="21"/>
              </w:rPr>
              <w:t>目与《2020年挥发性有机物治理攻坚方案》符合性分析</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969"/>
              <w:gridCol w:w="2410"/>
              <w:gridCol w:w="749"/>
            </w:tblGrid>
            <w:tr w14:paraId="1A08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0EFB25C5">
                  <w:pPr>
                    <w:jc w:val="center"/>
                    <w:rPr>
                      <w:spacing w:val="-2"/>
                      <w:szCs w:val="21"/>
                    </w:rPr>
                  </w:pPr>
                  <w:r>
                    <w:rPr>
                      <w:rFonts w:hint="eastAsia"/>
                      <w:spacing w:val="-2"/>
                      <w:szCs w:val="21"/>
                    </w:rPr>
                    <w:t>序号</w:t>
                  </w:r>
                </w:p>
              </w:tc>
              <w:tc>
                <w:tcPr>
                  <w:tcW w:w="3969" w:type="dxa"/>
                  <w:vAlign w:val="center"/>
                </w:tcPr>
                <w:p w14:paraId="0B4A5F1A">
                  <w:pPr>
                    <w:jc w:val="center"/>
                    <w:rPr>
                      <w:spacing w:val="-2"/>
                      <w:szCs w:val="21"/>
                    </w:rPr>
                  </w:pPr>
                  <w:r>
                    <w:rPr>
                      <w:rFonts w:hint="eastAsia"/>
                      <w:spacing w:val="-2"/>
                      <w:szCs w:val="21"/>
                    </w:rPr>
                    <w:t>2020 年挥发性有机物治理攻坚方案</w:t>
                  </w:r>
                </w:p>
              </w:tc>
              <w:tc>
                <w:tcPr>
                  <w:tcW w:w="2410" w:type="dxa"/>
                  <w:vAlign w:val="center"/>
                </w:tcPr>
                <w:p w14:paraId="1309E412">
                  <w:pPr>
                    <w:jc w:val="center"/>
                    <w:rPr>
                      <w:spacing w:val="-2"/>
                      <w:szCs w:val="21"/>
                    </w:rPr>
                  </w:pPr>
                  <w:r>
                    <w:rPr>
                      <w:rFonts w:hint="eastAsia"/>
                      <w:spacing w:val="-2"/>
                      <w:szCs w:val="21"/>
                    </w:rPr>
                    <w:t>本项目</w:t>
                  </w:r>
                </w:p>
              </w:tc>
              <w:tc>
                <w:tcPr>
                  <w:tcW w:w="749" w:type="dxa"/>
                  <w:vAlign w:val="center"/>
                </w:tcPr>
                <w:p w14:paraId="103F8132">
                  <w:pPr>
                    <w:jc w:val="center"/>
                    <w:rPr>
                      <w:spacing w:val="-2"/>
                      <w:szCs w:val="21"/>
                    </w:rPr>
                  </w:pPr>
                  <w:r>
                    <w:rPr>
                      <w:rFonts w:hint="eastAsia"/>
                      <w:spacing w:val="-2"/>
                      <w:szCs w:val="21"/>
                    </w:rPr>
                    <w:t>符合性</w:t>
                  </w:r>
                </w:p>
              </w:tc>
            </w:tr>
            <w:tr w14:paraId="5C02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070B2D47">
                  <w:pPr>
                    <w:jc w:val="center"/>
                    <w:rPr>
                      <w:spacing w:val="-2"/>
                      <w:szCs w:val="21"/>
                    </w:rPr>
                  </w:pPr>
                  <w:r>
                    <w:rPr>
                      <w:rFonts w:hint="eastAsia"/>
                      <w:spacing w:val="-2"/>
                      <w:szCs w:val="21"/>
                    </w:rPr>
                    <w:t>1</w:t>
                  </w:r>
                </w:p>
              </w:tc>
              <w:tc>
                <w:tcPr>
                  <w:tcW w:w="3969" w:type="dxa"/>
                  <w:vAlign w:val="center"/>
                </w:tcPr>
                <w:p w14:paraId="5DD0D41A">
                  <w:pPr>
                    <w:jc w:val="center"/>
                    <w:rPr>
                      <w:spacing w:val="-2"/>
                      <w:szCs w:val="21"/>
                    </w:rPr>
                  </w:pPr>
                  <w:r>
                    <w:rPr>
                      <w:rFonts w:hint="eastAsia"/>
                      <w:spacing w:val="-2"/>
                      <w:szCs w:val="21"/>
                    </w:rPr>
                    <w:t>企业应建立原辅材料台账，记录 VOCs原辅材料名称、成分、VOCs 含量、采购量、使用量、库存量、回收方式、回收量等信息，并保存相关证明材料</w:t>
                  </w:r>
                </w:p>
              </w:tc>
              <w:tc>
                <w:tcPr>
                  <w:tcW w:w="2410" w:type="dxa"/>
                  <w:vAlign w:val="center"/>
                </w:tcPr>
                <w:p w14:paraId="794920F1">
                  <w:pPr>
                    <w:jc w:val="center"/>
                    <w:rPr>
                      <w:spacing w:val="-2"/>
                      <w:szCs w:val="21"/>
                    </w:rPr>
                  </w:pPr>
                  <w:r>
                    <w:rPr>
                      <w:rFonts w:hint="eastAsia"/>
                      <w:spacing w:val="-2"/>
                      <w:szCs w:val="21"/>
                    </w:rPr>
                    <w:t>项目针对涉及 VOCs 物料的使用量、回收量、废弃量、去向以及VOCs 含量等信息均建立有台账，台账保存期限为 3 年</w:t>
                  </w:r>
                </w:p>
              </w:tc>
              <w:tc>
                <w:tcPr>
                  <w:tcW w:w="749" w:type="dxa"/>
                  <w:vAlign w:val="center"/>
                </w:tcPr>
                <w:p w14:paraId="7FC9ACC8">
                  <w:pPr>
                    <w:jc w:val="center"/>
                    <w:rPr>
                      <w:spacing w:val="-2"/>
                      <w:szCs w:val="21"/>
                    </w:rPr>
                  </w:pPr>
                  <w:r>
                    <w:rPr>
                      <w:rFonts w:hint="eastAsia"/>
                      <w:spacing w:val="-2"/>
                      <w:szCs w:val="21"/>
                    </w:rPr>
                    <w:t>符合</w:t>
                  </w:r>
                </w:p>
              </w:tc>
            </w:tr>
            <w:tr w14:paraId="274D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0D678810">
                  <w:pPr>
                    <w:jc w:val="center"/>
                    <w:rPr>
                      <w:spacing w:val="-2"/>
                      <w:szCs w:val="21"/>
                    </w:rPr>
                  </w:pPr>
                  <w:r>
                    <w:rPr>
                      <w:rFonts w:hint="eastAsia"/>
                      <w:spacing w:val="-2"/>
                      <w:szCs w:val="21"/>
                    </w:rPr>
                    <w:t>2</w:t>
                  </w:r>
                </w:p>
              </w:tc>
              <w:tc>
                <w:tcPr>
                  <w:tcW w:w="3969" w:type="dxa"/>
                  <w:vAlign w:val="center"/>
                </w:tcPr>
                <w:p w14:paraId="185DD335">
                  <w:pPr>
                    <w:jc w:val="center"/>
                    <w:rPr>
                      <w:spacing w:val="-2"/>
                      <w:szCs w:val="21"/>
                    </w:rPr>
                  </w:pPr>
                  <w:r>
                    <w:rPr>
                      <w:rFonts w:hint="eastAsia"/>
                      <w:spacing w:val="-2"/>
                      <w:szCs w:val="21"/>
                    </w:rPr>
                    <w:t>全面执行《挥发性有机物无组织排放控制标准》，重点区域应落实无组织排放特别控制要求</w:t>
                  </w:r>
                </w:p>
              </w:tc>
              <w:tc>
                <w:tcPr>
                  <w:tcW w:w="2410" w:type="dxa"/>
                  <w:vAlign w:val="center"/>
                </w:tcPr>
                <w:p w14:paraId="616115A9">
                  <w:pPr>
                    <w:jc w:val="center"/>
                    <w:rPr>
                      <w:spacing w:val="-2"/>
                      <w:szCs w:val="21"/>
                    </w:rPr>
                  </w:pPr>
                  <w:r>
                    <w:rPr>
                      <w:rFonts w:hint="eastAsia"/>
                      <w:spacing w:val="-2"/>
                      <w:szCs w:val="21"/>
                    </w:rPr>
                    <w:t>本项目挥发性有机物产污节点采用密闭管道收集后处理</w:t>
                  </w:r>
                </w:p>
              </w:tc>
              <w:tc>
                <w:tcPr>
                  <w:tcW w:w="749" w:type="dxa"/>
                  <w:vAlign w:val="center"/>
                </w:tcPr>
                <w:p w14:paraId="09868840">
                  <w:pPr>
                    <w:jc w:val="center"/>
                    <w:rPr>
                      <w:spacing w:val="-2"/>
                      <w:szCs w:val="21"/>
                    </w:rPr>
                  </w:pPr>
                  <w:r>
                    <w:rPr>
                      <w:rFonts w:hint="eastAsia"/>
                      <w:spacing w:val="-2"/>
                      <w:szCs w:val="21"/>
                    </w:rPr>
                    <w:t>符合</w:t>
                  </w:r>
                </w:p>
              </w:tc>
            </w:tr>
            <w:tr w14:paraId="3F5C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1B0D8178">
                  <w:pPr>
                    <w:jc w:val="center"/>
                    <w:rPr>
                      <w:spacing w:val="-2"/>
                      <w:szCs w:val="21"/>
                    </w:rPr>
                  </w:pPr>
                  <w:r>
                    <w:rPr>
                      <w:rFonts w:hint="eastAsia"/>
                      <w:spacing w:val="-2"/>
                      <w:szCs w:val="21"/>
                    </w:rPr>
                    <w:t>3</w:t>
                  </w:r>
                </w:p>
              </w:tc>
              <w:tc>
                <w:tcPr>
                  <w:tcW w:w="3969" w:type="dxa"/>
                  <w:vAlign w:val="center"/>
                </w:tcPr>
                <w:p w14:paraId="29E437BC">
                  <w:pPr>
                    <w:jc w:val="center"/>
                    <w:rPr>
                      <w:spacing w:val="-2"/>
                      <w:szCs w:val="21"/>
                    </w:rPr>
                  </w:pPr>
                  <w:r>
                    <w:rPr>
                      <w:rFonts w:hint="eastAsia"/>
                      <w:spacing w:val="-2"/>
                      <w:szCs w:val="21"/>
                    </w:rPr>
                    <w:t>加强含 VOCs 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处置环节应将盛装过VOCs 物料的包装容器、含 VOCs 废料（渣、液）、废吸附剂等通过加盖、封</w:t>
                  </w:r>
                </w:p>
                <w:p w14:paraId="524E0423">
                  <w:pPr>
                    <w:jc w:val="center"/>
                    <w:rPr>
                      <w:spacing w:val="-2"/>
                      <w:szCs w:val="21"/>
                    </w:rPr>
                  </w:pPr>
                  <w:r>
                    <w:rPr>
                      <w:rFonts w:hint="eastAsia"/>
                      <w:spacing w:val="-2"/>
                      <w:szCs w:val="21"/>
                    </w:rPr>
                    <w:t>装等方式密闭，妥善存放，不得随意丢弃</w:t>
                  </w:r>
                </w:p>
              </w:tc>
              <w:tc>
                <w:tcPr>
                  <w:tcW w:w="2410" w:type="dxa"/>
                  <w:vAlign w:val="center"/>
                </w:tcPr>
                <w:p w14:paraId="2AAF1651">
                  <w:pPr>
                    <w:jc w:val="center"/>
                    <w:rPr>
                      <w:spacing w:val="-2"/>
                      <w:szCs w:val="21"/>
                    </w:rPr>
                  </w:pPr>
                  <w:r>
                    <w:rPr>
                      <w:rFonts w:hint="eastAsia"/>
                      <w:spacing w:val="-2"/>
                      <w:szCs w:val="21"/>
                    </w:rPr>
                    <w:t>本项目的 VOCs 物料均采用密闭罐装和管装，储运的各种物料均通过密闭容器输送。生产和使用环节采用密闭设备，各设施设有废气预留管道，经密闭管道收集后处理后有组织排放</w:t>
                  </w:r>
                </w:p>
              </w:tc>
              <w:tc>
                <w:tcPr>
                  <w:tcW w:w="749" w:type="dxa"/>
                  <w:vAlign w:val="center"/>
                </w:tcPr>
                <w:p w14:paraId="2652DFC9">
                  <w:pPr>
                    <w:jc w:val="center"/>
                    <w:rPr>
                      <w:spacing w:val="-2"/>
                      <w:szCs w:val="21"/>
                    </w:rPr>
                  </w:pPr>
                  <w:r>
                    <w:rPr>
                      <w:rFonts w:hint="eastAsia"/>
                      <w:spacing w:val="-2"/>
                      <w:szCs w:val="21"/>
                    </w:rPr>
                    <w:t>符合</w:t>
                  </w:r>
                </w:p>
              </w:tc>
            </w:tr>
            <w:tr w14:paraId="6434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123FA940">
                  <w:pPr>
                    <w:jc w:val="center"/>
                    <w:rPr>
                      <w:spacing w:val="-2"/>
                      <w:szCs w:val="21"/>
                    </w:rPr>
                  </w:pPr>
                  <w:r>
                    <w:rPr>
                      <w:rFonts w:hint="eastAsia"/>
                      <w:spacing w:val="-2"/>
                      <w:szCs w:val="21"/>
                    </w:rPr>
                    <w:t>4</w:t>
                  </w:r>
                </w:p>
              </w:tc>
              <w:tc>
                <w:tcPr>
                  <w:tcW w:w="3969" w:type="dxa"/>
                  <w:vAlign w:val="center"/>
                </w:tcPr>
                <w:p w14:paraId="5C2C2122">
                  <w:pPr>
                    <w:jc w:val="center"/>
                    <w:rPr>
                      <w:spacing w:val="-2"/>
                      <w:szCs w:val="21"/>
                    </w:rPr>
                  </w:pPr>
                  <w:r>
                    <w:rPr>
                      <w:rFonts w:hint="eastAsia"/>
                      <w:spacing w:val="-2"/>
                      <w:szCs w:val="21"/>
                    </w:rPr>
                    <w:t>根据处理工艺要求，在处理设施达到正常运行条件后方可启动生产设备，在生产设备停止、残留 VOCs 废气收集处理完毕后，方可停运处理设施。VOCs 废气处理系统发生故障或检修时，对应生</w:t>
                  </w:r>
                </w:p>
                <w:p w14:paraId="71B487F2">
                  <w:pPr>
                    <w:jc w:val="center"/>
                    <w:rPr>
                      <w:spacing w:val="-2"/>
                      <w:szCs w:val="21"/>
                    </w:rPr>
                  </w:pPr>
                  <w:r>
                    <w:rPr>
                      <w:rFonts w:hint="eastAsia"/>
                      <w:spacing w:val="-2"/>
                      <w:szCs w:val="21"/>
                    </w:rPr>
                    <w:t>产工艺设备应停止运行，待检修完毕后同步投入使用</w:t>
                  </w:r>
                </w:p>
              </w:tc>
              <w:tc>
                <w:tcPr>
                  <w:tcW w:w="2410" w:type="dxa"/>
                  <w:vAlign w:val="center"/>
                </w:tcPr>
                <w:p w14:paraId="31747DF4">
                  <w:pPr>
                    <w:jc w:val="center"/>
                    <w:rPr>
                      <w:spacing w:val="-2"/>
                      <w:szCs w:val="21"/>
                    </w:rPr>
                  </w:pPr>
                  <w:r>
                    <w:rPr>
                      <w:rFonts w:hint="eastAsia"/>
                      <w:spacing w:val="-2"/>
                      <w:szCs w:val="21"/>
                    </w:rPr>
                    <w:t>本项目废气收集处理系统将严格与生产工艺设备同步运行；所有废气支管均采用密闭设计，废气处理设施故障时，工艺设施相应停止运行</w:t>
                  </w:r>
                </w:p>
              </w:tc>
              <w:tc>
                <w:tcPr>
                  <w:tcW w:w="749" w:type="dxa"/>
                  <w:vAlign w:val="center"/>
                </w:tcPr>
                <w:p w14:paraId="35F78539">
                  <w:pPr>
                    <w:jc w:val="center"/>
                    <w:rPr>
                      <w:spacing w:val="-2"/>
                      <w:szCs w:val="21"/>
                    </w:rPr>
                  </w:pPr>
                  <w:r>
                    <w:rPr>
                      <w:rFonts w:hint="eastAsia"/>
                      <w:spacing w:val="-2"/>
                      <w:szCs w:val="21"/>
                    </w:rPr>
                    <w:t>符合</w:t>
                  </w:r>
                </w:p>
              </w:tc>
            </w:tr>
            <w:tr w14:paraId="38EE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4FD49F85">
                  <w:pPr>
                    <w:jc w:val="center"/>
                    <w:rPr>
                      <w:spacing w:val="-2"/>
                      <w:szCs w:val="21"/>
                    </w:rPr>
                  </w:pPr>
                  <w:r>
                    <w:rPr>
                      <w:rFonts w:hint="eastAsia"/>
                      <w:spacing w:val="-2"/>
                      <w:szCs w:val="21"/>
                    </w:rPr>
                    <w:t>5</w:t>
                  </w:r>
                </w:p>
              </w:tc>
              <w:tc>
                <w:tcPr>
                  <w:tcW w:w="3969" w:type="dxa"/>
                  <w:vAlign w:val="center"/>
                </w:tcPr>
                <w:p w14:paraId="77469735">
                  <w:pPr>
                    <w:jc w:val="center"/>
                    <w:rPr>
                      <w:spacing w:val="-2"/>
                      <w:szCs w:val="21"/>
                    </w:rPr>
                  </w:pPr>
                  <w:r>
                    <w:rPr>
                      <w:rFonts w:hint="eastAsia"/>
                      <w:spacing w:val="-2"/>
                      <w:szCs w:val="21"/>
                    </w:rPr>
                    <w:t>企业新建治污设施或对现有治污设施实施改造，应依据排放废气特征、VOCs组分及浓度、生产工况等，合理选择治理技术，对治理难度大、单一治理工艺难以稳定达标的，要采用多种技术的组</w:t>
                  </w:r>
                </w:p>
                <w:p w14:paraId="0175AEB9">
                  <w:pPr>
                    <w:jc w:val="center"/>
                    <w:rPr>
                      <w:spacing w:val="-2"/>
                      <w:szCs w:val="21"/>
                    </w:rPr>
                  </w:pPr>
                  <w:r>
                    <w:rPr>
                      <w:rFonts w:hint="eastAsia"/>
                      <w:spacing w:val="-2"/>
                      <w:szCs w:val="21"/>
                    </w:rPr>
                    <w:t>合工艺。采用活性炭吸附技术的，应选择碘值不低于 800 毫克/克的活性炭，并按设计要求足量添加及时更换</w:t>
                  </w:r>
                </w:p>
              </w:tc>
              <w:tc>
                <w:tcPr>
                  <w:tcW w:w="2410" w:type="dxa"/>
                  <w:vAlign w:val="center"/>
                </w:tcPr>
                <w:p w14:paraId="10F36971">
                  <w:pPr>
                    <w:jc w:val="center"/>
                    <w:rPr>
                      <w:spacing w:val="-2"/>
                      <w:szCs w:val="21"/>
                    </w:rPr>
                  </w:pPr>
                  <w:r>
                    <w:rPr>
                      <w:rFonts w:hint="eastAsia"/>
                      <w:spacing w:val="-2"/>
                      <w:szCs w:val="21"/>
                    </w:rPr>
                    <w:t>本项目有机废气污染物产生量小，采用活性炭吸附，根据设计要求，每2个月或半年更换一次</w:t>
                  </w:r>
                </w:p>
              </w:tc>
              <w:tc>
                <w:tcPr>
                  <w:tcW w:w="749" w:type="dxa"/>
                  <w:vAlign w:val="center"/>
                </w:tcPr>
                <w:p w14:paraId="10BA6DA4">
                  <w:pPr>
                    <w:jc w:val="center"/>
                    <w:rPr>
                      <w:spacing w:val="-2"/>
                      <w:szCs w:val="21"/>
                    </w:rPr>
                  </w:pPr>
                  <w:r>
                    <w:rPr>
                      <w:rFonts w:hint="eastAsia"/>
                      <w:spacing w:val="-2"/>
                      <w:szCs w:val="21"/>
                    </w:rPr>
                    <w:t>符合</w:t>
                  </w:r>
                </w:p>
              </w:tc>
            </w:tr>
          </w:tbl>
          <w:p w14:paraId="0DE6A55C">
            <w:pPr>
              <w:spacing w:line="360" w:lineRule="auto"/>
              <w:ind w:firstLine="474" w:firstLineChars="200"/>
              <w:rPr>
                <w:b/>
                <w:bCs/>
                <w:sz w:val="24"/>
              </w:rPr>
            </w:pPr>
            <w:r>
              <w:rPr>
                <w:rFonts w:hint="eastAsia"/>
                <w:b/>
                <w:spacing w:val="-2"/>
                <w:sz w:val="24"/>
              </w:rPr>
              <w:t>1.5</w:t>
            </w:r>
            <w:r>
              <w:rPr>
                <w:b/>
                <w:spacing w:val="-2"/>
                <w:sz w:val="24"/>
              </w:rPr>
              <w:t>.</w:t>
            </w:r>
            <w:r>
              <w:rPr>
                <w:rFonts w:hint="eastAsia"/>
                <w:b/>
                <w:spacing w:val="-2"/>
                <w:sz w:val="24"/>
              </w:rPr>
              <w:t>3</w:t>
            </w:r>
            <w:r>
              <w:rPr>
                <w:rFonts w:hAnsi="宋体"/>
                <w:b/>
                <w:bCs/>
                <w:sz w:val="24"/>
              </w:rPr>
              <w:t>与《</w:t>
            </w:r>
            <w:r>
              <w:rPr>
                <w:rFonts w:hint="eastAsia" w:hAnsi="宋体"/>
                <w:b/>
                <w:bCs/>
                <w:sz w:val="24"/>
              </w:rPr>
              <w:t>包装印刷业大气污染物排放标准</w:t>
            </w:r>
            <w:r>
              <w:rPr>
                <w:rFonts w:hAnsi="宋体"/>
                <w:b/>
                <w:bCs/>
                <w:sz w:val="24"/>
              </w:rPr>
              <w:t>》（</w:t>
            </w:r>
            <w:r>
              <w:rPr>
                <w:rFonts w:hint="eastAsia" w:hAnsi="宋体"/>
                <w:b/>
                <w:bCs/>
                <w:sz w:val="24"/>
              </w:rPr>
              <w:t>DB50/758-2017</w:t>
            </w:r>
            <w:r>
              <w:rPr>
                <w:rFonts w:hAnsi="宋体"/>
                <w:b/>
                <w:bCs/>
                <w:sz w:val="24"/>
              </w:rPr>
              <w:t>）的符合性分析</w:t>
            </w:r>
          </w:p>
          <w:p w14:paraId="01B57638">
            <w:pPr>
              <w:adjustRightInd w:val="0"/>
              <w:snapToGrid w:val="0"/>
              <w:spacing w:line="360" w:lineRule="auto"/>
              <w:ind w:firstLine="480"/>
              <w:rPr>
                <w:rFonts w:hAnsi="宋体"/>
                <w:sz w:val="24"/>
              </w:rPr>
            </w:pPr>
            <w:r>
              <w:rPr>
                <w:rFonts w:hint="eastAsia" w:hAnsi="宋体"/>
                <w:sz w:val="24"/>
              </w:rPr>
              <w:t>项目</w:t>
            </w:r>
            <w:r>
              <w:rPr>
                <w:rFonts w:hAnsi="宋体"/>
                <w:sz w:val="24"/>
                <w:lang w:val="en-GB"/>
              </w:rPr>
              <w:t>为</w:t>
            </w:r>
            <w:r>
              <w:rPr>
                <w:rFonts w:hint="eastAsia"/>
                <w:sz w:val="24"/>
              </w:rPr>
              <w:t>C2459其他玩具制造</w:t>
            </w:r>
            <w:r>
              <w:rPr>
                <w:rFonts w:hAnsi="宋体"/>
                <w:sz w:val="24"/>
                <w:lang w:val="en-GB"/>
              </w:rPr>
              <w:t>，</w:t>
            </w:r>
            <w:r>
              <w:rPr>
                <w:rFonts w:hint="eastAsia"/>
                <w:sz w:val="24"/>
              </w:rPr>
              <w:t>主要生产纸制品玩具，涉及印刷工艺</w:t>
            </w:r>
            <w:r>
              <w:rPr>
                <w:rFonts w:hint="eastAsia" w:hAnsi="宋体"/>
                <w:sz w:val="24"/>
              </w:rPr>
              <w:t>，拟建项目排放标准应执行</w:t>
            </w:r>
            <w:r>
              <w:rPr>
                <w:rFonts w:hAnsi="宋体"/>
                <w:bCs/>
                <w:sz w:val="24"/>
              </w:rPr>
              <w:t>《</w:t>
            </w:r>
            <w:r>
              <w:rPr>
                <w:rFonts w:hint="eastAsia" w:hAnsi="宋体"/>
                <w:bCs/>
                <w:sz w:val="24"/>
              </w:rPr>
              <w:t>包装印刷业大气污染物排放标准</w:t>
            </w:r>
            <w:r>
              <w:rPr>
                <w:rFonts w:hAnsi="宋体"/>
                <w:bCs/>
                <w:sz w:val="24"/>
              </w:rPr>
              <w:t>》（</w:t>
            </w:r>
            <w:r>
              <w:rPr>
                <w:rFonts w:hint="eastAsia" w:hAnsi="宋体"/>
                <w:bCs/>
                <w:sz w:val="24"/>
              </w:rPr>
              <w:t>DB50/758-2017</w:t>
            </w:r>
            <w:r>
              <w:rPr>
                <w:rFonts w:hAnsi="宋体"/>
                <w:bCs/>
                <w:sz w:val="24"/>
              </w:rPr>
              <w:t>）</w:t>
            </w:r>
            <w:r>
              <w:rPr>
                <w:rFonts w:hint="eastAsia" w:hAnsi="宋体"/>
                <w:bCs/>
                <w:sz w:val="24"/>
              </w:rPr>
              <w:t>中大气污染物排放标准限值。项目位于重庆市涪陵区李渡工业园，属于标准中的其他区域，主要的污染物为非甲烷总烃，且项目为新建项目，根据</w:t>
            </w:r>
            <w:r>
              <w:rPr>
                <w:rFonts w:hAnsi="宋体"/>
                <w:bCs/>
                <w:sz w:val="24"/>
              </w:rPr>
              <w:t>《</w:t>
            </w:r>
            <w:r>
              <w:rPr>
                <w:rFonts w:hint="eastAsia" w:hAnsi="宋体"/>
                <w:bCs/>
                <w:sz w:val="24"/>
              </w:rPr>
              <w:t>包装印刷业大气污染物排放标准</w:t>
            </w:r>
            <w:r>
              <w:rPr>
                <w:rFonts w:hAnsi="宋体"/>
                <w:bCs/>
                <w:sz w:val="24"/>
              </w:rPr>
              <w:t>》（</w:t>
            </w:r>
            <w:r>
              <w:rPr>
                <w:rFonts w:hint="eastAsia" w:hAnsi="宋体"/>
                <w:bCs/>
                <w:sz w:val="24"/>
              </w:rPr>
              <w:t>DB50/758-2017</w:t>
            </w:r>
            <w:r>
              <w:rPr>
                <w:rFonts w:hAnsi="宋体"/>
                <w:bCs/>
                <w:sz w:val="24"/>
              </w:rPr>
              <w:t>）</w:t>
            </w:r>
            <w:r>
              <w:rPr>
                <w:rFonts w:hint="eastAsia" w:hAnsi="宋体"/>
                <w:bCs/>
                <w:sz w:val="24"/>
              </w:rPr>
              <w:t>表2</w:t>
            </w:r>
            <w:r>
              <w:rPr>
                <w:rFonts w:hint="eastAsia" w:ascii="宋体" w:hAnsi="宋体"/>
                <w:bCs/>
                <w:sz w:val="24"/>
              </w:rPr>
              <w:t>Ⅱ</w:t>
            </w:r>
            <w:r>
              <w:rPr>
                <w:rFonts w:hint="eastAsia" w:hAnsi="宋体"/>
                <w:bCs/>
                <w:sz w:val="24"/>
              </w:rPr>
              <w:t>时段执行的大气污染物排放限值。</w:t>
            </w:r>
            <w:r>
              <w:rPr>
                <w:rFonts w:hint="eastAsia" w:hAnsi="宋体"/>
                <w:sz w:val="24"/>
              </w:rPr>
              <w:t>拟建</w:t>
            </w:r>
            <w:r>
              <w:rPr>
                <w:rFonts w:hAnsi="宋体"/>
                <w:sz w:val="24"/>
              </w:rPr>
              <w:t>项目与</w:t>
            </w:r>
            <w:r>
              <w:rPr>
                <w:rFonts w:hAnsi="宋体"/>
                <w:bCs/>
                <w:sz w:val="24"/>
              </w:rPr>
              <w:t>《</w:t>
            </w:r>
            <w:r>
              <w:rPr>
                <w:rFonts w:hint="eastAsia" w:hAnsi="宋体"/>
                <w:bCs/>
                <w:sz w:val="24"/>
              </w:rPr>
              <w:t>包装印刷业大气污染物排放标准</w:t>
            </w:r>
            <w:r>
              <w:rPr>
                <w:rFonts w:hAnsi="宋体"/>
                <w:bCs/>
                <w:sz w:val="24"/>
              </w:rPr>
              <w:t>》（</w:t>
            </w:r>
            <w:r>
              <w:rPr>
                <w:rFonts w:hint="eastAsia" w:hAnsi="宋体"/>
                <w:bCs/>
                <w:sz w:val="24"/>
              </w:rPr>
              <w:t>DB50/758-2017</w:t>
            </w:r>
            <w:r>
              <w:rPr>
                <w:rFonts w:hAnsi="宋体"/>
                <w:bCs/>
                <w:sz w:val="24"/>
              </w:rPr>
              <w:t>）</w:t>
            </w:r>
            <w:r>
              <w:rPr>
                <w:rFonts w:hAnsi="宋体"/>
                <w:sz w:val="24"/>
              </w:rPr>
              <w:t>的符合性分析见下表</w:t>
            </w:r>
            <w:r>
              <w:rPr>
                <w:rFonts w:hint="eastAsia"/>
                <w:sz w:val="24"/>
              </w:rPr>
              <w:t>1.5-3</w:t>
            </w:r>
            <w:r>
              <w:rPr>
                <w:rFonts w:hAnsi="宋体"/>
                <w:sz w:val="24"/>
              </w:rPr>
              <w:t>。</w:t>
            </w:r>
          </w:p>
          <w:p w14:paraId="54340359">
            <w:pPr>
              <w:jc w:val="center"/>
              <w:rPr>
                <w:rFonts w:hAnsi="宋体"/>
                <w:b/>
                <w:bCs/>
                <w:szCs w:val="21"/>
              </w:rPr>
            </w:pPr>
            <w:r>
              <w:rPr>
                <w:rFonts w:hAnsi="宋体"/>
                <w:b/>
                <w:bCs/>
                <w:szCs w:val="21"/>
              </w:rPr>
              <w:t>表</w:t>
            </w:r>
            <w:r>
              <w:rPr>
                <w:rFonts w:hint="eastAsia" w:hAnsi="宋体"/>
                <w:b/>
                <w:bCs/>
                <w:szCs w:val="21"/>
              </w:rPr>
              <w:t xml:space="preserve">1.5-3 </w:t>
            </w:r>
            <w:r>
              <w:rPr>
                <w:rFonts w:hAnsi="宋体"/>
                <w:b/>
                <w:bCs/>
                <w:szCs w:val="21"/>
              </w:rPr>
              <w:t xml:space="preserve"> 与《</w:t>
            </w:r>
            <w:r>
              <w:rPr>
                <w:rFonts w:hint="eastAsia" w:hAnsi="宋体"/>
                <w:b/>
                <w:bCs/>
                <w:szCs w:val="21"/>
              </w:rPr>
              <w:t>包装印刷业大气污染物排放标准</w:t>
            </w:r>
            <w:r>
              <w:rPr>
                <w:rFonts w:hAnsi="宋体"/>
                <w:b/>
                <w:bCs/>
                <w:szCs w:val="21"/>
              </w:rPr>
              <w:t>》（</w:t>
            </w:r>
            <w:r>
              <w:rPr>
                <w:rFonts w:hint="eastAsia" w:hAnsi="宋体"/>
                <w:b/>
                <w:bCs/>
                <w:szCs w:val="21"/>
              </w:rPr>
              <w:t>DB50/758-2017</w:t>
            </w:r>
            <w:r>
              <w:rPr>
                <w:rFonts w:hAnsi="宋体"/>
                <w:b/>
                <w:bCs/>
                <w:szCs w:val="21"/>
              </w:rPr>
              <w:t>）</w:t>
            </w:r>
            <w:r>
              <w:rPr>
                <w:rFonts w:hint="eastAsia" w:hAnsi="宋体"/>
                <w:b/>
                <w:bCs/>
                <w:szCs w:val="21"/>
              </w:rPr>
              <w:t>的</w:t>
            </w:r>
            <w:r>
              <w:rPr>
                <w:rFonts w:hAnsi="宋体"/>
                <w:b/>
                <w:bCs/>
                <w:szCs w:val="21"/>
              </w:rPr>
              <w:t>符合性分析表</w:t>
            </w:r>
          </w:p>
          <w:tbl>
            <w:tblPr>
              <w:tblStyle w:val="24"/>
              <w:tblW w:w="76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1"/>
              <w:gridCol w:w="3260"/>
              <w:gridCol w:w="3119"/>
              <w:gridCol w:w="850"/>
            </w:tblGrid>
            <w:tr w14:paraId="2EBD5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3711" w:type="dxa"/>
                  <w:gridSpan w:val="2"/>
                  <w:vAlign w:val="center"/>
                </w:tcPr>
                <w:p w14:paraId="271A2AC4">
                  <w:pPr>
                    <w:pStyle w:val="109"/>
                    <w:rPr>
                      <w:rFonts w:hAnsi="宋体"/>
                    </w:rPr>
                  </w:pPr>
                  <w:r>
                    <w:rPr>
                      <w:rFonts w:hAnsi="宋体"/>
                    </w:rPr>
                    <w:t>与标准相关的要求</w:t>
                  </w:r>
                </w:p>
              </w:tc>
              <w:tc>
                <w:tcPr>
                  <w:tcW w:w="3119" w:type="dxa"/>
                  <w:vAlign w:val="center"/>
                </w:tcPr>
                <w:p w14:paraId="7C3D8879">
                  <w:pPr>
                    <w:pStyle w:val="109"/>
                  </w:pPr>
                  <w:r>
                    <w:rPr>
                      <w:rFonts w:hAnsi="宋体"/>
                    </w:rPr>
                    <w:t>拟建项目情况</w:t>
                  </w:r>
                </w:p>
              </w:tc>
              <w:tc>
                <w:tcPr>
                  <w:tcW w:w="850" w:type="dxa"/>
                  <w:vAlign w:val="center"/>
                </w:tcPr>
                <w:p w14:paraId="4DBF88B2">
                  <w:pPr>
                    <w:pStyle w:val="109"/>
                  </w:pPr>
                  <w:r>
                    <w:rPr>
                      <w:rFonts w:hAnsi="宋体"/>
                    </w:rPr>
                    <w:t>符合性</w:t>
                  </w:r>
                </w:p>
              </w:tc>
            </w:tr>
            <w:tr w14:paraId="33F71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451" w:type="dxa"/>
                  <w:vMerge w:val="restart"/>
                  <w:vAlign w:val="center"/>
                </w:tcPr>
                <w:p w14:paraId="6C443044">
                  <w:pPr>
                    <w:jc w:val="center"/>
                    <w:rPr>
                      <w:szCs w:val="21"/>
                    </w:rPr>
                  </w:pPr>
                  <w:r>
                    <w:rPr>
                      <w:rFonts w:hint="eastAsia" w:hAnsi="宋体"/>
                      <w:szCs w:val="21"/>
                    </w:rPr>
                    <w:t>生产管理和工艺操作技术要求</w:t>
                  </w:r>
                </w:p>
              </w:tc>
              <w:tc>
                <w:tcPr>
                  <w:tcW w:w="3260" w:type="dxa"/>
                </w:tcPr>
                <w:p w14:paraId="6BD6336D">
                  <w:pPr>
                    <w:pStyle w:val="109"/>
                    <w:rPr>
                      <w:rFonts w:hAnsi="宋体"/>
                    </w:rPr>
                  </w:pPr>
                  <w:r>
                    <w:rPr>
                      <w:rFonts w:hint="eastAsia" w:hAnsi="宋体"/>
                    </w:rPr>
                    <w:t>油墨、粘胶剂、有机溶剂等原辅材料宜储存在密封容器中。在有机溶剂输送与转移、墨辊等设备清洗过程中，应尽可能减少VOCs排放。废弃的油墨桶、有机溶剂容器桶或胶水桶在移交专门的回收处理机构前，应密封存储。</w:t>
                  </w:r>
                </w:p>
              </w:tc>
              <w:tc>
                <w:tcPr>
                  <w:tcW w:w="3119" w:type="dxa"/>
                  <w:vAlign w:val="center"/>
                </w:tcPr>
                <w:p w14:paraId="5FCBA83F">
                  <w:pPr>
                    <w:pStyle w:val="109"/>
                  </w:pPr>
                  <w:r>
                    <w:rPr>
                      <w:rFonts w:hint="eastAsia"/>
                    </w:rPr>
                    <w:t>项目所用原辅材料均储存在密封容器中。项目设置有机溶剂输送、墨辊等设备清洗时均在印刷机旁，并采用废气收集系统收集转移及清洗产生的有机废气，尽量减少VOCs的排放。项目</w:t>
                  </w:r>
                  <w:r>
                    <w:rPr>
                      <w:rFonts w:hint="eastAsia" w:hAnsi="宋体"/>
                    </w:rPr>
                    <w:t>废弃的油墨桶、有机溶剂容器桶或胶水桶分类密封存储在危废暂存间，定期交专门的回收处理机构处置。</w:t>
                  </w:r>
                </w:p>
              </w:tc>
              <w:tc>
                <w:tcPr>
                  <w:tcW w:w="850" w:type="dxa"/>
                  <w:vAlign w:val="center"/>
                </w:tcPr>
                <w:p w14:paraId="48D0374D">
                  <w:pPr>
                    <w:pStyle w:val="109"/>
                  </w:pPr>
                  <w:r>
                    <w:rPr>
                      <w:rFonts w:hAnsi="宋体"/>
                    </w:rPr>
                    <w:t>符合</w:t>
                  </w:r>
                </w:p>
              </w:tc>
            </w:tr>
            <w:tr w14:paraId="7799E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451" w:type="dxa"/>
                  <w:vMerge w:val="continue"/>
                  <w:vAlign w:val="center"/>
                </w:tcPr>
                <w:p w14:paraId="1C3166F9">
                  <w:pPr>
                    <w:jc w:val="center"/>
                    <w:rPr>
                      <w:rFonts w:hAnsi="宋体"/>
                      <w:szCs w:val="21"/>
                    </w:rPr>
                  </w:pPr>
                </w:p>
              </w:tc>
              <w:tc>
                <w:tcPr>
                  <w:tcW w:w="3260" w:type="dxa"/>
                </w:tcPr>
                <w:p w14:paraId="3791486E">
                  <w:pPr>
                    <w:pStyle w:val="109"/>
                    <w:rPr>
                      <w:rFonts w:hAnsi="宋体"/>
                    </w:rPr>
                  </w:pPr>
                  <w:r>
                    <w:rPr>
                      <w:rFonts w:hint="eastAsia" w:hAnsi="宋体"/>
                    </w:rPr>
                    <w:t>印刷、烘干、复合等工艺单元产生的含VOCs废气，条件允许，宜回收利用；不能（或不能完全）回收利用的，应采用围闭式集气系统或局部集气系统，将工艺过程产生的VOCs经由密闭排气系统导入VOCs控制设备进行处理并达到本标准排放限值后排放。</w:t>
                  </w:r>
                </w:p>
              </w:tc>
              <w:tc>
                <w:tcPr>
                  <w:tcW w:w="3119" w:type="dxa"/>
                  <w:vAlign w:val="center"/>
                </w:tcPr>
                <w:p w14:paraId="20D6C9BF">
                  <w:pPr>
                    <w:pStyle w:val="109"/>
                  </w:pPr>
                  <w:r>
                    <w:rPr>
                      <w:rFonts w:hint="eastAsia"/>
                    </w:rPr>
                    <w:t>项目印刷等有机废气采用集气罩收集，收集的有机废气通过密闭系统进入“二级活性炭吸附”装置处置达到本标准排放限值</w:t>
                  </w:r>
                </w:p>
                <w:p w14:paraId="23ECF6C6">
                  <w:pPr>
                    <w:pStyle w:val="109"/>
                  </w:pPr>
                  <w:r>
                    <w:rPr>
                      <w:rFonts w:hint="eastAsia"/>
                    </w:rPr>
                    <w:t>排放。</w:t>
                  </w:r>
                </w:p>
              </w:tc>
              <w:tc>
                <w:tcPr>
                  <w:tcW w:w="850" w:type="dxa"/>
                  <w:vAlign w:val="center"/>
                </w:tcPr>
                <w:p w14:paraId="30D76D23">
                  <w:pPr>
                    <w:pStyle w:val="109"/>
                    <w:rPr>
                      <w:rFonts w:hAnsi="宋体"/>
                    </w:rPr>
                  </w:pPr>
                  <w:r>
                    <w:rPr>
                      <w:rFonts w:hint="eastAsia" w:hAnsi="宋体"/>
                    </w:rPr>
                    <w:t>符合</w:t>
                  </w:r>
                </w:p>
              </w:tc>
            </w:tr>
            <w:tr w14:paraId="22548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451" w:type="dxa"/>
                  <w:vMerge w:val="continue"/>
                  <w:vAlign w:val="center"/>
                </w:tcPr>
                <w:p w14:paraId="4CFEF1EC">
                  <w:pPr>
                    <w:jc w:val="center"/>
                    <w:rPr>
                      <w:rFonts w:hAnsi="宋体"/>
                      <w:szCs w:val="21"/>
                    </w:rPr>
                  </w:pPr>
                </w:p>
              </w:tc>
              <w:tc>
                <w:tcPr>
                  <w:tcW w:w="3260" w:type="dxa"/>
                </w:tcPr>
                <w:p w14:paraId="2AEE9532">
                  <w:pPr>
                    <w:pStyle w:val="109"/>
                    <w:rPr>
                      <w:rFonts w:hAnsi="宋体"/>
                    </w:rPr>
                  </w:pPr>
                  <w:r>
                    <w:rPr>
                      <w:rFonts w:hint="eastAsia" w:hAnsi="宋体"/>
                    </w:rPr>
                    <w:t>印刷生产活动中禁止使用煤油或汽油作为设备清洗剂；禁止溶剂型上光油的使用；禁止使用溶剂型书刊订用胶黏剂，胶黏剂又该物质应符合HJ/T220的要求</w:t>
                  </w:r>
                </w:p>
              </w:tc>
              <w:tc>
                <w:tcPr>
                  <w:tcW w:w="3119" w:type="dxa"/>
                  <w:vAlign w:val="center"/>
                </w:tcPr>
                <w:p w14:paraId="348550D5">
                  <w:pPr>
                    <w:pStyle w:val="109"/>
                  </w:pPr>
                  <w:r>
                    <w:rPr>
                      <w:rFonts w:hint="eastAsia"/>
                    </w:rPr>
                    <w:t>项目使用的是专用印刷设备清洗剂、使用的是水性上光油、胶粘剂采用的是水基性胶粘剂。</w:t>
                  </w:r>
                </w:p>
              </w:tc>
              <w:tc>
                <w:tcPr>
                  <w:tcW w:w="850" w:type="dxa"/>
                  <w:vAlign w:val="center"/>
                </w:tcPr>
                <w:p w14:paraId="04EC5156">
                  <w:pPr>
                    <w:pStyle w:val="109"/>
                    <w:rPr>
                      <w:rFonts w:hAnsi="宋体"/>
                    </w:rPr>
                  </w:pPr>
                  <w:r>
                    <w:rPr>
                      <w:rFonts w:hint="eastAsia" w:hAnsi="宋体"/>
                    </w:rPr>
                    <w:t>符合</w:t>
                  </w:r>
                </w:p>
              </w:tc>
            </w:tr>
          </w:tbl>
          <w:p w14:paraId="363FF635">
            <w:pPr>
              <w:spacing w:line="360" w:lineRule="auto"/>
              <w:ind w:firstLine="480"/>
              <w:rPr>
                <w:rFonts w:hAnsi="宋体"/>
                <w:sz w:val="24"/>
              </w:rPr>
            </w:pPr>
            <w:r>
              <w:rPr>
                <w:rFonts w:hAnsi="宋体"/>
                <w:sz w:val="24"/>
                <w:lang w:val="zh-CN"/>
              </w:rPr>
              <w:t>根据表</w:t>
            </w:r>
            <w:r>
              <w:rPr>
                <w:rFonts w:hint="eastAsia"/>
                <w:sz w:val="24"/>
              </w:rPr>
              <w:t>1.5-3</w:t>
            </w:r>
            <w:r>
              <w:rPr>
                <w:rFonts w:hAnsi="宋体"/>
                <w:sz w:val="24"/>
              </w:rPr>
              <w:t>分析可知，</w:t>
            </w:r>
            <w:r>
              <w:rPr>
                <w:rFonts w:hint="eastAsia" w:hAnsi="宋体"/>
                <w:sz w:val="24"/>
              </w:rPr>
              <w:t>拟建项目</w:t>
            </w:r>
            <w:r>
              <w:rPr>
                <w:rFonts w:hAnsi="宋体"/>
                <w:sz w:val="24"/>
              </w:rPr>
              <w:t>符合</w:t>
            </w:r>
            <w:r>
              <w:rPr>
                <w:rFonts w:hAnsi="宋体"/>
                <w:bCs/>
                <w:sz w:val="24"/>
              </w:rPr>
              <w:t>《</w:t>
            </w:r>
            <w:r>
              <w:rPr>
                <w:rFonts w:hint="eastAsia" w:hAnsi="宋体"/>
                <w:bCs/>
                <w:sz w:val="24"/>
              </w:rPr>
              <w:t>包装印刷业大气污染物排放标准</w:t>
            </w:r>
            <w:r>
              <w:rPr>
                <w:rFonts w:hAnsi="宋体"/>
                <w:bCs/>
                <w:sz w:val="24"/>
              </w:rPr>
              <w:t>》（</w:t>
            </w:r>
            <w:r>
              <w:rPr>
                <w:rFonts w:hint="eastAsia" w:hAnsi="宋体"/>
                <w:bCs/>
                <w:sz w:val="24"/>
              </w:rPr>
              <w:t>DB50/758-2017</w:t>
            </w:r>
            <w:r>
              <w:rPr>
                <w:rFonts w:hAnsi="宋体"/>
                <w:bCs/>
                <w:sz w:val="24"/>
              </w:rPr>
              <w:t>）</w:t>
            </w:r>
            <w:r>
              <w:rPr>
                <w:rFonts w:hint="eastAsia" w:hAnsi="宋体"/>
                <w:bCs/>
                <w:sz w:val="24"/>
              </w:rPr>
              <w:t>中的要求</w:t>
            </w:r>
            <w:r>
              <w:rPr>
                <w:rFonts w:hAnsi="宋体"/>
                <w:sz w:val="24"/>
              </w:rPr>
              <w:t>。</w:t>
            </w:r>
          </w:p>
          <w:p w14:paraId="34BE8B27">
            <w:pPr>
              <w:spacing w:line="460" w:lineRule="exact"/>
              <w:ind w:firstLine="474" w:firstLineChars="200"/>
              <w:rPr>
                <w:rFonts w:hAnsi="宋体"/>
                <w:b/>
                <w:sz w:val="24"/>
              </w:rPr>
            </w:pPr>
            <w:r>
              <w:rPr>
                <w:rFonts w:hint="eastAsia"/>
                <w:b/>
                <w:spacing w:val="-2"/>
                <w:sz w:val="24"/>
              </w:rPr>
              <w:t>1.5</w:t>
            </w:r>
            <w:r>
              <w:rPr>
                <w:b/>
                <w:spacing w:val="-2"/>
                <w:sz w:val="24"/>
              </w:rPr>
              <w:t>.</w:t>
            </w:r>
            <w:r>
              <w:rPr>
                <w:rFonts w:hint="eastAsia"/>
                <w:b/>
                <w:spacing w:val="-2"/>
                <w:sz w:val="24"/>
              </w:rPr>
              <w:t>4 与</w:t>
            </w:r>
            <w:r>
              <w:rPr>
                <w:rFonts w:hint="eastAsia" w:hAnsi="宋体"/>
                <w:b/>
                <w:sz w:val="24"/>
              </w:rPr>
              <w:t>《油墨中可挥发性有机化合物（</w:t>
            </w:r>
            <w:r>
              <w:rPr>
                <w:rFonts w:hAnsi="宋体"/>
                <w:b/>
                <w:sz w:val="24"/>
              </w:rPr>
              <w:t>VOCs</w:t>
            </w:r>
            <w:r>
              <w:rPr>
                <w:rFonts w:hint="eastAsia" w:hAnsi="宋体"/>
                <w:b/>
                <w:sz w:val="24"/>
              </w:rPr>
              <w:t>）含量的限值》（</w:t>
            </w:r>
            <w:r>
              <w:rPr>
                <w:rFonts w:hAnsi="宋体"/>
                <w:b/>
                <w:sz w:val="24"/>
              </w:rPr>
              <w:t>GB38507-2020</w:t>
            </w:r>
            <w:r>
              <w:rPr>
                <w:rFonts w:hint="eastAsia" w:hAnsi="宋体"/>
                <w:b/>
                <w:sz w:val="24"/>
              </w:rPr>
              <w:t>）符合性分析</w:t>
            </w:r>
          </w:p>
          <w:p w14:paraId="2C39ABF7">
            <w:pPr>
              <w:spacing w:line="460" w:lineRule="exact"/>
              <w:ind w:firstLine="480" w:firstLineChars="200"/>
              <w:rPr>
                <w:rFonts w:hAnsi="宋体"/>
                <w:sz w:val="24"/>
              </w:rPr>
            </w:pPr>
            <w:r>
              <w:rPr>
                <w:rFonts w:hint="eastAsia" w:hAnsi="宋体"/>
                <w:sz w:val="24"/>
              </w:rPr>
              <w:t>拟建项目为平板印刷，使用的是胶印油墨，油墨印刷后通过紫外线或红外线干燥，根据《油墨中可挥发性有机化合物（</w:t>
            </w:r>
            <w:r>
              <w:rPr>
                <w:rFonts w:hAnsi="宋体"/>
                <w:sz w:val="24"/>
              </w:rPr>
              <w:t>VOCs</w:t>
            </w:r>
            <w:r>
              <w:rPr>
                <w:rFonts w:hint="eastAsia" w:hAnsi="宋体"/>
                <w:sz w:val="24"/>
              </w:rPr>
              <w:t>）含量的限值》（</w:t>
            </w:r>
            <w:r>
              <w:rPr>
                <w:rFonts w:hAnsi="宋体"/>
                <w:sz w:val="24"/>
              </w:rPr>
              <w:t>GB38507-2020</w:t>
            </w:r>
            <w:r>
              <w:rPr>
                <w:rFonts w:hint="eastAsia" w:hAnsi="宋体"/>
                <w:sz w:val="24"/>
              </w:rPr>
              <w:t>）分析可知，项目使用的为能量固化油墨中的胶印油墨，油墨中可挥发性有机化合物（</w:t>
            </w:r>
            <w:r>
              <w:rPr>
                <w:rFonts w:hAnsi="宋体"/>
                <w:sz w:val="24"/>
              </w:rPr>
              <w:t>VOCs</w:t>
            </w:r>
            <w:r>
              <w:rPr>
                <w:rFonts w:hint="eastAsia" w:hAnsi="宋体"/>
                <w:sz w:val="24"/>
              </w:rPr>
              <w:t>）含量限值≤2%，根据业主提供的本项目所使用的油墨VOCs检测报告（附件6）可知，项目所使用的油墨VOCs检测结果符合油墨中可挥发性有机化合物（</w:t>
            </w:r>
            <w:r>
              <w:rPr>
                <w:rFonts w:hAnsi="宋体"/>
                <w:sz w:val="24"/>
              </w:rPr>
              <w:t>VOCs</w:t>
            </w:r>
            <w:r>
              <w:rPr>
                <w:rFonts w:hint="eastAsia" w:hAnsi="宋体"/>
                <w:sz w:val="24"/>
              </w:rPr>
              <w:t>）含量的限值》（</w:t>
            </w:r>
            <w:r>
              <w:rPr>
                <w:rFonts w:hAnsi="宋体"/>
                <w:sz w:val="24"/>
              </w:rPr>
              <w:t>GB38507-2020</w:t>
            </w:r>
            <w:r>
              <w:rPr>
                <w:rFonts w:hint="eastAsia" w:hAnsi="宋体"/>
                <w:sz w:val="24"/>
              </w:rPr>
              <w:t>）要求。</w:t>
            </w:r>
          </w:p>
          <w:p w14:paraId="70BE1306">
            <w:pPr>
              <w:spacing w:line="480" w:lineRule="exact"/>
              <w:ind w:firstLine="472" w:firstLineChars="200"/>
              <w:rPr>
                <w:rFonts w:hAnsi="宋体"/>
                <w:spacing w:val="-2"/>
                <w:sz w:val="24"/>
              </w:rPr>
            </w:pPr>
          </w:p>
          <w:p w14:paraId="7DF5553A">
            <w:pPr>
              <w:spacing w:line="480" w:lineRule="exact"/>
              <w:ind w:firstLine="472" w:firstLineChars="200"/>
              <w:rPr>
                <w:rFonts w:hAnsi="宋体"/>
                <w:spacing w:val="-2"/>
                <w:sz w:val="24"/>
              </w:rPr>
            </w:pPr>
          </w:p>
          <w:p w14:paraId="1B784F52">
            <w:pPr>
              <w:spacing w:line="480" w:lineRule="exact"/>
              <w:ind w:firstLine="472" w:firstLineChars="200"/>
              <w:rPr>
                <w:rFonts w:hAnsi="宋体"/>
                <w:spacing w:val="-2"/>
                <w:sz w:val="24"/>
              </w:rPr>
            </w:pPr>
          </w:p>
          <w:p w14:paraId="39E16AD5">
            <w:pPr>
              <w:spacing w:line="480" w:lineRule="exact"/>
              <w:ind w:firstLine="472" w:firstLineChars="200"/>
              <w:rPr>
                <w:rFonts w:hAnsi="宋体"/>
                <w:spacing w:val="-2"/>
                <w:sz w:val="24"/>
              </w:rPr>
            </w:pPr>
          </w:p>
          <w:p w14:paraId="215089FE">
            <w:pPr>
              <w:spacing w:line="480" w:lineRule="exact"/>
              <w:ind w:firstLine="472" w:firstLineChars="200"/>
              <w:rPr>
                <w:rFonts w:hAnsi="宋体"/>
                <w:spacing w:val="-2"/>
                <w:sz w:val="24"/>
              </w:rPr>
            </w:pPr>
          </w:p>
          <w:p w14:paraId="1EDDE391">
            <w:pPr>
              <w:spacing w:line="360" w:lineRule="auto"/>
              <w:ind w:firstLine="482"/>
              <w:rPr>
                <w:rFonts w:ascii="宋体" w:hAnsi="宋体" w:cs="宋体"/>
                <w:kern w:val="0"/>
                <w:sz w:val="24"/>
              </w:rPr>
            </w:pPr>
          </w:p>
        </w:tc>
      </w:tr>
    </w:tbl>
    <w:p w14:paraId="263CA0C7">
      <w:pPr>
        <w:pStyle w:val="20"/>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8519"/>
      </w:tblGrid>
      <w:tr w14:paraId="77DB7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96" w:type="dxa"/>
            <w:vAlign w:val="center"/>
          </w:tcPr>
          <w:p w14:paraId="36965D1A">
            <w:pPr>
              <w:pStyle w:val="20"/>
              <w:adjustRightInd w:val="0"/>
              <w:snapToGrid w:val="0"/>
              <w:spacing w:before="0" w:beforeAutospacing="0" w:after="0" w:afterAutospacing="0"/>
              <w:jc w:val="center"/>
              <w:rPr>
                <w:rFonts w:ascii="Times New Roman" w:hAnsi="Times New Roman"/>
                <w:szCs w:val="24"/>
              </w:rPr>
            </w:pPr>
            <w:r>
              <w:rPr>
                <w:rFonts w:ascii="Times New Roman"/>
                <w:szCs w:val="24"/>
              </w:rPr>
              <w:t>建设内容</w:t>
            </w:r>
            <w:r>
              <w:rPr>
                <w:rFonts w:ascii="Times New Roman" w:hAnsi="Times New Roman"/>
                <w:szCs w:val="24"/>
              </w:rPr>
              <w:t xml:space="preserve">    </w:t>
            </w:r>
          </w:p>
        </w:tc>
        <w:tc>
          <w:tcPr>
            <w:tcW w:w="8488" w:type="dxa"/>
          </w:tcPr>
          <w:p w14:paraId="08D7661E">
            <w:pPr>
              <w:pStyle w:val="58"/>
              <w:spacing w:line="480" w:lineRule="exact"/>
              <w:ind w:firstLine="0" w:firstLineChars="0"/>
              <w:jc w:val="left"/>
              <w:rPr>
                <w:rFonts w:hAnsi="宋体"/>
                <w:b/>
                <w:color w:val="auto"/>
              </w:rPr>
            </w:pPr>
            <w:r>
              <w:rPr>
                <w:rFonts w:hint="eastAsia" w:hAnsi="宋体"/>
                <w:b/>
                <w:color w:val="auto"/>
              </w:rPr>
              <w:t>2.1.1项目由来</w:t>
            </w:r>
          </w:p>
          <w:p w14:paraId="04617A7A">
            <w:pPr>
              <w:pStyle w:val="90"/>
              <w:adjustRightInd w:val="0"/>
              <w:snapToGrid w:val="0"/>
              <w:spacing w:afterLines="0" w:line="480" w:lineRule="exact"/>
              <w:ind w:firstLine="480"/>
              <w:jc w:val="left"/>
              <w:rPr>
                <w:rFonts w:hAnsi="宋体" w:cs="宋体"/>
                <w:kern w:val="2"/>
                <w:sz w:val="24"/>
                <w:szCs w:val="24"/>
              </w:rPr>
            </w:pPr>
            <w:r>
              <w:rPr>
                <w:rFonts w:hint="eastAsia" w:hAnsi="宋体" w:cs="宋体"/>
                <w:kern w:val="2"/>
                <w:sz w:val="24"/>
                <w:szCs w:val="24"/>
              </w:rPr>
              <w:t>凯高智造礼品（重庆）有限公司成立于2021年09月26日，是一家专门从事纸制品玩具研究、开发、生产的厂家。</w:t>
            </w:r>
          </w:p>
          <w:p w14:paraId="2599ED60">
            <w:pPr>
              <w:autoSpaceDE w:val="0"/>
              <w:autoSpaceDN w:val="0"/>
              <w:adjustRightInd w:val="0"/>
              <w:spacing w:line="480" w:lineRule="exact"/>
              <w:ind w:firstLine="480" w:firstLineChars="200"/>
              <w:rPr>
                <w:sz w:val="24"/>
              </w:rPr>
            </w:pPr>
            <w:r>
              <w:rPr>
                <w:rFonts w:hint="eastAsia" w:hAnsi="宋体" w:cs="宋体"/>
                <w:sz w:val="24"/>
              </w:rPr>
              <w:t>为了迎合市场需求，凯高智造礼品（重庆）有限公司</w:t>
            </w:r>
            <w:r>
              <w:rPr>
                <w:sz w:val="24"/>
              </w:rPr>
              <w:t>拟在</w:t>
            </w:r>
            <w:r>
              <w:rPr>
                <w:rFonts w:hint="eastAsia"/>
                <w:sz w:val="24"/>
              </w:rPr>
              <w:t>重庆市涪陵区鹤凤大道33号</w:t>
            </w:r>
            <w:r>
              <w:rPr>
                <w:sz w:val="24"/>
              </w:rPr>
              <w:t>建设</w:t>
            </w:r>
            <w:r>
              <w:rPr>
                <w:rFonts w:hint="eastAsia"/>
                <w:sz w:val="24"/>
              </w:rPr>
              <w:t>“年产12000万只全降解礼品的生产项目”</w:t>
            </w:r>
            <w:r>
              <w:rPr>
                <w:sz w:val="24"/>
              </w:rPr>
              <w:t>（以下简称</w:t>
            </w:r>
            <w:r>
              <w:rPr>
                <w:rFonts w:hint="eastAsia"/>
                <w:sz w:val="24"/>
              </w:rPr>
              <w:t>“</w:t>
            </w:r>
            <w:r>
              <w:rPr>
                <w:sz w:val="24"/>
              </w:rPr>
              <w:t>拟建项目</w:t>
            </w:r>
            <w:r>
              <w:rPr>
                <w:rFonts w:hint="eastAsia"/>
                <w:sz w:val="24"/>
              </w:rPr>
              <w:t>”）</w:t>
            </w:r>
            <w:r>
              <w:rPr>
                <w:sz w:val="24"/>
              </w:rPr>
              <w:t>，</w:t>
            </w:r>
            <w:r>
              <w:rPr>
                <w:rFonts w:hint="eastAsia"/>
                <w:sz w:val="24"/>
              </w:rPr>
              <w:t>项目总用地面积68769m</w:t>
            </w:r>
            <w:r>
              <w:rPr>
                <w:rFonts w:hint="eastAsia"/>
                <w:sz w:val="24"/>
                <w:vertAlign w:val="superscript"/>
              </w:rPr>
              <w:t>2</w:t>
            </w:r>
            <w:r>
              <w:rPr>
                <w:rFonts w:hint="eastAsia"/>
                <w:sz w:val="24"/>
              </w:rPr>
              <w:t>，拟建项目建设</w:t>
            </w:r>
            <w:r>
              <w:rPr>
                <w:rFonts w:hint="eastAsia"/>
                <w:bCs/>
                <w:sz w:val="24"/>
              </w:rPr>
              <w:t>1栋2#厂房（2F）、1栋3#仓库（1F）、1栋8#食堂（2F）、1栋9#材料库（2F），地块中其他位置为未来规划厂房，不在本次评价范围之内。</w:t>
            </w:r>
          </w:p>
          <w:p w14:paraId="4CC2C4C0">
            <w:pPr>
              <w:autoSpaceDE w:val="0"/>
              <w:autoSpaceDN w:val="0"/>
              <w:adjustRightInd w:val="0"/>
              <w:spacing w:line="480" w:lineRule="exact"/>
              <w:ind w:firstLine="480" w:firstLineChars="200"/>
              <w:rPr>
                <w:sz w:val="24"/>
                <w:highlight w:val="yellow"/>
              </w:rPr>
            </w:pPr>
            <w:r>
              <w:rPr>
                <w:sz w:val="24"/>
              </w:rPr>
              <w:t>拟建项目为</w:t>
            </w:r>
            <w:r>
              <w:rPr>
                <w:rFonts w:hint="eastAsia"/>
                <w:sz w:val="24"/>
              </w:rPr>
              <w:t>纸制品玩具生产制造</w:t>
            </w:r>
            <w:r>
              <w:rPr>
                <w:sz w:val="24"/>
              </w:rPr>
              <w:t>项目，</w:t>
            </w:r>
            <w:r>
              <w:rPr>
                <w:rFonts w:hint="eastAsia"/>
                <w:sz w:val="24"/>
              </w:rPr>
              <w:t>涉及印刷工艺，共建设3条印刷生产线，</w:t>
            </w:r>
            <w:r>
              <w:rPr>
                <w:sz w:val="24"/>
              </w:rPr>
              <w:t>建成运营后年</w:t>
            </w:r>
            <w:r>
              <w:rPr>
                <w:rFonts w:hint="eastAsia"/>
                <w:sz w:val="24"/>
              </w:rPr>
              <w:t>产纸制品玩具12000万件</w:t>
            </w:r>
            <w:r>
              <w:rPr>
                <w:sz w:val="24"/>
              </w:rPr>
              <w:t>。</w:t>
            </w:r>
          </w:p>
          <w:p w14:paraId="6AA60F4C">
            <w:pPr>
              <w:pStyle w:val="77"/>
              <w:spacing w:line="480" w:lineRule="exact"/>
              <w:ind w:firstLine="480" w:firstLineChars="200"/>
              <w:rPr>
                <w:rFonts w:cs="宋体"/>
                <w:color w:val="auto"/>
              </w:rPr>
            </w:pPr>
            <w:r>
              <w:rPr>
                <w:rFonts w:hint="eastAsia" w:cs="宋体"/>
                <w:color w:val="auto"/>
              </w:rPr>
              <w:t>根据《中华人民共和国环境保护法》、《中华人民共和国环境影响评价法》、《建设项目环境保护管</w:t>
            </w:r>
            <w:r>
              <w:rPr>
                <w:rFonts w:ascii="Times New Roman"/>
                <w:color w:val="auto"/>
              </w:rPr>
              <w:t>理条例》及《建设项目环境影响评价分类管理名录（</w:t>
            </w:r>
            <w:r>
              <w:rPr>
                <w:rFonts w:ascii="Times New Roman" w:hAnsi="Times New Roman"/>
                <w:color w:val="auto"/>
              </w:rPr>
              <w:t>2021</w:t>
            </w:r>
            <w:r>
              <w:rPr>
                <w:rFonts w:ascii="Times New Roman"/>
                <w:color w:val="auto"/>
              </w:rPr>
              <w:t>年版）》等法律法规的要求，拟建项目属于</w:t>
            </w:r>
            <w:r>
              <w:rPr>
                <w:rFonts w:ascii="Times New Roman" w:hAnsi="Times New Roman"/>
                <w:color w:val="auto"/>
              </w:rPr>
              <w:t>“</w:t>
            </w:r>
            <w:r>
              <w:rPr>
                <w:rFonts w:hint="eastAsia" w:cs="宋体"/>
                <w:color w:val="auto"/>
              </w:rPr>
              <w:t>二十一、文教、工美、体育和娱乐用品制</w:t>
            </w:r>
            <w:r>
              <w:rPr>
                <w:rFonts w:ascii="Times New Roman" w:hAnsiTheme="minorEastAsia" w:eastAsiaTheme="minorEastAsia"/>
                <w:color w:val="auto"/>
              </w:rPr>
              <w:t>造业</w:t>
            </w:r>
            <w:r>
              <w:rPr>
                <w:rFonts w:ascii="Times New Roman" w:hAnsi="Times New Roman" w:eastAsiaTheme="minorEastAsia"/>
                <w:color w:val="auto"/>
              </w:rPr>
              <w:t>24-</w:t>
            </w:r>
            <w:r>
              <w:rPr>
                <w:rFonts w:ascii="Times New Roman" w:hAnsiTheme="minorEastAsia" w:eastAsiaTheme="minorEastAsia"/>
                <w:color w:val="auto"/>
              </w:rPr>
              <w:t>玩具制造</w:t>
            </w:r>
            <w:r>
              <w:rPr>
                <w:rFonts w:ascii="Times New Roman" w:hAnsi="Times New Roman" w:eastAsiaTheme="minorEastAsia"/>
                <w:color w:val="auto"/>
              </w:rPr>
              <w:t>245”</w:t>
            </w:r>
            <w:r>
              <w:rPr>
                <w:rFonts w:ascii="Times New Roman" w:hAnsiTheme="minorEastAsia" w:eastAsiaTheme="minorEastAsia"/>
                <w:color w:val="auto"/>
              </w:rPr>
              <w:t>中</w:t>
            </w:r>
            <w:r>
              <w:rPr>
                <w:rFonts w:ascii="Times New Roman" w:hAnsi="Times New Roman" w:eastAsiaTheme="minorEastAsia"/>
                <w:color w:val="auto"/>
              </w:rPr>
              <w:t>“</w:t>
            </w:r>
            <w:r>
              <w:rPr>
                <w:rFonts w:ascii="Times New Roman" w:hAnsiTheme="minorEastAsia" w:eastAsiaTheme="minorEastAsia"/>
                <w:color w:val="auto"/>
              </w:rPr>
              <w:t>年用</w:t>
            </w:r>
            <w:r>
              <w:rPr>
                <w:rFonts w:hint="eastAsia" w:ascii="Times New Roman" w:hAnsiTheme="minorEastAsia" w:eastAsiaTheme="minorEastAsia"/>
                <w:color w:val="auto"/>
              </w:rPr>
              <w:t>非</w:t>
            </w:r>
            <w:r>
              <w:rPr>
                <w:rFonts w:ascii="Times New Roman" w:hAnsiTheme="minorEastAsia" w:eastAsiaTheme="minorEastAsia"/>
                <w:color w:val="auto"/>
              </w:rPr>
              <w:t>溶剂型低</w:t>
            </w:r>
            <w:r>
              <w:rPr>
                <w:rFonts w:ascii="Times New Roman" w:hAnsi="Times New Roman" w:eastAsiaTheme="minorEastAsia"/>
                <w:color w:val="auto"/>
              </w:rPr>
              <w:t>VOCs</w:t>
            </w:r>
            <w:r>
              <w:rPr>
                <w:rFonts w:ascii="Times New Roman" w:hAnsiTheme="minorEastAsia" w:eastAsiaTheme="minorEastAsia"/>
                <w:color w:val="auto"/>
              </w:rPr>
              <w:t>含量涂料</w:t>
            </w:r>
            <w:r>
              <w:rPr>
                <w:rFonts w:ascii="Times New Roman" w:hAnsi="Times New Roman" w:eastAsiaTheme="minorEastAsia"/>
                <w:color w:val="auto"/>
              </w:rPr>
              <w:t>10</w:t>
            </w:r>
            <w:r>
              <w:rPr>
                <w:rFonts w:ascii="Times New Roman" w:hAnsiTheme="minorEastAsia" w:eastAsiaTheme="minorEastAsia"/>
                <w:color w:val="auto"/>
              </w:rPr>
              <w:t>吨及以上的</w:t>
            </w:r>
            <w:r>
              <w:rPr>
                <w:rFonts w:ascii="Times New Roman" w:hAnsi="Times New Roman" w:eastAsiaTheme="minorEastAsia"/>
                <w:color w:val="auto"/>
              </w:rPr>
              <w:t>”</w:t>
            </w:r>
            <w:r>
              <w:rPr>
                <w:rFonts w:ascii="Times New Roman" w:hAnsiTheme="minorEastAsia" w:eastAsiaTheme="minorEastAsia"/>
                <w:bCs/>
                <w:color w:val="auto"/>
              </w:rPr>
              <w:t>，</w:t>
            </w:r>
            <w:r>
              <w:rPr>
                <w:rFonts w:ascii="Times New Roman" w:hAnsiTheme="minorEastAsia" w:eastAsiaTheme="minorEastAsia"/>
                <w:color w:val="auto"/>
              </w:rPr>
              <w:t>因此应开展环境影响影响评价工作，并编制环境影响报告表。</w:t>
            </w:r>
            <w:r>
              <w:rPr>
                <w:rFonts w:cs="宋体"/>
                <w:color w:val="auto"/>
              </w:rPr>
              <w:t xml:space="preserve"> </w:t>
            </w:r>
          </w:p>
          <w:p w14:paraId="1C27A37F">
            <w:pPr>
              <w:pStyle w:val="58"/>
              <w:spacing w:line="480" w:lineRule="exact"/>
              <w:ind w:firstLine="0" w:firstLineChars="0"/>
              <w:jc w:val="left"/>
              <w:rPr>
                <w:b/>
                <w:color w:val="auto"/>
              </w:rPr>
            </w:pPr>
            <w:r>
              <w:rPr>
                <w:rFonts w:hint="eastAsia" w:hAnsi="宋体"/>
                <w:b/>
                <w:color w:val="auto"/>
              </w:rPr>
              <w:t>2.1.2拟建项目基本情况</w:t>
            </w:r>
          </w:p>
          <w:p w14:paraId="2776A7BC">
            <w:pPr>
              <w:adjustRightInd w:val="0"/>
              <w:snapToGrid w:val="0"/>
              <w:spacing w:line="440" w:lineRule="exact"/>
              <w:ind w:firstLine="480" w:firstLineChars="200"/>
              <w:rPr>
                <w:bCs/>
                <w:sz w:val="24"/>
              </w:rPr>
            </w:pPr>
            <w:r>
              <w:rPr>
                <w:rFonts w:hint="eastAsia"/>
                <w:bCs/>
                <w:sz w:val="24"/>
              </w:rPr>
              <w:t>（1）</w:t>
            </w:r>
            <w:r>
              <w:rPr>
                <w:bCs/>
                <w:sz w:val="24"/>
              </w:rPr>
              <w:t>项目名称：</w:t>
            </w:r>
            <w:r>
              <w:rPr>
                <w:rFonts w:hint="eastAsia"/>
                <w:sz w:val="24"/>
              </w:rPr>
              <w:t>年产12000万只全降解礼品的生产项目</w:t>
            </w:r>
            <w:r>
              <w:rPr>
                <w:bCs/>
                <w:sz w:val="24"/>
              </w:rPr>
              <w:t>；</w:t>
            </w:r>
          </w:p>
          <w:p w14:paraId="22AAFB42">
            <w:pPr>
              <w:adjustRightInd w:val="0"/>
              <w:snapToGrid w:val="0"/>
              <w:spacing w:line="440" w:lineRule="exact"/>
              <w:ind w:firstLine="480" w:firstLineChars="200"/>
              <w:rPr>
                <w:bCs/>
                <w:sz w:val="24"/>
              </w:rPr>
            </w:pPr>
            <w:r>
              <w:rPr>
                <w:rFonts w:hint="eastAsia"/>
                <w:bCs/>
                <w:sz w:val="24"/>
              </w:rPr>
              <w:t>（2）</w:t>
            </w:r>
            <w:r>
              <w:rPr>
                <w:bCs/>
                <w:sz w:val="24"/>
              </w:rPr>
              <w:t>建设单位：</w:t>
            </w:r>
            <w:r>
              <w:rPr>
                <w:rFonts w:hint="eastAsia" w:hAnsi="宋体" w:cs="宋体"/>
                <w:sz w:val="24"/>
              </w:rPr>
              <w:t>凯高智造礼品（重庆）有限公司</w:t>
            </w:r>
            <w:r>
              <w:rPr>
                <w:bCs/>
                <w:sz w:val="24"/>
              </w:rPr>
              <w:t>；</w:t>
            </w:r>
          </w:p>
          <w:p w14:paraId="72339413">
            <w:pPr>
              <w:adjustRightInd w:val="0"/>
              <w:snapToGrid w:val="0"/>
              <w:spacing w:line="440" w:lineRule="exact"/>
              <w:ind w:firstLine="480" w:firstLineChars="200"/>
              <w:rPr>
                <w:bCs/>
                <w:sz w:val="24"/>
              </w:rPr>
            </w:pPr>
            <w:r>
              <w:rPr>
                <w:rFonts w:hint="eastAsia"/>
                <w:bCs/>
                <w:sz w:val="24"/>
              </w:rPr>
              <w:t>（3）</w:t>
            </w:r>
            <w:r>
              <w:rPr>
                <w:bCs/>
                <w:sz w:val="24"/>
              </w:rPr>
              <w:t>建设性质：新建；</w:t>
            </w:r>
          </w:p>
          <w:p w14:paraId="133E7EF3">
            <w:pPr>
              <w:adjustRightInd w:val="0"/>
              <w:snapToGrid w:val="0"/>
              <w:spacing w:line="440" w:lineRule="exact"/>
              <w:ind w:firstLine="480" w:firstLineChars="200"/>
              <w:rPr>
                <w:bCs/>
                <w:sz w:val="24"/>
              </w:rPr>
            </w:pPr>
            <w:r>
              <w:rPr>
                <w:rFonts w:hint="eastAsia"/>
                <w:bCs/>
                <w:sz w:val="24"/>
              </w:rPr>
              <w:t>（4）</w:t>
            </w:r>
            <w:r>
              <w:rPr>
                <w:bCs/>
                <w:sz w:val="24"/>
              </w:rPr>
              <w:t>建设地点：</w:t>
            </w:r>
            <w:r>
              <w:rPr>
                <w:rFonts w:hint="eastAsia"/>
                <w:sz w:val="24"/>
              </w:rPr>
              <w:t>重庆市涪陵区鹤凤大道33号</w:t>
            </w:r>
            <w:r>
              <w:rPr>
                <w:bCs/>
                <w:sz w:val="24"/>
              </w:rPr>
              <w:t>；</w:t>
            </w:r>
          </w:p>
          <w:p w14:paraId="7E4B13FF">
            <w:pPr>
              <w:adjustRightInd w:val="0"/>
              <w:snapToGrid w:val="0"/>
              <w:spacing w:line="440" w:lineRule="exact"/>
              <w:ind w:firstLine="480" w:firstLineChars="200"/>
              <w:rPr>
                <w:bCs/>
                <w:sz w:val="24"/>
              </w:rPr>
            </w:pPr>
            <w:r>
              <w:rPr>
                <w:rFonts w:hint="eastAsia"/>
                <w:bCs/>
                <w:sz w:val="24"/>
              </w:rPr>
              <w:t>（5）总投资：20000万元；</w:t>
            </w:r>
          </w:p>
          <w:p w14:paraId="0599391D">
            <w:pPr>
              <w:adjustRightInd w:val="0"/>
              <w:snapToGrid w:val="0"/>
              <w:spacing w:line="440" w:lineRule="exact"/>
              <w:ind w:firstLine="480" w:firstLineChars="200"/>
              <w:rPr>
                <w:bCs/>
                <w:sz w:val="24"/>
              </w:rPr>
            </w:pPr>
            <w:r>
              <w:rPr>
                <w:rFonts w:hint="eastAsia"/>
                <w:bCs/>
                <w:sz w:val="24"/>
              </w:rPr>
              <w:t>（6）建设周期：预计建设工期10个月；</w:t>
            </w:r>
          </w:p>
          <w:p w14:paraId="6D5E3770">
            <w:pPr>
              <w:adjustRightInd w:val="0"/>
              <w:snapToGrid w:val="0"/>
              <w:spacing w:line="440" w:lineRule="exact"/>
              <w:ind w:firstLine="480" w:firstLineChars="200"/>
              <w:rPr>
                <w:spacing w:val="-6"/>
                <w:sz w:val="24"/>
              </w:rPr>
            </w:pPr>
            <w:r>
              <w:rPr>
                <w:rFonts w:hint="eastAsia"/>
                <w:bCs/>
                <w:sz w:val="24"/>
              </w:rPr>
              <w:t>（7）建设规模：项目占地面积</w:t>
            </w:r>
            <w:r>
              <w:rPr>
                <w:rFonts w:hint="eastAsia"/>
                <w:sz w:val="24"/>
              </w:rPr>
              <w:t>68769m</w:t>
            </w:r>
            <w:r>
              <w:rPr>
                <w:rFonts w:hint="eastAsia"/>
                <w:sz w:val="24"/>
                <w:vertAlign w:val="superscript"/>
              </w:rPr>
              <w:t>2</w:t>
            </w:r>
            <w:r>
              <w:rPr>
                <w:rFonts w:hint="eastAsia"/>
                <w:bCs/>
                <w:sz w:val="24"/>
              </w:rPr>
              <w:t>，建设1栋2#厂房（2F）、1栋3#仓库（1F）、1栋8#食堂（2F）、1栋9#材料库（2F），2#厂房内建设3条印刷生产线，项目建成后年产纸制品玩具12000万件。</w:t>
            </w:r>
          </w:p>
          <w:p w14:paraId="24581D6C">
            <w:pPr>
              <w:adjustRightInd w:val="0"/>
              <w:snapToGrid w:val="0"/>
              <w:spacing w:line="440" w:lineRule="exact"/>
              <w:ind w:firstLine="480" w:firstLineChars="200"/>
              <w:rPr>
                <w:spacing w:val="-6"/>
                <w:sz w:val="24"/>
              </w:rPr>
            </w:pPr>
            <w:r>
              <w:rPr>
                <w:rFonts w:hint="eastAsia"/>
                <w:bCs/>
                <w:sz w:val="24"/>
              </w:rPr>
              <w:t>（8）劳动定员</w:t>
            </w:r>
            <w:r>
              <w:rPr>
                <w:rFonts w:hint="eastAsia"/>
                <w:spacing w:val="-6"/>
                <w:sz w:val="24"/>
              </w:rPr>
              <w:t>：</w:t>
            </w:r>
            <w:r>
              <w:rPr>
                <w:rFonts w:hint="eastAsia"/>
                <w:bCs/>
                <w:sz w:val="24"/>
              </w:rPr>
              <w:t>建成后全厂职工1000人，其中管理及技术人100人，生产工人及辅助人员900人，厂区提供食堂，不提供住宿</w:t>
            </w:r>
            <w:r>
              <w:rPr>
                <w:spacing w:val="-6"/>
                <w:sz w:val="24"/>
              </w:rPr>
              <w:t>；</w:t>
            </w:r>
          </w:p>
          <w:p w14:paraId="36135700">
            <w:pPr>
              <w:adjustRightInd w:val="0"/>
              <w:snapToGrid w:val="0"/>
              <w:spacing w:line="440" w:lineRule="exact"/>
              <w:ind w:firstLine="480" w:firstLineChars="200"/>
              <w:rPr>
                <w:spacing w:val="-6"/>
                <w:sz w:val="24"/>
              </w:rPr>
            </w:pPr>
            <w:r>
              <w:rPr>
                <w:rFonts w:hint="eastAsia"/>
                <w:bCs/>
                <w:sz w:val="24"/>
              </w:rPr>
              <w:t>（9）</w:t>
            </w:r>
            <w:r>
              <w:rPr>
                <w:spacing w:val="-6"/>
                <w:sz w:val="24"/>
              </w:rPr>
              <w:t>工作制</w:t>
            </w:r>
            <w:r>
              <w:rPr>
                <w:bCs/>
                <w:sz w:val="24"/>
              </w:rPr>
              <w:t>度：年</w:t>
            </w:r>
            <w:r>
              <w:rPr>
                <w:rFonts w:hint="eastAsia"/>
                <w:bCs/>
                <w:sz w:val="24"/>
              </w:rPr>
              <w:t>工作250</w:t>
            </w:r>
            <w:r>
              <w:rPr>
                <w:bCs/>
                <w:sz w:val="24"/>
              </w:rPr>
              <w:t>天，</w:t>
            </w:r>
            <w:r>
              <w:rPr>
                <w:sz w:val="24"/>
              </w:rPr>
              <w:t>实行</w:t>
            </w:r>
            <w:r>
              <w:rPr>
                <w:rFonts w:hint="eastAsia"/>
                <w:sz w:val="24"/>
              </w:rPr>
              <w:t>三班两运转</w:t>
            </w:r>
            <w:r>
              <w:rPr>
                <w:sz w:val="24"/>
              </w:rPr>
              <w:t>制，每班</w:t>
            </w:r>
            <w:r>
              <w:rPr>
                <w:rFonts w:hint="eastAsia"/>
                <w:sz w:val="24"/>
              </w:rPr>
              <w:t>10</w:t>
            </w:r>
            <w:r>
              <w:rPr>
                <w:sz w:val="24"/>
              </w:rPr>
              <w:t>h</w:t>
            </w:r>
            <w:r>
              <w:rPr>
                <w:rFonts w:hint="eastAsia"/>
                <w:sz w:val="24"/>
              </w:rPr>
              <w:t>，印刷机每班工作8h</w:t>
            </w:r>
            <w:r>
              <w:rPr>
                <w:sz w:val="24"/>
              </w:rPr>
              <w:t>。</w:t>
            </w:r>
          </w:p>
          <w:p w14:paraId="2FEEAB6D">
            <w:pPr>
              <w:pStyle w:val="58"/>
              <w:spacing w:line="480" w:lineRule="exact"/>
              <w:ind w:firstLine="0" w:firstLineChars="0"/>
              <w:jc w:val="left"/>
              <w:rPr>
                <w:rFonts w:hAnsi="宋体"/>
                <w:b/>
                <w:color w:val="auto"/>
              </w:rPr>
            </w:pPr>
            <w:r>
              <w:rPr>
                <w:rFonts w:hint="eastAsia" w:hAnsi="宋体"/>
                <w:b/>
                <w:color w:val="auto"/>
              </w:rPr>
              <w:t>2.1.3主要产品及产能</w:t>
            </w:r>
          </w:p>
          <w:p w14:paraId="4E23DC15">
            <w:pPr>
              <w:pStyle w:val="58"/>
              <w:spacing w:line="480" w:lineRule="exact"/>
              <w:jc w:val="left"/>
              <w:rPr>
                <w:rFonts w:hAnsi="宋体"/>
                <w:color w:val="auto"/>
              </w:rPr>
            </w:pPr>
            <w:r>
              <w:rPr>
                <w:rFonts w:hint="eastAsia" w:hAnsi="宋体"/>
                <w:color w:val="auto"/>
              </w:rPr>
              <w:t>本项目主要是纸制品玩具及配套包装盒、说明书生产，产品方案详见表2.1-1。</w:t>
            </w:r>
          </w:p>
          <w:p w14:paraId="106F64EA">
            <w:pPr>
              <w:pStyle w:val="58"/>
              <w:spacing w:line="480" w:lineRule="exact"/>
              <w:ind w:firstLine="0" w:firstLineChars="0"/>
              <w:jc w:val="center"/>
              <w:rPr>
                <w:rFonts w:hAnsi="宋体"/>
                <w:b/>
                <w:color w:val="auto"/>
                <w:sz w:val="21"/>
                <w:szCs w:val="21"/>
              </w:rPr>
            </w:pPr>
            <w:r>
              <w:rPr>
                <w:rFonts w:hint="eastAsia" w:hAnsi="宋体"/>
                <w:b/>
                <w:color w:val="auto"/>
                <w:sz w:val="21"/>
                <w:szCs w:val="21"/>
              </w:rPr>
              <w:t>表2.1-1  项目产品方案一览表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843"/>
              <w:gridCol w:w="1843"/>
              <w:gridCol w:w="2720"/>
            </w:tblGrid>
            <w:tr w14:paraId="44B5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pct"/>
                  <w:vAlign w:val="center"/>
                </w:tcPr>
                <w:p w14:paraId="520B8E5D">
                  <w:pPr>
                    <w:jc w:val="center"/>
                  </w:pPr>
                  <w:r>
                    <w:rPr>
                      <w:rFonts w:hint="eastAsia"/>
                    </w:rPr>
                    <w:t>产品名称</w:t>
                  </w:r>
                </w:p>
              </w:tc>
              <w:tc>
                <w:tcPr>
                  <w:tcW w:w="1111" w:type="pct"/>
                  <w:vAlign w:val="center"/>
                </w:tcPr>
                <w:p w14:paraId="49DE3B59">
                  <w:pPr>
                    <w:jc w:val="center"/>
                  </w:pPr>
                  <w:r>
                    <w:rPr>
                      <w:rFonts w:hint="eastAsia"/>
                    </w:rPr>
                    <w:t>规格尺寸</w:t>
                  </w:r>
                </w:p>
              </w:tc>
              <w:tc>
                <w:tcPr>
                  <w:tcW w:w="1111" w:type="pct"/>
                  <w:vAlign w:val="center"/>
                </w:tcPr>
                <w:p w14:paraId="31F3A99C">
                  <w:pPr>
                    <w:jc w:val="center"/>
                  </w:pPr>
                  <w:r>
                    <w:rPr>
                      <w:rFonts w:hint="eastAsia"/>
                    </w:rPr>
                    <w:t>设计生产能力</w:t>
                  </w:r>
                </w:p>
              </w:tc>
              <w:tc>
                <w:tcPr>
                  <w:tcW w:w="1640" w:type="pct"/>
                  <w:vAlign w:val="center"/>
                </w:tcPr>
                <w:p w14:paraId="55A558A6">
                  <w:pPr>
                    <w:jc w:val="center"/>
                  </w:pPr>
                  <w:r>
                    <w:rPr>
                      <w:rFonts w:hint="eastAsia"/>
                    </w:rPr>
                    <w:t>备注</w:t>
                  </w:r>
                </w:p>
              </w:tc>
            </w:tr>
            <w:tr w14:paraId="1F24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38" w:type="pct"/>
                  <w:vAlign w:val="center"/>
                </w:tcPr>
                <w:p w14:paraId="1AF6E856">
                  <w:pPr>
                    <w:jc w:val="center"/>
                  </w:pPr>
                  <w:r>
                    <w:rPr>
                      <w:rFonts w:hint="eastAsia"/>
                    </w:rPr>
                    <w:t>纸品玩具</w:t>
                  </w:r>
                </w:p>
              </w:tc>
              <w:tc>
                <w:tcPr>
                  <w:tcW w:w="1111" w:type="pct"/>
                  <w:vMerge w:val="restart"/>
                  <w:vAlign w:val="center"/>
                </w:tcPr>
                <w:p w14:paraId="343B7874">
                  <w:pPr>
                    <w:jc w:val="center"/>
                  </w:pPr>
                  <w:r>
                    <w:rPr>
                      <w:rFonts w:hint="eastAsia"/>
                    </w:rPr>
                    <w:t>长：100~106mm、宽：97~100mm、高30~100mm</w:t>
                  </w:r>
                </w:p>
              </w:tc>
              <w:tc>
                <w:tcPr>
                  <w:tcW w:w="1111" w:type="pct"/>
                  <w:vAlign w:val="center"/>
                </w:tcPr>
                <w:p w14:paraId="4B97956E">
                  <w:pPr>
                    <w:jc w:val="center"/>
                  </w:pPr>
                  <w:r>
                    <w:rPr>
                      <w:rFonts w:hint="eastAsia"/>
                    </w:rPr>
                    <w:t>12000万件/年</w:t>
                  </w:r>
                </w:p>
              </w:tc>
              <w:tc>
                <w:tcPr>
                  <w:tcW w:w="1640" w:type="pct"/>
                  <w:vAlign w:val="center"/>
                </w:tcPr>
                <w:p w14:paraId="20FB5B2A">
                  <w:pPr>
                    <w:jc w:val="center"/>
                  </w:pPr>
                  <w:r>
                    <w:rPr>
                      <w:rFonts w:hint="eastAsia"/>
                    </w:rPr>
                    <w:t>项目产品尺寸根据客户订单需求调整，本项目给出的规格尺寸为机器的最小、最大尺寸</w:t>
                  </w:r>
                </w:p>
              </w:tc>
            </w:tr>
            <w:tr w14:paraId="2EC5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38" w:type="pct"/>
                  <w:vAlign w:val="center"/>
                </w:tcPr>
                <w:p w14:paraId="2401F92D">
                  <w:pPr>
                    <w:jc w:val="center"/>
                  </w:pPr>
                  <w:r>
                    <w:rPr>
                      <w:rFonts w:hint="eastAsia"/>
                    </w:rPr>
                    <w:t>包装盒及配套说明书</w:t>
                  </w:r>
                </w:p>
              </w:tc>
              <w:tc>
                <w:tcPr>
                  <w:tcW w:w="1111" w:type="pct"/>
                  <w:vMerge w:val="continue"/>
                  <w:vAlign w:val="center"/>
                </w:tcPr>
                <w:p w14:paraId="12686FD2">
                  <w:pPr>
                    <w:jc w:val="center"/>
                  </w:pPr>
                </w:p>
              </w:tc>
              <w:tc>
                <w:tcPr>
                  <w:tcW w:w="1111" w:type="pct"/>
                  <w:vAlign w:val="center"/>
                </w:tcPr>
                <w:p w14:paraId="24122E93">
                  <w:pPr>
                    <w:jc w:val="center"/>
                  </w:pPr>
                  <w:r>
                    <w:rPr>
                      <w:rFonts w:hint="eastAsia"/>
                    </w:rPr>
                    <w:t>12000万件/年</w:t>
                  </w:r>
                </w:p>
              </w:tc>
              <w:tc>
                <w:tcPr>
                  <w:tcW w:w="1640" w:type="pct"/>
                  <w:vAlign w:val="center"/>
                </w:tcPr>
                <w:p w14:paraId="47A5491E">
                  <w:pPr>
                    <w:jc w:val="center"/>
                  </w:pPr>
                  <w:r>
                    <w:rPr>
                      <w:rFonts w:hint="eastAsia"/>
                    </w:rPr>
                    <w:t>包装盒及配套说明书仅配套用于纸制品玩具包装使用，不外售。</w:t>
                  </w:r>
                </w:p>
              </w:tc>
            </w:tr>
            <w:tr w14:paraId="305C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4"/>
                  <w:vAlign w:val="center"/>
                </w:tcPr>
                <w:p w14:paraId="35A3FD3B">
                  <w:pPr>
                    <w:jc w:val="left"/>
                  </w:pPr>
                  <w:r>
                    <w:rPr>
                      <w:rFonts w:hint="eastAsia"/>
                    </w:rPr>
                    <w:t>注：项目纸制品玩具、包装盒及配套说明书为一套产品。</w:t>
                  </w:r>
                </w:p>
              </w:tc>
            </w:tr>
          </w:tbl>
          <w:p w14:paraId="0C561A56">
            <w:pPr>
              <w:pStyle w:val="58"/>
              <w:spacing w:line="480" w:lineRule="exact"/>
              <w:ind w:firstLine="0" w:firstLineChars="0"/>
              <w:jc w:val="left"/>
              <w:rPr>
                <w:b/>
                <w:color w:val="auto"/>
              </w:rPr>
            </w:pPr>
            <w:r>
              <w:rPr>
                <w:rFonts w:hint="eastAsia" w:hAnsi="宋体"/>
                <w:b/>
                <w:color w:val="auto"/>
              </w:rPr>
              <w:t>2.1.4建设内容</w:t>
            </w:r>
          </w:p>
          <w:p w14:paraId="253CC366">
            <w:pPr>
              <w:adjustRightInd w:val="0"/>
              <w:snapToGrid w:val="0"/>
              <w:spacing w:line="440" w:lineRule="exact"/>
              <w:ind w:firstLine="480" w:firstLineChars="200"/>
              <w:rPr>
                <w:spacing w:val="-6"/>
                <w:sz w:val="24"/>
              </w:rPr>
            </w:pPr>
            <w:r>
              <w:rPr>
                <w:rFonts w:hint="eastAsia"/>
                <w:bCs/>
                <w:sz w:val="24"/>
              </w:rPr>
              <w:t>拟建</w:t>
            </w:r>
            <w:r>
              <w:rPr>
                <w:bCs/>
                <w:sz w:val="24"/>
              </w:rPr>
              <w:t>项目</w:t>
            </w:r>
            <w:r>
              <w:rPr>
                <w:rFonts w:hint="eastAsia"/>
                <w:bCs/>
                <w:sz w:val="24"/>
              </w:rPr>
              <w:t>位于</w:t>
            </w:r>
            <w:r>
              <w:rPr>
                <w:rFonts w:hint="eastAsia"/>
                <w:sz w:val="24"/>
              </w:rPr>
              <w:t>重庆市涪陵区鹤凤大道33号，</w:t>
            </w:r>
            <w:r>
              <w:rPr>
                <w:rFonts w:hint="eastAsia"/>
                <w:bCs/>
                <w:sz w:val="24"/>
              </w:rPr>
              <w:t>占地面积</w:t>
            </w:r>
            <w:r>
              <w:rPr>
                <w:rFonts w:hint="eastAsia"/>
                <w:sz w:val="24"/>
              </w:rPr>
              <w:t>68769m</w:t>
            </w:r>
            <w:r>
              <w:rPr>
                <w:rFonts w:hint="eastAsia"/>
                <w:sz w:val="24"/>
                <w:vertAlign w:val="superscript"/>
              </w:rPr>
              <w:t>2</w:t>
            </w:r>
            <w:r>
              <w:rPr>
                <w:bCs/>
                <w:sz w:val="24"/>
              </w:rPr>
              <w:t>，</w:t>
            </w:r>
            <w:r>
              <w:rPr>
                <w:rFonts w:hint="eastAsia"/>
                <w:bCs/>
                <w:sz w:val="24"/>
              </w:rPr>
              <w:t xml:space="preserve"> </w:t>
            </w:r>
            <w:r>
              <w:rPr>
                <w:bCs/>
                <w:sz w:val="24"/>
              </w:rPr>
              <w:t>总建筑面积</w:t>
            </w:r>
            <w:r>
              <w:rPr>
                <w:rFonts w:hint="eastAsia"/>
                <w:bCs/>
                <w:sz w:val="24"/>
              </w:rPr>
              <w:t>24860.81</w:t>
            </w:r>
            <w:r>
              <w:rPr>
                <w:bCs/>
                <w:sz w:val="24"/>
              </w:rPr>
              <w:t>m</w:t>
            </w:r>
            <w:r>
              <w:rPr>
                <w:bCs/>
                <w:sz w:val="24"/>
                <w:vertAlign w:val="superscript"/>
              </w:rPr>
              <w:t>2</w:t>
            </w:r>
            <w:r>
              <w:rPr>
                <w:rFonts w:hint="eastAsia"/>
                <w:bCs/>
                <w:sz w:val="24"/>
              </w:rPr>
              <w:t>。项目主要建设1栋2#厂房（2F）、1栋3#仓库（1F）、1栋8#食堂（2F）、1栋9#材料库（2F）</w:t>
            </w:r>
            <w:r>
              <w:rPr>
                <w:rFonts w:hint="eastAsia"/>
                <w:spacing w:val="-6"/>
                <w:sz w:val="24"/>
              </w:rPr>
              <w:t>。项目组成表见表2.1-1。</w:t>
            </w:r>
          </w:p>
          <w:p w14:paraId="1A5BC724">
            <w:pPr>
              <w:ind w:firstLine="413" w:firstLineChars="196"/>
              <w:jc w:val="center"/>
              <w:rPr>
                <w:rFonts w:hAnsi="宋体"/>
                <w:b/>
                <w:szCs w:val="21"/>
              </w:rPr>
            </w:pPr>
            <w:r>
              <w:rPr>
                <w:rFonts w:hAnsi="宋体"/>
                <w:b/>
                <w:szCs w:val="21"/>
              </w:rPr>
              <w:t>表</w:t>
            </w:r>
            <w:r>
              <w:rPr>
                <w:b/>
                <w:szCs w:val="21"/>
              </w:rPr>
              <w:t>2</w:t>
            </w:r>
            <w:r>
              <w:rPr>
                <w:rFonts w:hint="eastAsia"/>
                <w:b/>
                <w:szCs w:val="21"/>
              </w:rPr>
              <w:t>.1-1</w:t>
            </w:r>
            <w:r>
              <w:rPr>
                <w:b/>
                <w:szCs w:val="21"/>
              </w:rPr>
              <w:t xml:space="preserve"> </w:t>
            </w:r>
            <w:r>
              <w:rPr>
                <w:rFonts w:hAnsi="宋体"/>
                <w:b/>
                <w:szCs w:val="21"/>
              </w:rPr>
              <w:t>项目组成表</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25"/>
              <w:gridCol w:w="1256"/>
              <w:gridCol w:w="5565"/>
              <w:gridCol w:w="837"/>
            </w:tblGrid>
            <w:tr w14:paraId="0AD129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1136" w:type="pct"/>
                  <w:gridSpan w:val="2"/>
                  <w:tcBorders>
                    <w:top w:val="single" w:color="auto" w:sz="8" w:space="0"/>
                    <w:left w:val="single" w:color="auto" w:sz="8" w:space="0"/>
                    <w:bottom w:val="single" w:color="auto" w:sz="6" w:space="0"/>
                    <w:right w:val="single" w:color="auto" w:sz="6" w:space="0"/>
                  </w:tcBorders>
                  <w:vAlign w:val="center"/>
                </w:tcPr>
                <w:p w14:paraId="7FFBA799">
                  <w:pPr>
                    <w:adjustRightInd w:val="0"/>
                    <w:snapToGrid w:val="0"/>
                    <w:jc w:val="center"/>
                    <w:rPr>
                      <w:bCs/>
                      <w:szCs w:val="21"/>
                    </w:rPr>
                  </w:pPr>
                  <w:r>
                    <w:rPr>
                      <w:bCs/>
                      <w:szCs w:val="21"/>
                    </w:rPr>
                    <w:t>项目组成</w:t>
                  </w:r>
                </w:p>
              </w:tc>
              <w:tc>
                <w:tcPr>
                  <w:tcW w:w="3359" w:type="pct"/>
                  <w:tcBorders>
                    <w:top w:val="single" w:color="auto" w:sz="8" w:space="0"/>
                    <w:left w:val="single" w:color="auto" w:sz="6" w:space="0"/>
                    <w:bottom w:val="single" w:color="auto" w:sz="6" w:space="0"/>
                    <w:right w:val="single" w:color="auto" w:sz="4" w:space="0"/>
                  </w:tcBorders>
                  <w:vAlign w:val="center"/>
                </w:tcPr>
                <w:p w14:paraId="3310C6C1">
                  <w:pPr>
                    <w:adjustRightInd w:val="0"/>
                    <w:snapToGrid w:val="0"/>
                    <w:jc w:val="center"/>
                    <w:rPr>
                      <w:bCs/>
                      <w:szCs w:val="21"/>
                    </w:rPr>
                  </w:pPr>
                  <w:r>
                    <w:rPr>
                      <w:bCs/>
                      <w:szCs w:val="21"/>
                    </w:rPr>
                    <w:t>项目内容</w:t>
                  </w:r>
                </w:p>
              </w:tc>
              <w:tc>
                <w:tcPr>
                  <w:tcW w:w="505" w:type="pct"/>
                  <w:tcBorders>
                    <w:top w:val="single" w:color="auto" w:sz="8" w:space="0"/>
                    <w:left w:val="single" w:color="auto" w:sz="4" w:space="0"/>
                    <w:bottom w:val="single" w:color="auto" w:sz="6" w:space="0"/>
                    <w:right w:val="single" w:color="auto" w:sz="8" w:space="0"/>
                  </w:tcBorders>
                  <w:vAlign w:val="center"/>
                </w:tcPr>
                <w:p w14:paraId="65D01E0C">
                  <w:pPr>
                    <w:adjustRightInd w:val="0"/>
                    <w:snapToGrid w:val="0"/>
                    <w:jc w:val="center"/>
                    <w:rPr>
                      <w:bCs/>
                      <w:szCs w:val="21"/>
                    </w:rPr>
                  </w:pPr>
                  <w:r>
                    <w:rPr>
                      <w:bCs/>
                      <w:szCs w:val="21"/>
                    </w:rPr>
                    <w:t>备注</w:t>
                  </w:r>
                </w:p>
              </w:tc>
            </w:tr>
            <w:tr w14:paraId="1A50E8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01" w:hRule="atLeast"/>
                <w:jc w:val="center"/>
              </w:trPr>
              <w:tc>
                <w:tcPr>
                  <w:tcW w:w="378" w:type="pct"/>
                  <w:tcBorders>
                    <w:left w:val="single" w:color="auto" w:sz="8" w:space="0"/>
                    <w:right w:val="single" w:color="auto" w:sz="4" w:space="0"/>
                  </w:tcBorders>
                  <w:vAlign w:val="center"/>
                </w:tcPr>
                <w:p w14:paraId="009D8F5C">
                  <w:pPr>
                    <w:adjustRightInd w:val="0"/>
                    <w:snapToGrid w:val="0"/>
                    <w:jc w:val="center"/>
                    <w:rPr>
                      <w:szCs w:val="21"/>
                    </w:rPr>
                  </w:pPr>
                  <w:r>
                    <w:rPr>
                      <w:szCs w:val="21"/>
                    </w:rPr>
                    <w:t>主体工程</w:t>
                  </w:r>
                </w:p>
              </w:tc>
              <w:tc>
                <w:tcPr>
                  <w:tcW w:w="758" w:type="pct"/>
                  <w:tcBorders>
                    <w:top w:val="single" w:color="auto" w:sz="8" w:space="0"/>
                    <w:left w:val="single" w:color="auto" w:sz="4" w:space="0"/>
                    <w:bottom w:val="single" w:color="auto" w:sz="6" w:space="0"/>
                    <w:right w:val="single" w:color="auto" w:sz="4" w:space="0"/>
                  </w:tcBorders>
                  <w:vAlign w:val="center"/>
                </w:tcPr>
                <w:p w14:paraId="4B579762">
                  <w:pPr>
                    <w:adjustRightInd w:val="0"/>
                    <w:snapToGrid w:val="0"/>
                    <w:jc w:val="center"/>
                    <w:rPr>
                      <w:szCs w:val="21"/>
                    </w:rPr>
                  </w:pPr>
                  <w:r>
                    <w:rPr>
                      <w:rFonts w:hint="eastAsia"/>
                      <w:szCs w:val="21"/>
                    </w:rPr>
                    <w:t>2#生产厂房</w:t>
                  </w:r>
                </w:p>
              </w:tc>
              <w:tc>
                <w:tcPr>
                  <w:tcW w:w="3359" w:type="pct"/>
                  <w:tcBorders>
                    <w:top w:val="single" w:color="auto" w:sz="8" w:space="0"/>
                    <w:left w:val="single" w:color="auto" w:sz="4" w:space="0"/>
                    <w:bottom w:val="single" w:color="auto" w:sz="6" w:space="0"/>
                    <w:right w:val="single" w:color="auto" w:sz="4" w:space="0"/>
                  </w:tcBorders>
                  <w:vAlign w:val="center"/>
                </w:tcPr>
                <w:p w14:paraId="421F6185">
                  <w:pPr>
                    <w:adjustRightInd w:val="0"/>
                    <w:snapToGrid w:val="0"/>
                    <w:jc w:val="left"/>
                    <w:rPr>
                      <w:bCs/>
                      <w:szCs w:val="21"/>
                    </w:rPr>
                  </w:pPr>
                  <w:r>
                    <w:rPr>
                      <w:rFonts w:hint="eastAsia"/>
                      <w:szCs w:val="21"/>
                    </w:rPr>
                    <w:t>①2F，楼高H=14.5m，总建筑面积13842.68</w:t>
                  </w:r>
                  <w:r>
                    <w:rPr>
                      <w:bCs/>
                      <w:szCs w:val="21"/>
                    </w:rPr>
                    <w:t xml:space="preserve"> m</w:t>
                  </w:r>
                  <w:r>
                    <w:rPr>
                      <w:bCs/>
                      <w:szCs w:val="21"/>
                      <w:vertAlign w:val="superscript"/>
                    </w:rPr>
                    <w:t>2</w:t>
                  </w:r>
                  <w:r>
                    <w:rPr>
                      <w:rFonts w:hint="eastAsia"/>
                      <w:bCs/>
                      <w:szCs w:val="21"/>
                    </w:rPr>
                    <w:t>，位于厂区中部。</w:t>
                  </w:r>
                </w:p>
                <w:p w14:paraId="42DA9101">
                  <w:pPr>
                    <w:adjustRightInd w:val="0"/>
                    <w:snapToGrid w:val="0"/>
                    <w:jc w:val="left"/>
                    <w:rPr>
                      <w:bCs/>
                      <w:szCs w:val="21"/>
                    </w:rPr>
                  </w:pPr>
                  <w:r>
                    <w:rPr>
                      <w:rFonts w:hint="eastAsia"/>
                      <w:szCs w:val="21"/>
                    </w:rPr>
                    <w:t>②</w:t>
                  </w:r>
                  <w:r>
                    <w:rPr>
                      <w:rFonts w:hint="eastAsia"/>
                      <w:bCs/>
                      <w:szCs w:val="21"/>
                    </w:rPr>
                    <w:t>生产区布设于1F东侧，面积约4000</w:t>
                  </w:r>
                  <w:r>
                    <w:rPr>
                      <w:bCs/>
                      <w:szCs w:val="21"/>
                    </w:rPr>
                    <w:t xml:space="preserve"> m</w:t>
                  </w:r>
                  <w:r>
                    <w:rPr>
                      <w:bCs/>
                      <w:szCs w:val="21"/>
                      <w:vertAlign w:val="superscript"/>
                    </w:rPr>
                    <w:t>2</w:t>
                  </w:r>
                  <w:r>
                    <w:rPr>
                      <w:rFonts w:hint="eastAsia"/>
                      <w:bCs/>
                      <w:szCs w:val="21"/>
                    </w:rPr>
                    <w:t>，东侧生产区由南向北依次布设裁切区、印刷房、模切区、裱纸区、粘盒区、裱坑区、过油区，印刷房布设3台印刷机，西侧为空置区域。</w:t>
                  </w:r>
                </w:p>
                <w:p w14:paraId="7FFA1A5A">
                  <w:pPr>
                    <w:adjustRightInd w:val="0"/>
                    <w:snapToGrid w:val="0"/>
                    <w:jc w:val="left"/>
                    <w:rPr>
                      <w:szCs w:val="21"/>
                    </w:rPr>
                  </w:pPr>
                  <w:r>
                    <w:rPr>
                      <w:rFonts w:hint="eastAsia"/>
                      <w:szCs w:val="21"/>
                    </w:rPr>
                    <w:t>③</w:t>
                  </w:r>
                  <w:r>
                    <w:rPr>
                      <w:rFonts w:hint="eastAsia"/>
                      <w:bCs/>
                      <w:szCs w:val="21"/>
                    </w:rPr>
                    <w:t>2F东侧布置有4条纸制品玩具包装流水线和办公区，2F西侧为空置区域。</w:t>
                  </w:r>
                </w:p>
              </w:tc>
              <w:tc>
                <w:tcPr>
                  <w:tcW w:w="505" w:type="pct"/>
                  <w:tcBorders>
                    <w:left w:val="single" w:color="auto" w:sz="4" w:space="0"/>
                    <w:bottom w:val="single" w:color="auto" w:sz="4" w:space="0"/>
                    <w:right w:val="single" w:color="auto" w:sz="8" w:space="0"/>
                  </w:tcBorders>
                  <w:vAlign w:val="center"/>
                </w:tcPr>
                <w:p w14:paraId="72D8289D">
                  <w:pPr>
                    <w:adjustRightInd w:val="0"/>
                    <w:snapToGrid w:val="0"/>
                    <w:jc w:val="center"/>
                    <w:rPr>
                      <w:szCs w:val="21"/>
                    </w:rPr>
                  </w:pPr>
                  <w:r>
                    <w:rPr>
                      <w:rFonts w:hint="eastAsia"/>
                      <w:szCs w:val="21"/>
                    </w:rPr>
                    <w:t>新建</w:t>
                  </w:r>
                </w:p>
              </w:tc>
            </w:tr>
            <w:tr w14:paraId="7E9ED0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378" w:type="pct"/>
                  <w:vMerge w:val="restart"/>
                  <w:tcBorders>
                    <w:top w:val="single" w:color="auto" w:sz="6" w:space="0"/>
                    <w:left w:val="single" w:color="auto" w:sz="8" w:space="0"/>
                    <w:right w:val="single" w:color="auto" w:sz="6" w:space="0"/>
                  </w:tcBorders>
                  <w:vAlign w:val="center"/>
                </w:tcPr>
                <w:p w14:paraId="344D51F5">
                  <w:pPr>
                    <w:adjustRightInd w:val="0"/>
                    <w:snapToGrid w:val="0"/>
                    <w:jc w:val="center"/>
                    <w:rPr>
                      <w:szCs w:val="21"/>
                    </w:rPr>
                  </w:pPr>
                  <w:r>
                    <w:rPr>
                      <w:szCs w:val="21"/>
                    </w:rPr>
                    <w:t>辅助工程</w:t>
                  </w:r>
                </w:p>
              </w:tc>
              <w:tc>
                <w:tcPr>
                  <w:tcW w:w="758" w:type="pct"/>
                  <w:tcBorders>
                    <w:top w:val="single" w:color="auto" w:sz="6" w:space="0"/>
                    <w:left w:val="single" w:color="auto" w:sz="6" w:space="0"/>
                    <w:right w:val="single" w:color="auto" w:sz="6" w:space="0"/>
                  </w:tcBorders>
                  <w:vAlign w:val="center"/>
                </w:tcPr>
                <w:p w14:paraId="30C99823">
                  <w:pPr>
                    <w:adjustRightInd w:val="0"/>
                    <w:snapToGrid w:val="0"/>
                    <w:jc w:val="center"/>
                    <w:rPr>
                      <w:szCs w:val="21"/>
                    </w:rPr>
                  </w:pPr>
                  <w:r>
                    <w:rPr>
                      <w:rFonts w:hint="eastAsia"/>
                      <w:szCs w:val="21"/>
                    </w:rPr>
                    <w:t>8#食堂</w:t>
                  </w:r>
                </w:p>
              </w:tc>
              <w:tc>
                <w:tcPr>
                  <w:tcW w:w="3359" w:type="pct"/>
                  <w:tcBorders>
                    <w:top w:val="single" w:color="auto" w:sz="6" w:space="0"/>
                    <w:left w:val="single" w:color="auto" w:sz="6" w:space="0"/>
                    <w:bottom w:val="single" w:color="auto" w:sz="6" w:space="0"/>
                    <w:right w:val="single" w:color="auto" w:sz="4" w:space="0"/>
                  </w:tcBorders>
                  <w:vAlign w:val="center"/>
                </w:tcPr>
                <w:p w14:paraId="2E9917B5">
                  <w:pPr>
                    <w:adjustRightInd w:val="0"/>
                    <w:snapToGrid w:val="0"/>
                    <w:jc w:val="center"/>
                    <w:rPr>
                      <w:szCs w:val="21"/>
                    </w:rPr>
                  </w:pPr>
                  <w:r>
                    <w:rPr>
                      <w:rFonts w:hint="eastAsia"/>
                      <w:szCs w:val="21"/>
                    </w:rPr>
                    <w:t>2F，楼高H=15m，建筑面积3256.13</w:t>
                  </w:r>
                  <w:r>
                    <w:rPr>
                      <w:bCs/>
                      <w:szCs w:val="21"/>
                    </w:rPr>
                    <w:t>m</w:t>
                  </w:r>
                  <w:r>
                    <w:rPr>
                      <w:bCs/>
                      <w:szCs w:val="21"/>
                      <w:vertAlign w:val="superscript"/>
                    </w:rPr>
                    <w:t>2</w:t>
                  </w:r>
                  <w:r>
                    <w:rPr>
                      <w:rFonts w:hint="eastAsia"/>
                      <w:bCs/>
                      <w:szCs w:val="21"/>
                    </w:rPr>
                    <w:t>，位于厂区东南侧，可容纳约1500人就餐。</w:t>
                  </w:r>
                </w:p>
              </w:tc>
              <w:tc>
                <w:tcPr>
                  <w:tcW w:w="505" w:type="pct"/>
                  <w:tcBorders>
                    <w:top w:val="single" w:color="auto" w:sz="6" w:space="0"/>
                    <w:left w:val="single" w:color="auto" w:sz="4" w:space="0"/>
                    <w:bottom w:val="single" w:color="auto" w:sz="6" w:space="0"/>
                    <w:right w:val="single" w:color="auto" w:sz="8" w:space="0"/>
                  </w:tcBorders>
                  <w:vAlign w:val="center"/>
                </w:tcPr>
                <w:p w14:paraId="721B3402">
                  <w:pPr>
                    <w:jc w:val="center"/>
                  </w:pPr>
                  <w:r>
                    <w:rPr>
                      <w:rFonts w:hint="eastAsia"/>
                      <w:szCs w:val="21"/>
                    </w:rPr>
                    <w:t>新建</w:t>
                  </w:r>
                </w:p>
              </w:tc>
            </w:tr>
            <w:tr w14:paraId="13B856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378" w:type="pct"/>
                  <w:vMerge w:val="continue"/>
                  <w:tcBorders>
                    <w:left w:val="single" w:color="auto" w:sz="8" w:space="0"/>
                    <w:right w:val="single" w:color="auto" w:sz="6" w:space="0"/>
                  </w:tcBorders>
                  <w:vAlign w:val="center"/>
                </w:tcPr>
                <w:p w14:paraId="00BB2B2D">
                  <w:pPr>
                    <w:adjustRightInd w:val="0"/>
                    <w:snapToGrid w:val="0"/>
                    <w:jc w:val="center"/>
                    <w:rPr>
                      <w:szCs w:val="21"/>
                    </w:rPr>
                  </w:pPr>
                </w:p>
              </w:tc>
              <w:tc>
                <w:tcPr>
                  <w:tcW w:w="758" w:type="pct"/>
                  <w:tcBorders>
                    <w:top w:val="single" w:color="auto" w:sz="6" w:space="0"/>
                    <w:left w:val="single" w:color="auto" w:sz="6" w:space="0"/>
                    <w:right w:val="single" w:color="auto" w:sz="6" w:space="0"/>
                  </w:tcBorders>
                  <w:vAlign w:val="center"/>
                </w:tcPr>
                <w:p w14:paraId="1D19BE66">
                  <w:pPr>
                    <w:adjustRightInd w:val="0"/>
                    <w:snapToGrid w:val="0"/>
                    <w:jc w:val="center"/>
                    <w:rPr>
                      <w:szCs w:val="21"/>
                    </w:rPr>
                  </w:pPr>
                  <w:r>
                    <w:rPr>
                      <w:rFonts w:hint="eastAsia"/>
                      <w:szCs w:val="21"/>
                    </w:rPr>
                    <w:t>办公区</w:t>
                  </w:r>
                </w:p>
              </w:tc>
              <w:tc>
                <w:tcPr>
                  <w:tcW w:w="3359" w:type="pct"/>
                  <w:tcBorders>
                    <w:top w:val="single" w:color="auto" w:sz="6" w:space="0"/>
                    <w:left w:val="single" w:color="auto" w:sz="6" w:space="0"/>
                    <w:bottom w:val="single" w:color="auto" w:sz="6" w:space="0"/>
                    <w:right w:val="single" w:color="auto" w:sz="4" w:space="0"/>
                  </w:tcBorders>
                  <w:vAlign w:val="center"/>
                </w:tcPr>
                <w:p w14:paraId="65C91010">
                  <w:pPr>
                    <w:adjustRightInd w:val="0"/>
                    <w:snapToGrid w:val="0"/>
                    <w:jc w:val="center"/>
                    <w:rPr>
                      <w:szCs w:val="21"/>
                    </w:rPr>
                  </w:pPr>
                  <w:r>
                    <w:rPr>
                      <w:rFonts w:hint="eastAsia"/>
                      <w:szCs w:val="21"/>
                    </w:rPr>
                    <w:t>位于2#厂房2F东侧，分别布置有生产部办公室、总经理室、会议室、行政人事部、财务部。</w:t>
                  </w:r>
                </w:p>
              </w:tc>
              <w:tc>
                <w:tcPr>
                  <w:tcW w:w="505" w:type="pct"/>
                  <w:tcBorders>
                    <w:top w:val="single" w:color="auto" w:sz="6" w:space="0"/>
                    <w:left w:val="single" w:color="auto" w:sz="4" w:space="0"/>
                    <w:bottom w:val="single" w:color="auto" w:sz="6" w:space="0"/>
                    <w:right w:val="single" w:color="auto" w:sz="8" w:space="0"/>
                  </w:tcBorders>
                  <w:vAlign w:val="center"/>
                </w:tcPr>
                <w:p w14:paraId="3B3423BE">
                  <w:pPr>
                    <w:jc w:val="center"/>
                  </w:pPr>
                  <w:r>
                    <w:rPr>
                      <w:rFonts w:hint="eastAsia"/>
                      <w:szCs w:val="21"/>
                    </w:rPr>
                    <w:t>新建</w:t>
                  </w:r>
                </w:p>
              </w:tc>
            </w:tr>
            <w:tr w14:paraId="0890C2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378" w:type="pct"/>
                  <w:vMerge w:val="restart"/>
                  <w:tcBorders>
                    <w:top w:val="single" w:color="auto" w:sz="6" w:space="0"/>
                    <w:left w:val="single" w:color="auto" w:sz="8" w:space="0"/>
                    <w:right w:val="single" w:color="auto" w:sz="6" w:space="0"/>
                  </w:tcBorders>
                  <w:vAlign w:val="center"/>
                </w:tcPr>
                <w:p w14:paraId="0BE351EE">
                  <w:pPr>
                    <w:adjustRightInd w:val="0"/>
                    <w:snapToGrid w:val="0"/>
                    <w:jc w:val="center"/>
                    <w:rPr>
                      <w:szCs w:val="21"/>
                    </w:rPr>
                  </w:pPr>
                  <w:r>
                    <w:rPr>
                      <w:szCs w:val="21"/>
                    </w:rPr>
                    <w:t>储运工程</w:t>
                  </w:r>
                </w:p>
              </w:tc>
              <w:tc>
                <w:tcPr>
                  <w:tcW w:w="758" w:type="pct"/>
                  <w:tcBorders>
                    <w:top w:val="single" w:color="auto" w:sz="6" w:space="0"/>
                    <w:left w:val="single" w:color="auto" w:sz="6" w:space="0"/>
                    <w:right w:val="single" w:color="auto" w:sz="6" w:space="0"/>
                  </w:tcBorders>
                  <w:vAlign w:val="center"/>
                </w:tcPr>
                <w:p w14:paraId="4C1BEAEF">
                  <w:pPr>
                    <w:adjustRightInd w:val="0"/>
                    <w:snapToGrid w:val="0"/>
                    <w:jc w:val="center"/>
                    <w:rPr>
                      <w:szCs w:val="21"/>
                    </w:rPr>
                  </w:pPr>
                  <w:r>
                    <w:rPr>
                      <w:rFonts w:hint="eastAsia"/>
                      <w:szCs w:val="21"/>
                    </w:rPr>
                    <w:t>原料库房</w:t>
                  </w:r>
                </w:p>
              </w:tc>
              <w:tc>
                <w:tcPr>
                  <w:tcW w:w="3359" w:type="pct"/>
                  <w:tcBorders>
                    <w:top w:val="single" w:color="auto" w:sz="6" w:space="0"/>
                    <w:left w:val="single" w:color="auto" w:sz="6" w:space="0"/>
                    <w:right w:val="single" w:color="auto" w:sz="4" w:space="0"/>
                  </w:tcBorders>
                  <w:vAlign w:val="center"/>
                </w:tcPr>
                <w:p w14:paraId="4DAEA016">
                  <w:pPr>
                    <w:adjustRightInd w:val="0"/>
                    <w:snapToGrid w:val="0"/>
                    <w:jc w:val="left"/>
                    <w:rPr>
                      <w:bCs/>
                      <w:szCs w:val="21"/>
                    </w:rPr>
                  </w:pPr>
                  <w:r>
                    <w:rPr>
                      <w:rFonts w:hint="eastAsia"/>
                      <w:szCs w:val="21"/>
                    </w:rPr>
                    <w:t>①3#仓库，1F，楼高H=12.9m，总建筑面积7304.44</w:t>
                  </w:r>
                  <w:r>
                    <w:rPr>
                      <w:bCs/>
                      <w:szCs w:val="21"/>
                    </w:rPr>
                    <w:t>m</w:t>
                  </w:r>
                  <w:r>
                    <w:rPr>
                      <w:bCs/>
                      <w:szCs w:val="21"/>
                      <w:vertAlign w:val="superscript"/>
                    </w:rPr>
                    <w:t>2</w:t>
                  </w:r>
                  <w:r>
                    <w:rPr>
                      <w:rFonts w:hint="eastAsia"/>
                      <w:bCs/>
                      <w:szCs w:val="21"/>
                    </w:rPr>
                    <w:t>，位2#厂房北侧。</w:t>
                  </w:r>
                </w:p>
                <w:p w14:paraId="03573723">
                  <w:pPr>
                    <w:adjustRightInd w:val="0"/>
                    <w:snapToGrid w:val="0"/>
                    <w:jc w:val="left"/>
                    <w:rPr>
                      <w:szCs w:val="21"/>
                    </w:rPr>
                  </w:pPr>
                  <w:r>
                    <w:rPr>
                      <w:rFonts w:hint="eastAsia"/>
                      <w:szCs w:val="21"/>
                    </w:rPr>
                    <w:t>②原材料库房位于3#仓库东侧</w:t>
                  </w:r>
                  <w:r>
                    <w:rPr>
                      <w:rFonts w:hint="eastAsia"/>
                      <w:bCs/>
                      <w:szCs w:val="21"/>
                    </w:rPr>
                    <w:t>，面积约3000</w:t>
                  </w:r>
                  <w:r>
                    <w:rPr>
                      <w:bCs/>
                      <w:szCs w:val="21"/>
                    </w:rPr>
                    <w:t xml:space="preserve"> m</w:t>
                  </w:r>
                  <w:r>
                    <w:rPr>
                      <w:bCs/>
                      <w:szCs w:val="21"/>
                      <w:vertAlign w:val="superscript"/>
                    </w:rPr>
                    <w:t>2</w:t>
                  </w:r>
                  <w:r>
                    <w:rPr>
                      <w:rFonts w:hint="eastAsia"/>
                      <w:bCs/>
                      <w:szCs w:val="21"/>
                    </w:rPr>
                    <w:t>，用于存放原纸等原材料。</w:t>
                  </w:r>
                </w:p>
              </w:tc>
              <w:tc>
                <w:tcPr>
                  <w:tcW w:w="505" w:type="pct"/>
                  <w:tcBorders>
                    <w:top w:val="single" w:color="auto" w:sz="6" w:space="0"/>
                    <w:left w:val="single" w:color="auto" w:sz="4" w:space="0"/>
                    <w:right w:val="single" w:color="auto" w:sz="8" w:space="0"/>
                  </w:tcBorders>
                  <w:vAlign w:val="center"/>
                </w:tcPr>
                <w:p w14:paraId="3852A64C">
                  <w:pPr>
                    <w:jc w:val="center"/>
                  </w:pPr>
                  <w:r>
                    <w:rPr>
                      <w:rFonts w:hint="eastAsia"/>
                      <w:szCs w:val="21"/>
                    </w:rPr>
                    <w:t>新建</w:t>
                  </w:r>
                </w:p>
              </w:tc>
            </w:tr>
            <w:tr w14:paraId="0D93D8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378" w:type="pct"/>
                  <w:vMerge w:val="continue"/>
                  <w:tcBorders>
                    <w:left w:val="single" w:color="auto" w:sz="8" w:space="0"/>
                    <w:right w:val="single" w:color="auto" w:sz="6" w:space="0"/>
                  </w:tcBorders>
                  <w:vAlign w:val="center"/>
                </w:tcPr>
                <w:p w14:paraId="1754FF41">
                  <w:pPr>
                    <w:adjustRightInd w:val="0"/>
                    <w:snapToGrid w:val="0"/>
                    <w:jc w:val="center"/>
                    <w:rPr>
                      <w:szCs w:val="21"/>
                    </w:rPr>
                  </w:pPr>
                </w:p>
              </w:tc>
              <w:tc>
                <w:tcPr>
                  <w:tcW w:w="758" w:type="pct"/>
                  <w:tcBorders>
                    <w:top w:val="single" w:color="auto" w:sz="6" w:space="0"/>
                    <w:left w:val="single" w:color="auto" w:sz="6" w:space="0"/>
                    <w:right w:val="single" w:color="auto" w:sz="6" w:space="0"/>
                  </w:tcBorders>
                  <w:vAlign w:val="center"/>
                </w:tcPr>
                <w:p w14:paraId="3859ACFA">
                  <w:pPr>
                    <w:adjustRightInd w:val="0"/>
                    <w:snapToGrid w:val="0"/>
                    <w:jc w:val="center"/>
                    <w:rPr>
                      <w:szCs w:val="21"/>
                    </w:rPr>
                  </w:pPr>
                  <w:r>
                    <w:rPr>
                      <w:rFonts w:hint="eastAsia"/>
                      <w:szCs w:val="21"/>
                    </w:rPr>
                    <w:t>成品库房</w:t>
                  </w:r>
                </w:p>
              </w:tc>
              <w:tc>
                <w:tcPr>
                  <w:tcW w:w="3359" w:type="pct"/>
                  <w:tcBorders>
                    <w:top w:val="single" w:color="auto" w:sz="6" w:space="0"/>
                    <w:left w:val="single" w:color="auto" w:sz="6" w:space="0"/>
                    <w:right w:val="single" w:color="auto" w:sz="4" w:space="0"/>
                  </w:tcBorders>
                  <w:vAlign w:val="center"/>
                </w:tcPr>
                <w:p w14:paraId="23FDEBCC">
                  <w:pPr>
                    <w:adjustRightInd w:val="0"/>
                    <w:snapToGrid w:val="0"/>
                    <w:jc w:val="center"/>
                    <w:rPr>
                      <w:bCs/>
                      <w:szCs w:val="21"/>
                    </w:rPr>
                  </w:pPr>
                  <w:r>
                    <w:rPr>
                      <w:rFonts w:hint="eastAsia"/>
                      <w:szCs w:val="21"/>
                    </w:rPr>
                    <w:t>成品库房位于3#仓库西侧</w:t>
                  </w:r>
                  <w:r>
                    <w:rPr>
                      <w:rFonts w:hint="eastAsia"/>
                      <w:bCs/>
                      <w:szCs w:val="21"/>
                    </w:rPr>
                    <w:t>，面积约4304.44</w:t>
                  </w:r>
                  <w:r>
                    <w:rPr>
                      <w:bCs/>
                      <w:szCs w:val="21"/>
                    </w:rPr>
                    <w:t xml:space="preserve"> m</w:t>
                  </w:r>
                  <w:r>
                    <w:rPr>
                      <w:bCs/>
                      <w:szCs w:val="21"/>
                      <w:vertAlign w:val="superscript"/>
                    </w:rPr>
                    <w:t>2</w:t>
                  </w:r>
                  <w:r>
                    <w:rPr>
                      <w:rFonts w:hint="eastAsia"/>
                      <w:bCs/>
                      <w:szCs w:val="21"/>
                    </w:rPr>
                    <w:t>，用于存放</w:t>
                  </w:r>
                </w:p>
                <w:p w14:paraId="3EC3815A">
                  <w:pPr>
                    <w:adjustRightInd w:val="0"/>
                    <w:snapToGrid w:val="0"/>
                    <w:jc w:val="center"/>
                    <w:rPr>
                      <w:szCs w:val="21"/>
                    </w:rPr>
                  </w:pPr>
                  <w:r>
                    <w:rPr>
                      <w:rFonts w:hint="eastAsia"/>
                      <w:bCs/>
                      <w:szCs w:val="21"/>
                    </w:rPr>
                    <w:t>包装好的纸制品玩具。</w:t>
                  </w:r>
                </w:p>
              </w:tc>
              <w:tc>
                <w:tcPr>
                  <w:tcW w:w="505" w:type="pct"/>
                  <w:tcBorders>
                    <w:top w:val="single" w:color="auto" w:sz="6" w:space="0"/>
                    <w:left w:val="single" w:color="auto" w:sz="4" w:space="0"/>
                    <w:right w:val="single" w:color="auto" w:sz="8" w:space="0"/>
                  </w:tcBorders>
                  <w:vAlign w:val="center"/>
                </w:tcPr>
                <w:p w14:paraId="4679497E">
                  <w:pPr>
                    <w:jc w:val="center"/>
                  </w:pPr>
                  <w:r>
                    <w:rPr>
                      <w:rFonts w:hint="eastAsia"/>
                      <w:szCs w:val="21"/>
                    </w:rPr>
                    <w:t>新建</w:t>
                  </w:r>
                </w:p>
              </w:tc>
            </w:tr>
            <w:tr w14:paraId="4BF7DD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78" w:type="pct"/>
                  <w:vMerge w:val="continue"/>
                  <w:tcBorders>
                    <w:left w:val="single" w:color="auto" w:sz="8" w:space="0"/>
                    <w:right w:val="single" w:color="auto" w:sz="6" w:space="0"/>
                  </w:tcBorders>
                  <w:vAlign w:val="center"/>
                </w:tcPr>
                <w:p w14:paraId="4AB8A2A6">
                  <w:pPr>
                    <w:adjustRightInd w:val="0"/>
                    <w:snapToGrid w:val="0"/>
                    <w:jc w:val="center"/>
                    <w:rPr>
                      <w:szCs w:val="21"/>
                    </w:rPr>
                  </w:pPr>
                </w:p>
              </w:tc>
              <w:tc>
                <w:tcPr>
                  <w:tcW w:w="758" w:type="pct"/>
                  <w:tcBorders>
                    <w:top w:val="single" w:color="auto" w:sz="6" w:space="0"/>
                    <w:left w:val="single" w:color="auto" w:sz="6" w:space="0"/>
                    <w:right w:val="single" w:color="auto" w:sz="6" w:space="0"/>
                  </w:tcBorders>
                  <w:vAlign w:val="center"/>
                </w:tcPr>
                <w:p w14:paraId="1FEEC3F1">
                  <w:pPr>
                    <w:jc w:val="center"/>
                    <w:rPr>
                      <w:szCs w:val="21"/>
                    </w:rPr>
                  </w:pPr>
                  <w:r>
                    <w:rPr>
                      <w:rFonts w:hint="eastAsia"/>
                      <w:szCs w:val="21"/>
                    </w:rPr>
                    <w:t>化学品存放间</w:t>
                  </w:r>
                </w:p>
              </w:tc>
              <w:tc>
                <w:tcPr>
                  <w:tcW w:w="3359" w:type="pct"/>
                  <w:tcBorders>
                    <w:top w:val="single" w:color="auto" w:sz="6" w:space="0"/>
                    <w:left w:val="single" w:color="auto" w:sz="6" w:space="0"/>
                    <w:right w:val="single" w:color="auto" w:sz="4" w:space="0"/>
                  </w:tcBorders>
                  <w:vAlign w:val="center"/>
                </w:tcPr>
                <w:p w14:paraId="0E15BD70">
                  <w:pPr>
                    <w:adjustRightInd w:val="0"/>
                    <w:snapToGrid w:val="0"/>
                    <w:jc w:val="left"/>
                    <w:rPr>
                      <w:bCs/>
                      <w:szCs w:val="21"/>
                    </w:rPr>
                  </w:pPr>
                  <w:r>
                    <w:rPr>
                      <w:rFonts w:hint="eastAsia"/>
                      <w:szCs w:val="21"/>
                    </w:rPr>
                    <w:t>①9#材料库，1F，楼高H=8.7m，总建筑面积457.56</w:t>
                  </w:r>
                  <w:r>
                    <w:rPr>
                      <w:bCs/>
                      <w:szCs w:val="21"/>
                    </w:rPr>
                    <w:t>m</w:t>
                  </w:r>
                  <w:r>
                    <w:rPr>
                      <w:bCs/>
                      <w:szCs w:val="21"/>
                      <w:vertAlign w:val="superscript"/>
                    </w:rPr>
                    <w:t>2</w:t>
                  </w:r>
                  <w:r>
                    <w:rPr>
                      <w:rFonts w:hint="eastAsia"/>
                      <w:bCs/>
                      <w:szCs w:val="21"/>
                    </w:rPr>
                    <w:t>，位于厂区西北角。</w:t>
                  </w:r>
                </w:p>
                <w:p w14:paraId="3890C4F5">
                  <w:pPr>
                    <w:adjustRightInd w:val="0"/>
                    <w:snapToGrid w:val="0"/>
                    <w:jc w:val="left"/>
                    <w:rPr>
                      <w:szCs w:val="21"/>
                    </w:rPr>
                  </w:pPr>
                  <w:r>
                    <w:rPr>
                      <w:rFonts w:hint="eastAsia"/>
                      <w:szCs w:val="21"/>
                    </w:rPr>
                    <w:t>②化学品存放间位于9#材料库1F</w:t>
                  </w:r>
                  <w:r>
                    <w:rPr>
                      <w:rFonts w:hint="eastAsia"/>
                      <w:bCs/>
                      <w:szCs w:val="21"/>
                    </w:rPr>
                    <w:t>，面积约228.78</w:t>
                  </w:r>
                  <w:r>
                    <w:rPr>
                      <w:bCs/>
                      <w:szCs w:val="21"/>
                    </w:rPr>
                    <w:t xml:space="preserve"> m</w:t>
                  </w:r>
                  <w:r>
                    <w:rPr>
                      <w:bCs/>
                      <w:szCs w:val="21"/>
                      <w:vertAlign w:val="superscript"/>
                    </w:rPr>
                    <w:t>2</w:t>
                  </w:r>
                  <w:r>
                    <w:rPr>
                      <w:rFonts w:hint="eastAsia"/>
                      <w:bCs/>
                      <w:szCs w:val="21"/>
                    </w:rPr>
                    <w:t>，用于存放油墨、水性上光油、水基性胶粘剂、洗车水、润版液等化学品。</w:t>
                  </w:r>
                </w:p>
              </w:tc>
              <w:tc>
                <w:tcPr>
                  <w:tcW w:w="505" w:type="pct"/>
                  <w:tcBorders>
                    <w:top w:val="single" w:color="auto" w:sz="6" w:space="0"/>
                    <w:left w:val="single" w:color="auto" w:sz="4" w:space="0"/>
                    <w:right w:val="single" w:color="auto" w:sz="8" w:space="0"/>
                  </w:tcBorders>
                  <w:vAlign w:val="center"/>
                </w:tcPr>
                <w:p w14:paraId="7E22A0E7">
                  <w:pPr>
                    <w:jc w:val="center"/>
                  </w:pPr>
                  <w:r>
                    <w:rPr>
                      <w:rFonts w:hint="eastAsia"/>
                      <w:szCs w:val="21"/>
                    </w:rPr>
                    <w:t>新建</w:t>
                  </w:r>
                </w:p>
              </w:tc>
            </w:tr>
            <w:tr w14:paraId="480EE6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restart"/>
                  <w:tcBorders>
                    <w:top w:val="single" w:color="auto" w:sz="4" w:space="0"/>
                    <w:left w:val="single" w:color="auto" w:sz="8" w:space="0"/>
                    <w:right w:val="single" w:color="auto" w:sz="6" w:space="0"/>
                  </w:tcBorders>
                  <w:vAlign w:val="center"/>
                </w:tcPr>
                <w:p w14:paraId="2A25C95D">
                  <w:pPr>
                    <w:adjustRightInd w:val="0"/>
                    <w:snapToGrid w:val="0"/>
                    <w:jc w:val="center"/>
                    <w:rPr>
                      <w:szCs w:val="21"/>
                    </w:rPr>
                  </w:pPr>
                  <w:r>
                    <w:rPr>
                      <w:szCs w:val="21"/>
                    </w:rPr>
                    <w:t>公用工程</w:t>
                  </w:r>
                </w:p>
              </w:tc>
              <w:tc>
                <w:tcPr>
                  <w:tcW w:w="758" w:type="pct"/>
                  <w:tcBorders>
                    <w:top w:val="single" w:color="auto" w:sz="4" w:space="0"/>
                    <w:left w:val="single" w:color="auto" w:sz="6" w:space="0"/>
                    <w:bottom w:val="single" w:color="auto" w:sz="6" w:space="0"/>
                    <w:right w:val="single" w:color="auto" w:sz="6" w:space="0"/>
                  </w:tcBorders>
                  <w:vAlign w:val="center"/>
                </w:tcPr>
                <w:p w14:paraId="013A5B22">
                  <w:pPr>
                    <w:adjustRightInd w:val="0"/>
                    <w:snapToGrid w:val="0"/>
                    <w:jc w:val="center"/>
                    <w:rPr>
                      <w:szCs w:val="21"/>
                    </w:rPr>
                  </w:pPr>
                  <w:r>
                    <w:rPr>
                      <w:szCs w:val="21"/>
                    </w:rPr>
                    <w:t>供电</w:t>
                  </w:r>
                </w:p>
              </w:tc>
              <w:tc>
                <w:tcPr>
                  <w:tcW w:w="3359" w:type="pct"/>
                  <w:tcBorders>
                    <w:top w:val="single" w:color="auto" w:sz="6" w:space="0"/>
                    <w:left w:val="single" w:color="auto" w:sz="6" w:space="0"/>
                    <w:bottom w:val="single" w:color="auto" w:sz="6" w:space="0"/>
                    <w:right w:val="single" w:color="auto" w:sz="4" w:space="0"/>
                  </w:tcBorders>
                  <w:vAlign w:val="center"/>
                </w:tcPr>
                <w:p w14:paraId="59AC8A23">
                  <w:pPr>
                    <w:jc w:val="center"/>
                    <w:rPr>
                      <w:szCs w:val="21"/>
                    </w:rPr>
                  </w:pPr>
                  <w:r>
                    <w:rPr>
                      <w:szCs w:val="21"/>
                    </w:rPr>
                    <w:t>用电由园区配电网供给。</w:t>
                  </w:r>
                </w:p>
              </w:tc>
              <w:tc>
                <w:tcPr>
                  <w:tcW w:w="505" w:type="pct"/>
                  <w:tcBorders>
                    <w:top w:val="single" w:color="auto" w:sz="6" w:space="0"/>
                    <w:left w:val="single" w:color="auto" w:sz="4" w:space="0"/>
                    <w:bottom w:val="single" w:color="auto" w:sz="6" w:space="0"/>
                    <w:right w:val="single" w:color="auto" w:sz="8" w:space="0"/>
                  </w:tcBorders>
                  <w:vAlign w:val="center"/>
                </w:tcPr>
                <w:p w14:paraId="1238AC99">
                  <w:pPr>
                    <w:jc w:val="center"/>
                  </w:pPr>
                  <w:r>
                    <w:rPr>
                      <w:rFonts w:hint="eastAsia"/>
                      <w:szCs w:val="21"/>
                    </w:rPr>
                    <w:t>新建</w:t>
                  </w:r>
                </w:p>
              </w:tc>
            </w:tr>
            <w:tr w14:paraId="078BFF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continue"/>
                  <w:tcBorders>
                    <w:left w:val="single" w:color="auto" w:sz="8" w:space="0"/>
                    <w:right w:val="single" w:color="auto" w:sz="6" w:space="0"/>
                  </w:tcBorders>
                  <w:vAlign w:val="center"/>
                </w:tcPr>
                <w:p w14:paraId="1B85C061">
                  <w:pPr>
                    <w:adjustRightInd w:val="0"/>
                    <w:snapToGrid w:val="0"/>
                    <w:jc w:val="center"/>
                    <w:rPr>
                      <w:szCs w:val="21"/>
                    </w:rPr>
                  </w:pPr>
                </w:p>
              </w:tc>
              <w:tc>
                <w:tcPr>
                  <w:tcW w:w="758" w:type="pct"/>
                  <w:tcBorders>
                    <w:top w:val="single" w:color="auto" w:sz="6" w:space="0"/>
                    <w:left w:val="single" w:color="auto" w:sz="6" w:space="0"/>
                    <w:bottom w:val="single" w:color="auto" w:sz="6" w:space="0"/>
                    <w:right w:val="single" w:color="auto" w:sz="6" w:space="0"/>
                  </w:tcBorders>
                  <w:vAlign w:val="center"/>
                </w:tcPr>
                <w:p w14:paraId="1171F00D">
                  <w:pPr>
                    <w:adjustRightInd w:val="0"/>
                    <w:snapToGrid w:val="0"/>
                    <w:jc w:val="center"/>
                    <w:rPr>
                      <w:szCs w:val="21"/>
                    </w:rPr>
                  </w:pPr>
                  <w:r>
                    <w:rPr>
                      <w:szCs w:val="21"/>
                    </w:rPr>
                    <w:t>供水</w:t>
                  </w:r>
                </w:p>
              </w:tc>
              <w:tc>
                <w:tcPr>
                  <w:tcW w:w="3359" w:type="pct"/>
                  <w:tcBorders>
                    <w:top w:val="single" w:color="auto" w:sz="6" w:space="0"/>
                    <w:left w:val="single" w:color="auto" w:sz="6" w:space="0"/>
                    <w:bottom w:val="single" w:color="auto" w:sz="6" w:space="0"/>
                    <w:right w:val="single" w:color="auto" w:sz="4" w:space="0"/>
                  </w:tcBorders>
                  <w:vAlign w:val="center"/>
                </w:tcPr>
                <w:p w14:paraId="0712F368">
                  <w:pPr>
                    <w:jc w:val="center"/>
                    <w:rPr>
                      <w:szCs w:val="21"/>
                    </w:rPr>
                  </w:pPr>
                  <w:r>
                    <w:rPr>
                      <w:spacing w:val="6"/>
                      <w:szCs w:val="21"/>
                    </w:rPr>
                    <w:t>由市政供水管网接入</w:t>
                  </w:r>
                  <w:r>
                    <w:rPr>
                      <w:szCs w:val="21"/>
                    </w:rPr>
                    <w:t>。</w:t>
                  </w:r>
                </w:p>
              </w:tc>
              <w:tc>
                <w:tcPr>
                  <w:tcW w:w="505" w:type="pct"/>
                  <w:tcBorders>
                    <w:top w:val="single" w:color="auto" w:sz="6" w:space="0"/>
                    <w:left w:val="single" w:color="auto" w:sz="4" w:space="0"/>
                    <w:bottom w:val="single" w:color="auto" w:sz="6" w:space="0"/>
                    <w:right w:val="single" w:color="auto" w:sz="8" w:space="0"/>
                  </w:tcBorders>
                  <w:vAlign w:val="center"/>
                </w:tcPr>
                <w:p w14:paraId="6DAADBA6">
                  <w:pPr>
                    <w:jc w:val="center"/>
                  </w:pPr>
                  <w:r>
                    <w:rPr>
                      <w:rFonts w:hint="eastAsia"/>
                      <w:szCs w:val="21"/>
                    </w:rPr>
                    <w:t>新建</w:t>
                  </w:r>
                </w:p>
              </w:tc>
            </w:tr>
            <w:tr w14:paraId="30ACFE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continue"/>
                  <w:tcBorders>
                    <w:left w:val="single" w:color="auto" w:sz="8" w:space="0"/>
                    <w:right w:val="single" w:color="auto" w:sz="6" w:space="0"/>
                  </w:tcBorders>
                  <w:vAlign w:val="center"/>
                </w:tcPr>
                <w:p w14:paraId="2C2B43D2">
                  <w:pPr>
                    <w:adjustRightInd w:val="0"/>
                    <w:snapToGrid w:val="0"/>
                    <w:jc w:val="center"/>
                    <w:rPr>
                      <w:szCs w:val="21"/>
                    </w:rPr>
                  </w:pPr>
                </w:p>
              </w:tc>
              <w:tc>
                <w:tcPr>
                  <w:tcW w:w="758" w:type="pct"/>
                  <w:tcBorders>
                    <w:top w:val="single" w:color="auto" w:sz="6" w:space="0"/>
                    <w:left w:val="single" w:color="auto" w:sz="6" w:space="0"/>
                    <w:right w:val="single" w:color="auto" w:sz="6" w:space="0"/>
                  </w:tcBorders>
                  <w:vAlign w:val="center"/>
                </w:tcPr>
                <w:p w14:paraId="0DBF46F5">
                  <w:pPr>
                    <w:adjustRightInd w:val="0"/>
                    <w:snapToGrid w:val="0"/>
                    <w:jc w:val="center"/>
                    <w:rPr>
                      <w:szCs w:val="21"/>
                      <w:highlight w:val="yellow"/>
                    </w:rPr>
                  </w:pPr>
                  <w:r>
                    <w:rPr>
                      <w:szCs w:val="21"/>
                    </w:rPr>
                    <w:t>排水</w:t>
                  </w:r>
                </w:p>
              </w:tc>
              <w:tc>
                <w:tcPr>
                  <w:tcW w:w="3359" w:type="pct"/>
                  <w:tcBorders>
                    <w:top w:val="single" w:color="auto" w:sz="6" w:space="0"/>
                    <w:left w:val="single" w:color="auto" w:sz="6" w:space="0"/>
                    <w:bottom w:val="single" w:color="auto" w:sz="6" w:space="0"/>
                    <w:right w:val="single" w:color="auto" w:sz="4" w:space="0"/>
                  </w:tcBorders>
                  <w:vAlign w:val="center"/>
                </w:tcPr>
                <w:p w14:paraId="53311E80">
                  <w:pPr>
                    <w:jc w:val="center"/>
                    <w:rPr>
                      <w:szCs w:val="21"/>
                      <w:highlight w:val="yellow"/>
                    </w:rPr>
                  </w:pPr>
                  <w:r>
                    <w:rPr>
                      <w:rFonts w:hAnsiTheme="minorEastAsia" w:eastAsiaTheme="minorEastAsia"/>
                      <w:kern w:val="0"/>
                      <w:szCs w:val="21"/>
                    </w:rPr>
                    <w:t>食堂废水经隔油池处理后同员工生活污水、地面清洁废水、循环冷却水系统排污水一并进入厂区新建生化池处理达《污水综合排放标准》（</w:t>
                  </w:r>
                  <w:r>
                    <w:rPr>
                      <w:rFonts w:eastAsiaTheme="minorEastAsia"/>
                      <w:kern w:val="0"/>
                      <w:szCs w:val="21"/>
                    </w:rPr>
                    <w:t>GB8978-1996</w:t>
                  </w:r>
                  <w:r>
                    <w:rPr>
                      <w:rFonts w:hAnsiTheme="minorEastAsia" w:eastAsiaTheme="minorEastAsia"/>
                      <w:kern w:val="0"/>
                      <w:szCs w:val="21"/>
                    </w:rPr>
                    <w:t>）三级标准后，排入园区污水管网，经李渡大耍坝污水处理厂处理</w:t>
                  </w:r>
                  <w:r>
                    <w:rPr>
                      <w:rFonts w:hint="eastAsia" w:hAnsiTheme="minorEastAsia" w:eastAsiaTheme="minorEastAsia"/>
                      <w:kern w:val="0"/>
                      <w:szCs w:val="21"/>
                    </w:rPr>
                    <w:t>达标后排放</w:t>
                  </w:r>
                  <w:r>
                    <w:rPr>
                      <w:rFonts w:hAnsiTheme="minorEastAsia" w:eastAsiaTheme="minorEastAsia"/>
                      <w:kern w:val="0"/>
                      <w:szCs w:val="21"/>
                    </w:rPr>
                    <w:t>。</w:t>
                  </w:r>
                </w:p>
              </w:tc>
              <w:tc>
                <w:tcPr>
                  <w:tcW w:w="505" w:type="pct"/>
                  <w:tcBorders>
                    <w:top w:val="single" w:color="auto" w:sz="6" w:space="0"/>
                    <w:left w:val="single" w:color="auto" w:sz="4" w:space="0"/>
                    <w:bottom w:val="single" w:color="auto" w:sz="6" w:space="0"/>
                    <w:right w:val="single" w:color="auto" w:sz="8" w:space="0"/>
                  </w:tcBorders>
                  <w:vAlign w:val="center"/>
                </w:tcPr>
                <w:p w14:paraId="0891E249">
                  <w:pPr>
                    <w:jc w:val="center"/>
                  </w:pPr>
                  <w:r>
                    <w:rPr>
                      <w:rFonts w:hint="eastAsia"/>
                      <w:szCs w:val="21"/>
                    </w:rPr>
                    <w:t>新建</w:t>
                  </w:r>
                </w:p>
              </w:tc>
            </w:tr>
            <w:tr w14:paraId="1178F0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continue"/>
                  <w:tcBorders>
                    <w:left w:val="single" w:color="auto" w:sz="8" w:space="0"/>
                    <w:right w:val="single" w:color="auto" w:sz="6" w:space="0"/>
                  </w:tcBorders>
                  <w:vAlign w:val="center"/>
                </w:tcPr>
                <w:p w14:paraId="29A1762C">
                  <w:pPr>
                    <w:adjustRightInd w:val="0"/>
                    <w:snapToGrid w:val="0"/>
                    <w:jc w:val="center"/>
                    <w:rPr>
                      <w:szCs w:val="21"/>
                    </w:rPr>
                  </w:pPr>
                </w:p>
              </w:tc>
              <w:tc>
                <w:tcPr>
                  <w:tcW w:w="758" w:type="pct"/>
                  <w:tcBorders>
                    <w:top w:val="single" w:color="auto" w:sz="6" w:space="0"/>
                    <w:left w:val="single" w:color="auto" w:sz="6" w:space="0"/>
                    <w:right w:val="single" w:color="auto" w:sz="6" w:space="0"/>
                  </w:tcBorders>
                  <w:vAlign w:val="center"/>
                </w:tcPr>
                <w:p w14:paraId="0CF72748">
                  <w:pPr>
                    <w:jc w:val="center"/>
                    <w:rPr>
                      <w:szCs w:val="21"/>
                    </w:rPr>
                  </w:pPr>
                  <w:r>
                    <w:rPr>
                      <w:rFonts w:hint="eastAsia" w:hAnsi="宋体"/>
                      <w:szCs w:val="21"/>
                    </w:rPr>
                    <w:t>冷却塔</w:t>
                  </w:r>
                </w:p>
              </w:tc>
              <w:tc>
                <w:tcPr>
                  <w:tcW w:w="3359" w:type="pct"/>
                  <w:tcBorders>
                    <w:top w:val="single" w:color="auto" w:sz="6" w:space="0"/>
                    <w:left w:val="single" w:color="auto" w:sz="6" w:space="0"/>
                    <w:bottom w:val="single" w:color="auto" w:sz="6" w:space="0"/>
                    <w:right w:val="single" w:color="auto" w:sz="4" w:space="0"/>
                  </w:tcBorders>
                  <w:vAlign w:val="center"/>
                </w:tcPr>
                <w:p w14:paraId="1FF4CC14">
                  <w:pPr>
                    <w:pStyle w:val="77"/>
                    <w:jc w:val="center"/>
                    <w:rPr>
                      <w:rFonts w:ascii="Times New Roman" w:hAnsi="Times New Roman"/>
                      <w:color w:val="auto"/>
                      <w:szCs w:val="21"/>
                    </w:rPr>
                  </w:pPr>
                  <w:r>
                    <w:rPr>
                      <w:rFonts w:hint="eastAsia" w:ascii="Times New Roman"/>
                      <w:color w:val="auto"/>
                      <w:sz w:val="21"/>
                      <w:szCs w:val="21"/>
                    </w:rPr>
                    <w:t>位于2#厂房楼顶，</w:t>
                  </w:r>
                  <w:r>
                    <w:rPr>
                      <w:rFonts w:ascii="Times New Roman"/>
                      <w:color w:val="auto"/>
                      <w:sz w:val="21"/>
                      <w:szCs w:val="21"/>
                    </w:rPr>
                    <w:t>主要为</w:t>
                  </w:r>
                  <w:r>
                    <w:rPr>
                      <w:rFonts w:hint="eastAsia" w:ascii="Times New Roman"/>
                      <w:color w:val="auto"/>
                      <w:sz w:val="21"/>
                      <w:szCs w:val="21"/>
                    </w:rPr>
                    <w:t>2#</w:t>
                  </w:r>
                  <w:r>
                    <w:rPr>
                      <w:rFonts w:ascii="Times New Roman"/>
                      <w:color w:val="auto"/>
                      <w:sz w:val="21"/>
                      <w:szCs w:val="21"/>
                    </w:rPr>
                    <w:t>生产厂房内的空调设备提供冷源；配套设置</w:t>
                  </w:r>
                  <w:r>
                    <w:rPr>
                      <w:rFonts w:hint="eastAsia" w:ascii="Times New Roman" w:hAnsi="Times New Roman"/>
                      <w:color w:val="auto"/>
                      <w:sz w:val="21"/>
                      <w:szCs w:val="21"/>
                    </w:rPr>
                    <w:t>3</w:t>
                  </w:r>
                  <w:r>
                    <w:rPr>
                      <w:rFonts w:ascii="Times New Roman"/>
                      <w:color w:val="auto"/>
                      <w:sz w:val="21"/>
                      <w:szCs w:val="21"/>
                    </w:rPr>
                    <w:t>组冷却塔，冷却塔循环水量为</w:t>
                  </w:r>
                  <w:r>
                    <w:rPr>
                      <w:rFonts w:hint="eastAsia" w:ascii="Times New Roman" w:hAnsi="Times New Roman"/>
                      <w:color w:val="auto"/>
                      <w:sz w:val="21"/>
                      <w:szCs w:val="21"/>
                    </w:rPr>
                    <w:t>18</w:t>
                  </w:r>
                  <w:r>
                    <w:rPr>
                      <w:rFonts w:ascii="Times New Roman" w:hAnsi="Times New Roman"/>
                      <w:color w:val="auto"/>
                      <w:sz w:val="21"/>
                      <w:szCs w:val="21"/>
                    </w:rPr>
                    <w:t>m</w:t>
                  </w:r>
                  <w:r>
                    <w:rPr>
                      <w:rFonts w:ascii="Times New Roman" w:hAnsi="Times New Roman"/>
                      <w:color w:val="auto"/>
                      <w:sz w:val="21"/>
                      <w:szCs w:val="21"/>
                      <w:vertAlign w:val="superscript"/>
                    </w:rPr>
                    <w:t>3</w:t>
                  </w:r>
                  <w:r>
                    <w:rPr>
                      <w:rFonts w:ascii="Times New Roman" w:hAnsi="Times New Roman"/>
                      <w:color w:val="auto"/>
                      <w:sz w:val="21"/>
                      <w:szCs w:val="21"/>
                    </w:rPr>
                    <w:t>/h</w:t>
                  </w:r>
                  <w:r>
                    <w:rPr>
                      <w:rFonts w:ascii="Times New Roman"/>
                      <w:color w:val="auto"/>
                      <w:sz w:val="21"/>
                      <w:szCs w:val="21"/>
                    </w:rPr>
                    <w:t>，制冷剂为</w:t>
                  </w:r>
                  <w:r>
                    <w:rPr>
                      <w:rFonts w:ascii="Times New Roman" w:hAnsi="Times New Roman"/>
                      <w:color w:val="auto"/>
                      <w:sz w:val="21"/>
                      <w:szCs w:val="21"/>
                    </w:rPr>
                    <w:t>R</w:t>
                  </w:r>
                  <w:r>
                    <w:rPr>
                      <w:rFonts w:hint="eastAsia" w:ascii="Times New Roman" w:hAnsi="Times New Roman"/>
                      <w:color w:val="auto"/>
                      <w:sz w:val="21"/>
                      <w:szCs w:val="21"/>
                    </w:rPr>
                    <w:t>410a</w:t>
                  </w:r>
                  <w:r>
                    <w:rPr>
                      <w:rFonts w:ascii="Times New Roman"/>
                      <w:color w:val="auto"/>
                      <w:sz w:val="21"/>
                      <w:szCs w:val="21"/>
                    </w:rPr>
                    <w:t>。</w:t>
                  </w:r>
                  <w:r>
                    <w:rPr>
                      <w:rFonts w:ascii="Times New Roman" w:hAnsi="Times New Roman"/>
                      <w:color w:val="auto"/>
                      <w:sz w:val="21"/>
                      <w:szCs w:val="21"/>
                    </w:rPr>
                    <w:t xml:space="preserve"> </w:t>
                  </w:r>
                </w:p>
              </w:tc>
              <w:tc>
                <w:tcPr>
                  <w:tcW w:w="505" w:type="pct"/>
                  <w:tcBorders>
                    <w:top w:val="single" w:color="auto" w:sz="6" w:space="0"/>
                    <w:left w:val="single" w:color="auto" w:sz="4" w:space="0"/>
                    <w:bottom w:val="single" w:color="auto" w:sz="6" w:space="0"/>
                    <w:right w:val="single" w:color="auto" w:sz="8" w:space="0"/>
                  </w:tcBorders>
                  <w:vAlign w:val="center"/>
                </w:tcPr>
                <w:p w14:paraId="08142C1A">
                  <w:pPr>
                    <w:snapToGrid w:val="0"/>
                    <w:jc w:val="center"/>
                    <w:rPr>
                      <w:bCs/>
                      <w:iCs/>
                      <w:szCs w:val="21"/>
                    </w:rPr>
                  </w:pPr>
                  <w:r>
                    <w:rPr>
                      <w:rFonts w:hint="eastAsia"/>
                      <w:bCs/>
                      <w:iCs/>
                      <w:szCs w:val="21"/>
                    </w:rPr>
                    <w:t>新建</w:t>
                  </w:r>
                </w:p>
              </w:tc>
            </w:tr>
            <w:tr w14:paraId="24CD32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continue"/>
                  <w:tcBorders>
                    <w:left w:val="single" w:color="auto" w:sz="8" w:space="0"/>
                    <w:right w:val="single" w:color="auto" w:sz="6" w:space="0"/>
                  </w:tcBorders>
                  <w:vAlign w:val="center"/>
                </w:tcPr>
                <w:p w14:paraId="5AAFDDB6">
                  <w:pPr>
                    <w:adjustRightInd w:val="0"/>
                    <w:snapToGrid w:val="0"/>
                    <w:jc w:val="center"/>
                    <w:rPr>
                      <w:szCs w:val="21"/>
                    </w:rPr>
                  </w:pPr>
                </w:p>
              </w:tc>
              <w:tc>
                <w:tcPr>
                  <w:tcW w:w="758" w:type="pct"/>
                  <w:tcBorders>
                    <w:top w:val="single" w:color="auto" w:sz="6" w:space="0"/>
                    <w:left w:val="single" w:color="auto" w:sz="6" w:space="0"/>
                    <w:right w:val="single" w:color="auto" w:sz="6" w:space="0"/>
                  </w:tcBorders>
                  <w:vAlign w:val="center"/>
                </w:tcPr>
                <w:p w14:paraId="24D5A186">
                  <w:pPr>
                    <w:jc w:val="center"/>
                    <w:rPr>
                      <w:rFonts w:hAnsi="宋体"/>
                      <w:szCs w:val="21"/>
                    </w:rPr>
                  </w:pPr>
                  <w:r>
                    <w:rPr>
                      <w:rFonts w:hint="eastAsia" w:hAnsi="宋体"/>
                      <w:szCs w:val="21"/>
                    </w:rPr>
                    <w:t>空压站</w:t>
                  </w:r>
                </w:p>
              </w:tc>
              <w:tc>
                <w:tcPr>
                  <w:tcW w:w="3359" w:type="pct"/>
                  <w:tcBorders>
                    <w:top w:val="single" w:color="auto" w:sz="6" w:space="0"/>
                    <w:left w:val="single" w:color="auto" w:sz="6" w:space="0"/>
                    <w:bottom w:val="single" w:color="auto" w:sz="6" w:space="0"/>
                    <w:right w:val="single" w:color="auto" w:sz="4" w:space="0"/>
                  </w:tcBorders>
                  <w:vAlign w:val="center"/>
                </w:tcPr>
                <w:p w14:paraId="35AE94BF">
                  <w:pPr>
                    <w:pStyle w:val="77"/>
                    <w:jc w:val="center"/>
                    <w:rPr>
                      <w:rFonts w:ascii="Times New Roman" w:hAnsi="Times New Roman"/>
                      <w:color w:val="auto"/>
                      <w:sz w:val="21"/>
                      <w:szCs w:val="21"/>
                    </w:rPr>
                  </w:pPr>
                  <w:r>
                    <w:rPr>
                      <w:rFonts w:ascii="Times New Roman"/>
                      <w:color w:val="auto"/>
                      <w:sz w:val="21"/>
                      <w:szCs w:val="21"/>
                    </w:rPr>
                    <w:t>位于</w:t>
                  </w:r>
                  <w:r>
                    <w:rPr>
                      <w:rFonts w:hint="eastAsia" w:ascii="Times New Roman" w:hAnsi="Times New Roman"/>
                      <w:color w:val="auto"/>
                      <w:sz w:val="21"/>
                      <w:szCs w:val="21"/>
                    </w:rPr>
                    <w:t>2#</w:t>
                  </w:r>
                  <w:r>
                    <w:rPr>
                      <w:rFonts w:ascii="Times New Roman"/>
                      <w:color w:val="auto"/>
                      <w:sz w:val="21"/>
                      <w:szCs w:val="21"/>
                    </w:rPr>
                    <w:t>厂房</w:t>
                  </w:r>
                  <w:r>
                    <w:rPr>
                      <w:rFonts w:hint="eastAsia" w:ascii="Times New Roman"/>
                      <w:color w:val="auto"/>
                      <w:sz w:val="21"/>
                      <w:szCs w:val="21"/>
                    </w:rPr>
                    <w:t>1F东南角</w:t>
                  </w:r>
                  <w:r>
                    <w:rPr>
                      <w:rFonts w:ascii="Times New Roman"/>
                      <w:color w:val="auto"/>
                      <w:sz w:val="21"/>
                      <w:szCs w:val="21"/>
                    </w:rPr>
                    <w:t>，面积约</w:t>
                  </w:r>
                  <w:r>
                    <w:rPr>
                      <w:rFonts w:hint="eastAsia" w:ascii="Times New Roman" w:hAnsi="Times New Roman"/>
                      <w:color w:val="auto"/>
                      <w:sz w:val="21"/>
                      <w:szCs w:val="21"/>
                    </w:rPr>
                    <w:t>56.25</w:t>
                  </w:r>
                  <w:r>
                    <w:rPr>
                      <w:rFonts w:ascii="Times New Roman" w:hAnsi="Times New Roman"/>
                      <w:color w:val="auto"/>
                      <w:sz w:val="21"/>
                      <w:szCs w:val="21"/>
                    </w:rPr>
                    <w:t>m</w:t>
                  </w:r>
                  <w:r>
                    <w:rPr>
                      <w:rFonts w:ascii="Times New Roman" w:hAnsi="Times New Roman"/>
                      <w:color w:val="auto"/>
                      <w:sz w:val="21"/>
                      <w:szCs w:val="21"/>
                      <w:vertAlign w:val="superscript"/>
                    </w:rPr>
                    <w:t>2</w:t>
                  </w:r>
                  <w:r>
                    <w:rPr>
                      <w:rFonts w:ascii="Times New Roman"/>
                      <w:color w:val="auto"/>
                      <w:sz w:val="21"/>
                      <w:szCs w:val="21"/>
                    </w:rPr>
                    <w:t>，空压机房配备无油螺杆式变频空压机</w:t>
                  </w:r>
                  <w:r>
                    <w:rPr>
                      <w:rFonts w:hint="eastAsia" w:ascii="Times New Roman" w:hAnsi="Times New Roman"/>
                      <w:color w:val="auto"/>
                      <w:sz w:val="21"/>
                      <w:szCs w:val="21"/>
                    </w:rPr>
                    <w:t>3</w:t>
                  </w:r>
                  <w:r>
                    <w:rPr>
                      <w:rFonts w:ascii="Times New Roman"/>
                      <w:color w:val="auto"/>
                      <w:sz w:val="21"/>
                      <w:szCs w:val="21"/>
                    </w:rPr>
                    <w:t>台，单台排气量</w:t>
                  </w:r>
                  <w:r>
                    <w:rPr>
                      <w:rFonts w:ascii="Times New Roman" w:hAnsi="Times New Roman"/>
                      <w:color w:val="auto"/>
                      <w:sz w:val="21"/>
                      <w:szCs w:val="21"/>
                    </w:rPr>
                    <w:t>40m</w:t>
                  </w:r>
                  <w:r>
                    <w:rPr>
                      <w:rFonts w:ascii="Times New Roman" w:hAnsi="Times New Roman"/>
                      <w:color w:val="auto"/>
                      <w:sz w:val="21"/>
                      <w:szCs w:val="21"/>
                      <w:vertAlign w:val="superscript"/>
                    </w:rPr>
                    <w:t>3</w:t>
                  </w:r>
                  <w:r>
                    <w:rPr>
                      <w:rFonts w:ascii="Times New Roman" w:hAnsi="Times New Roman"/>
                      <w:color w:val="auto"/>
                      <w:sz w:val="21"/>
                      <w:szCs w:val="21"/>
                    </w:rPr>
                    <w:t>/min</w:t>
                  </w:r>
                  <w:r>
                    <w:rPr>
                      <w:rFonts w:ascii="Times New Roman"/>
                      <w:color w:val="auto"/>
                      <w:sz w:val="21"/>
                      <w:szCs w:val="21"/>
                    </w:rPr>
                    <w:t>。</w:t>
                  </w:r>
                </w:p>
              </w:tc>
              <w:tc>
                <w:tcPr>
                  <w:tcW w:w="505" w:type="pct"/>
                  <w:tcBorders>
                    <w:top w:val="single" w:color="auto" w:sz="6" w:space="0"/>
                    <w:left w:val="single" w:color="auto" w:sz="4" w:space="0"/>
                    <w:bottom w:val="single" w:color="auto" w:sz="6" w:space="0"/>
                    <w:right w:val="single" w:color="auto" w:sz="8" w:space="0"/>
                  </w:tcBorders>
                  <w:vAlign w:val="center"/>
                </w:tcPr>
                <w:p w14:paraId="682A28D8">
                  <w:pPr>
                    <w:snapToGrid w:val="0"/>
                    <w:jc w:val="center"/>
                    <w:rPr>
                      <w:szCs w:val="21"/>
                    </w:rPr>
                  </w:pPr>
                  <w:r>
                    <w:rPr>
                      <w:rFonts w:hint="eastAsia"/>
                      <w:szCs w:val="21"/>
                    </w:rPr>
                    <w:t>新建</w:t>
                  </w:r>
                </w:p>
              </w:tc>
            </w:tr>
            <w:tr w14:paraId="441372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0" w:hRule="atLeast"/>
                <w:jc w:val="center"/>
              </w:trPr>
              <w:tc>
                <w:tcPr>
                  <w:tcW w:w="378" w:type="pct"/>
                  <w:vMerge w:val="restart"/>
                  <w:tcBorders>
                    <w:top w:val="single" w:color="auto" w:sz="4" w:space="0"/>
                    <w:left w:val="single" w:color="auto" w:sz="8" w:space="0"/>
                    <w:right w:val="single" w:color="auto" w:sz="6" w:space="0"/>
                  </w:tcBorders>
                  <w:vAlign w:val="center"/>
                </w:tcPr>
                <w:p w14:paraId="08E57C00">
                  <w:pPr>
                    <w:adjustRightInd w:val="0"/>
                    <w:snapToGrid w:val="0"/>
                    <w:jc w:val="center"/>
                    <w:rPr>
                      <w:szCs w:val="21"/>
                    </w:rPr>
                  </w:pPr>
                  <w:r>
                    <w:rPr>
                      <w:szCs w:val="21"/>
                    </w:rPr>
                    <w:t>环保工程</w:t>
                  </w:r>
                </w:p>
              </w:tc>
              <w:tc>
                <w:tcPr>
                  <w:tcW w:w="758" w:type="pct"/>
                  <w:tcBorders>
                    <w:top w:val="single" w:color="auto" w:sz="6" w:space="0"/>
                    <w:left w:val="single" w:color="auto" w:sz="6" w:space="0"/>
                    <w:right w:val="single" w:color="auto" w:sz="6" w:space="0"/>
                  </w:tcBorders>
                  <w:vAlign w:val="center"/>
                </w:tcPr>
                <w:p w14:paraId="5C77D8DF">
                  <w:pPr>
                    <w:adjustRightInd w:val="0"/>
                    <w:snapToGrid w:val="0"/>
                    <w:jc w:val="center"/>
                    <w:rPr>
                      <w:szCs w:val="21"/>
                    </w:rPr>
                  </w:pPr>
                  <w:r>
                    <w:rPr>
                      <w:szCs w:val="21"/>
                    </w:rPr>
                    <w:t>废气</w:t>
                  </w:r>
                </w:p>
              </w:tc>
              <w:tc>
                <w:tcPr>
                  <w:tcW w:w="3359" w:type="pct"/>
                  <w:tcBorders>
                    <w:top w:val="single" w:color="auto" w:sz="4" w:space="0"/>
                    <w:left w:val="single" w:color="auto" w:sz="6" w:space="0"/>
                    <w:bottom w:val="single" w:color="auto" w:sz="6" w:space="0"/>
                    <w:right w:val="single" w:color="auto" w:sz="4" w:space="0"/>
                  </w:tcBorders>
                  <w:vAlign w:val="center"/>
                </w:tcPr>
                <w:p w14:paraId="043F1559">
                  <w:pPr>
                    <w:pStyle w:val="10"/>
                    <w:adjustRightInd w:val="0"/>
                    <w:snapToGrid w:val="0"/>
                    <w:jc w:val="center"/>
                    <w:rPr>
                      <w:rFonts w:ascii="Times New Roman" w:hAnsi="Times New Roman" w:eastAsiaTheme="minorEastAsia"/>
                    </w:rPr>
                  </w:pPr>
                  <w:r>
                    <w:rPr>
                      <w:rFonts w:ascii="Times New Roman" w:hAnsi="Times New Roman" w:eastAsiaTheme="minorEastAsia"/>
                    </w:rPr>
                    <w:t>2#</w:t>
                  </w:r>
                  <w:r>
                    <w:rPr>
                      <w:rFonts w:ascii="Times New Roman" w:hAnsiTheme="minorEastAsia" w:eastAsiaTheme="minorEastAsia"/>
                    </w:rPr>
                    <w:t>厂房印刷废气、润版液废气、</w:t>
                  </w:r>
                  <w:r>
                    <w:rPr>
                      <w:rFonts w:ascii="Times New Roman" w:hAnsi="Times New Roman" w:eastAsiaTheme="minorEastAsia"/>
                    </w:rPr>
                    <w:t>CTP</w:t>
                  </w:r>
                  <w:r>
                    <w:rPr>
                      <w:rFonts w:ascii="Times New Roman" w:hAnsiTheme="minorEastAsia" w:eastAsiaTheme="minorEastAsia"/>
                    </w:rPr>
                    <w:t>印刷版、胶辊清洁废气</w:t>
                  </w:r>
                  <w:r>
                    <w:rPr>
                      <w:rFonts w:hint="eastAsia" w:ascii="Times New Roman" w:hAnsiTheme="minorEastAsia" w:eastAsiaTheme="minorEastAsia"/>
                    </w:rPr>
                    <w:t>、过油废气</w:t>
                  </w:r>
                  <w:r>
                    <w:rPr>
                      <w:rFonts w:ascii="Times New Roman" w:hAnsiTheme="minorEastAsia" w:eastAsiaTheme="minorEastAsia"/>
                    </w:rPr>
                    <w:t>经集气罩收集后引入</w:t>
                  </w:r>
                  <w:r>
                    <w:rPr>
                      <w:rFonts w:ascii="Times New Roman" w:hAnsi="Times New Roman" w:eastAsiaTheme="minorEastAsia"/>
                    </w:rPr>
                    <w:t>1</w:t>
                  </w:r>
                  <w:r>
                    <w:rPr>
                      <w:rFonts w:ascii="Times New Roman" w:hAnsiTheme="minorEastAsia" w:eastAsiaTheme="minorEastAsia"/>
                    </w:rPr>
                    <w:t>套</w:t>
                  </w:r>
                  <w:r>
                    <w:rPr>
                      <w:rFonts w:ascii="Times New Roman" w:hAnsi="Times New Roman" w:eastAsiaTheme="minorEastAsia"/>
                    </w:rPr>
                    <w:t>“</w:t>
                  </w:r>
                  <w:r>
                    <w:rPr>
                      <w:rFonts w:hint="eastAsia" w:ascii="Times New Roman" w:hAnsi="Times New Roman" w:eastAsiaTheme="minorEastAsia"/>
                    </w:rPr>
                    <w:t>二级</w:t>
                  </w:r>
                  <w:r>
                    <w:rPr>
                      <w:rFonts w:ascii="Times New Roman" w:hAnsiTheme="minorEastAsia" w:eastAsiaTheme="minorEastAsia"/>
                    </w:rPr>
                    <w:t>活性炭吸附</w:t>
                  </w:r>
                  <w:r>
                    <w:rPr>
                      <w:rFonts w:ascii="Times New Roman" w:hAnsi="Times New Roman" w:eastAsiaTheme="minorEastAsia"/>
                    </w:rPr>
                    <w:t>”</w:t>
                  </w:r>
                  <w:r>
                    <w:rPr>
                      <w:rFonts w:ascii="Times New Roman" w:hAnsiTheme="minorEastAsia" w:eastAsiaTheme="minorEastAsia"/>
                    </w:rPr>
                    <w:t>装置处理后，通过</w:t>
                  </w:r>
                  <w:r>
                    <w:rPr>
                      <w:rFonts w:ascii="Times New Roman" w:hAnsi="Times New Roman" w:eastAsiaTheme="minorEastAsia"/>
                    </w:rPr>
                    <w:t>1</w:t>
                  </w:r>
                  <w:r>
                    <w:rPr>
                      <w:rFonts w:ascii="Times New Roman" w:hAnsiTheme="minorEastAsia" w:eastAsiaTheme="minorEastAsia"/>
                    </w:rPr>
                    <w:t>根</w:t>
                  </w:r>
                  <w:r>
                    <w:rPr>
                      <w:rFonts w:ascii="Times New Roman" w:hAnsi="Times New Roman" w:eastAsiaTheme="minorEastAsia"/>
                    </w:rPr>
                    <w:t>15m</w:t>
                  </w:r>
                  <w:r>
                    <w:rPr>
                      <w:rFonts w:ascii="Times New Roman" w:hAnsiTheme="minorEastAsia" w:eastAsiaTheme="minorEastAsia"/>
                    </w:rPr>
                    <w:t>高</w:t>
                  </w:r>
                  <w:r>
                    <w:rPr>
                      <w:rFonts w:ascii="Times New Roman" w:hAnsi="Times New Roman" w:eastAsiaTheme="minorEastAsia"/>
                    </w:rPr>
                    <w:t>1#</w:t>
                  </w:r>
                  <w:r>
                    <w:rPr>
                      <w:rFonts w:ascii="Times New Roman" w:hAnsiTheme="minorEastAsia" w:eastAsiaTheme="minorEastAsia"/>
                    </w:rPr>
                    <w:t>排气筒（</w:t>
                  </w:r>
                  <w:r>
                    <w:rPr>
                      <w:rFonts w:ascii="Times New Roman" w:hAnsi="Times New Roman" w:eastAsiaTheme="minorEastAsia"/>
                    </w:rPr>
                    <w:t>DA001</w:t>
                  </w:r>
                  <w:r>
                    <w:rPr>
                      <w:rFonts w:ascii="Times New Roman" w:hAnsiTheme="minorEastAsia" w:eastAsiaTheme="minorEastAsia"/>
                    </w:rPr>
                    <w:t>）排放，风机风量为</w:t>
                  </w:r>
                  <w:r>
                    <w:rPr>
                      <w:rFonts w:hint="eastAsia" w:ascii="Times New Roman" w:hAnsi="Times New Roman" w:eastAsiaTheme="minorEastAsia"/>
                    </w:rPr>
                    <w:t>46600</w:t>
                  </w:r>
                  <w:r>
                    <w:rPr>
                      <w:rFonts w:ascii="Times New Roman" w:hAnsi="Times New Roman" w:eastAsiaTheme="minorEastAsia"/>
                    </w:rPr>
                    <w:t>m</w:t>
                  </w:r>
                  <w:r>
                    <w:rPr>
                      <w:rFonts w:ascii="Times New Roman" w:hAnsi="Times New Roman" w:eastAsiaTheme="minorEastAsia"/>
                      <w:vertAlign w:val="superscript"/>
                    </w:rPr>
                    <w:t>3</w:t>
                  </w:r>
                  <w:r>
                    <w:rPr>
                      <w:rFonts w:ascii="Times New Roman" w:hAnsi="Times New Roman" w:eastAsiaTheme="minorEastAsia"/>
                    </w:rPr>
                    <w:t>/h</w:t>
                  </w:r>
                  <w:r>
                    <w:rPr>
                      <w:rFonts w:ascii="Times New Roman" w:hAnsiTheme="minorEastAsia" w:eastAsiaTheme="minorEastAsia"/>
                    </w:rPr>
                    <w:t>。</w:t>
                  </w:r>
                </w:p>
              </w:tc>
              <w:tc>
                <w:tcPr>
                  <w:tcW w:w="505" w:type="pct"/>
                  <w:tcBorders>
                    <w:top w:val="single" w:color="auto" w:sz="4" w:space="0"/>
                    <w:left w:val="single" w:color="auto" w:sz="4" w:space="0"/>
                    <w:bottom w:val="single" w:color="auto" w:sz="6" w:space="0"/>
                    <w:right w:val="single" w:color="auto" w:sz="8" w:space="0"/>
                  </w:tcBorders>
                  <w:vAlign w:val="center"/>
                </w:tcPr>
                <w:p w14:paraId="3939B7D5">
                  <w:pPr>
                    <w:jc w:val="center"/>
                  </w:pPr>
                  <w:r>
                    <w:rPr>
                      <w:rFonts w:hint="eastAsia"/>
                      <w:szCs w:val="21"/>
                    </w:rPr>
                    <w:t>新建</w:t>
                  </w:r>
                </w:p>
              </w:tc>
            </w:tr>
            <w:tr w14:paraId="106DA0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 w:hRule="atLeast"/>
                <w:jc w:val="center"/>
              </w:trPr>
              <w:tc>
                <w:tcPr>
                  <w:tcW w:w="378" w:type="pct"/>
                  <w:vMerge w:val="continue"/>
                  <w:tcBorders>
                    <w:left w:val="single" w:color="auto" w:sz="8" w:space="0"/>
                    <w:right w:val="single" w:color="auto" w:sz="6" w:space="0"/>
                  </w:tcBorders>
                  <w:vAlign w:val="center"/>
                </w:tcPr>
                <w:p w14:paraId="6C629EDD">
                  <w:pPr>
                    <w:widowControl/>
                    <w:jc w:val="center"/>
                    <w:rPr>
                      <w:szCs w:val="21"/>
                    </w:rPr>
                  </w:pPr>
                </w:p>
              </w:tc>
              <w:tc>
                <w:tcPr>
                  <w:tcW w:w="758" w:type="pct"/>
                  <w:tcBorders>
                    <w:top w:val="single" w:color="auto" w:sz="6" w:space="0"/>
                    <w:left w:val="single" w:color="auto" w:sz="6" w:space="0"/>
                    <w:right w:val="single" w:color="auto" w:sz="6" w:space="0"/>
                  </w:tcBorders>
                  <w:vAlign w:val="center"/>
                </w:tcPr>
                <w:p w14:paraId="1C7E4F7F">
                  <w:pPr>
                    <w:adjustRightInd w:val="0"/>
                    <w:snapToGrid w:val="0"/>
                    <w:jc w:val="center"/>
                    <w:rPr>
                      <w:szCs w:val="21"/>
                      <w:highlight w:val="yellow"/>
                    </w:rPr>
                  </w:pPr>
                  <w:r>
                    <w:rPr>
                      <w:szCs w:val="21"/>
                    </w:rPr>
                    <w:t>废水</w:t>
                  </w:r>
                </w:p>
              </w:tc>
              <w:tc>
                <w:tcPr>
                  <w:tcW w:w="3359" w:type="pct"/>
                  <w:tcBorders>
                    <w:top w:val="single" w:color="auto" w:sz="6" w:space="0"/>
                    <w:left w:val="single" w:color="auto" w:sz="6" w:space="0"/>
                    <w:bottom w:val="single" w:color="auto" w:sz="6" w:space="0"/>
                    <w:right w:val="single" w:color="auto" w:sz="4" w:space="0"/>
                  </w:tcBorders>
                  <w:vAlign w:val="center"/>
                </w:tcPr>
                <w:p w14:paraId="58D44553">
                  <w:pPr>
                    <w:adjustRightInd w:val="0"/>
                    <w:snapToGrid w:val="0"/>
                    <w:jc w:val="center"/>
                    <w:rPr>
                      <w:szCs w:val="21"/>
                      <w:highlight w:val="yellow"/>
                    </w:rPr>
                  </w:pPr>
                  <w:r>
                    <w:rPr>
                      <w:rFonts w:hint="eastAsia" w:hAnsi="宋体"/>
                      <w:kern w:val="0"/>
                      <w:szCs w:val="21"/>
                    </w:rPr>
                    <w:t>食堂废水经隔油池（设计</w:t>
                  </w:r>
                  <w:r>
                    <w:rPr>
                      <w:rFonts w:hAnsi="宋体"/>
                      <w:kern w:val="0"/>
                      <w:szCs w:val="21"/>
                    </w:rPr>
                    <w:t>处理能力</w:t>
                  </w:r>
                  <w:r>
                    <w:rPr>
                      <w:rFonts w:hint="eastAsia"/>
                      <w:kern w:val="0"/>
                      <w:szCs w:val="21"/>
                    </w:rPr>
                    <w:t>80</w:t>
                  </w:r>
                  <w:r>
                    <w:rPr>
                      <w:kern w:val="0"/>
                      <w:szCs w:val="21"/>
                    </w:rPr>
                    <w:t>m</w:t>
                  </w:r>
                  <w:r>
                    <w:rPr>
                      <w:kern w:val="0"/>
                      <w:szCs w:val="21"/>
                      <w:vertAlign w:val="superscript"/>
                    </w:rPr>
                    <w:t>3</w:t>
                  </w:r>
                  <w:r>
                    <w:rPr>
                      <w:kern w:val="0"/>
                      <w:szCs w:val="21"/>
                    </w:rPr>
                    <w:t>/d</w:t>
                  </w:r>
                  <w:r>
                    <w:rPr>
                      <w:rFonts w:hint="eastAsia" w:hAnsi="宋体"/>
                      <w:kern w:val="0"/>
                      <w:szCs w:val="21"/>
                    </w:rPr>
                    <w:t>）处理后同员工</w:t>
                  </w:r>
                  <w:r>
                    <w:rPr>
                      <w:rFonts w:hAnsi="宋体"/>
                      <w:kern w:val="0"/>
                      <w:szCs w:val="21"/>
                    </w:rPr>
                    <w:t>生活污水、地面清洁废水</w:t>
                  </w:r>
                  <w:r>
                    <w:rPr>
                      <w:rFonts w:hAnsiTheme="minorEastAsia" w:eastAsiaTheme="minorEastAsia"/>
                      <w:kern w:val="0"/>
                      <w:szCs w:val="21"/>
                    </w:rPr>
                    <w:t>、循环冷却水系统排污水</w:t>
                  </w:r>
                  <w:r>
                    <w:rPr>
                      <w:rFonts w:hint="eastAsia" w:hAnsi="宋体"/>
                      <w:kern w:val="0"/>
                      <w:szCs w:val="21"/>
                    </w:rPr>
                    <w:t>一并进入厂区新建</w:t>
                  </w:r>
                  <w:r>
                    <w:rPr>
                      <w:rFonts w:hAnsi="宋体"/>
                      <w:kern w:val="0"/>
                      <w:szCs w:val="21"/>
                    </w:rPr>
                    <w:t>生化池（</w:t>
                  </w:r>
                  <w:r>
                    <w:rPr>
                      <w:rFonts w:hint="eastAsia" w:hAnsi="宋体"/>
                      <w:kern w:val="0"/>
                      <w:szCs w:val="21"/>
                    </w:rPr>
                    <w:t>设计</w:t>
                  </w:r>
                  <w:r>
                    <w:rPr>
                      <w:rFonts w:hAnsi="宋体"/>
                      <w:kern w:val="0"/>
                      <w:szCs w:val="21"/>
                    </w:rPr>
                    <w:t>处理能力</w:t>
                  </w:r>
                  <w:r>
                    <w:rPr>
                      <w:rFonts w:hint="eastAsia"/>
                      <w:kern w:val="0"/>
                      <w:szCs w:val="21"/>
                    </w:rPr>
                    <w:t>200</w:t>
                  </w:r>
                  <w:r>
                    <w:rPr>
                      <w:kern w:val="0"/>
                      <w:szCs w:val="21"/>
                    </w:rPr>
                    <w:t>m</w:t>
                  </w:r>
                  <w:r>
                    <w:rPr>
                      <w:kern w:val="0"/>
                      <w:szCs w:val="21"/>
                      <w:vertAlign w:val="superscript"/>
                    </w:rPr>
                    <w:t>3</w:t>
                  </w:r>
                  <w:r>
                    <w:rPr>
                      <w:kern w:val="0"/>
                      <w:szCs w:val="21"/>
                    </w:rPr>
                    <w:t>/d</w:t>
                  </w:r>
                  <w:r>
                    <w:rPr>
                      <w:rFonts w:hAnsi="宋体"/>
                      <w:kern w:val="0"/>
                      <w:szCs w:val="21"/>
                    </w:rPr>
                    <w:t>）处理达《污水综合排放标准》（</w:t>
                  </w:r>
                  <w:r>
                    <w:rPr>
                      <w:kern w:val="0"/>
                      <w:szCs w:val="21"/>
                    </w:rPr>
                    <w:t>GB8978-1996</w:t>
                  </w:r>
                  <w:r>
                    <w:rPr>
                      <w:rFonts w:hAnsi="宋体"/>
                      <w:kern w:val="0"/>
                      <w:szCs w:val="21"/>
                    </w:rPr>
                    <w:t>）三级标准后，排入园区污水管网，经</w:t>
                  </w:r>
                  <w:r>
                    <w:rPr>
                      <w:rFonts w:hint="eastAsia" w:hAnsi="宋体"/>
                      <w:kern w:val="0"/>
                      <w:szCs w:val="21"/>
                    </w:rPr>
                    <w:t>李渡大耍坝污水处理厂</w:t>
                  </w:r>
                  <w:r>
                    <w:rPr>
                      <w:rFonts w:hAnsi="宋体"/>
                      <w:kern w:val="0"/>
                      <w:szCs w:val="21"/>
                    </w:rPr>
                    <w:t>处理达《城镇污水处理厂污染物排放标准》</w:t>
                  </w:r>
                  <w:r>
                    <w:rPr>
                      <w:kern w:val="0"/>
                      <w:szCs w:val="21"/>
                    </w:rPr>
                    <w:t>(GB18918-2002)</w:t>
                  </w:r>
                  <w:r>
                    <w:rPr>
                      <w:rFonts w:hAnsi="宋体"/>
                      <w:kern w:val="0"/>
                      <w:szCs w:val="21"/>
                    </w:rPr>
                    <w:t>中的一级</w:t>
                  </w:r>
                  <w:r>
                    <w:rPr>
                      <w:rFonts w:hint="eastAsia"/>
                      <w:kern w:val="0"/>
                      <w:szCs w:val="21"/>
                    </w:rPr>
                    <w:t>B</w:t>
                  </w:r>
                  <w:r>
                    <w:rPr>
                      <w:rFonts w:hAnsi="宋体"/>
                      <w:kern w:val="0"/>
                      <w:szCs w:val="21"/>
                    </w:rPr>
                    <w:t>标准后</w:t>
                  </w:r>
                  <w:r>
                    <w:rPr>
                      <w:rFonts w:hint="eastAsia" w:hAnsi="宋体"/>
                      <w:kern w:val="0"/>
                      <w:szCs w:val="21"/>
                    </w:rPr>
                    <w:t>排入长江。</w:t>
                  </w:r>
                </w:p>
              </w:tc>
              <w:tc>
                <w:tcPr>
                  <w:tcW w:w="505" w:type="pct"/>
                  <w:tcBorders>
                    <w:top w:val="single" w:color="auto" w:sz="6" w:space="0"/>
                    <w:left w:val="single" w:color="auto" w:sz="4" w:space="0"/>
                    <w:bottom w:val="single" w:color="auto" w:sz="6" w:space="0"/>
                    <w:right w:val="single" w:color="auto" w:sz="8" w:space="0"/>
                  </w:tcBorders>
                  <w:vAlign w:val="center"/>
                </w:tcPr>
                <w:p w14:paraId="132F90AA">
                  <w:pPr>
                    <w:jc w:val="center"/>
                  </w:pPr>
                  <w:r>
                    <w:rPr>
                      <w:rFonts w:hint="eastAsia"/>
                      <w:szCs w:val="21"/>
                    </w:rPr>
                    <w:t>新建</w:t>
                  </w:r>
                </w:p>
              </w:tc>
            </w:tr>
            <w:tr w14:paraId="1F646B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378" w:type="pct"/>
                  <w:vMerge w:val="continue"/>
                  <w:tcBorders>
                    <w:left w:val="single" w:color="auto" w:sz="8" w:space="0"/>
                    <w:right w:val="single" w:color="auto" w:sz="6" w:space="0"/>
                  </w:tcBorders>
                  <w:vAlign w:val="center"/>
                </w:tcPr>
                <w:p w14:paraId="18FD793A">
                  <w:pPr>
                    <w:widowControl/>
                    <w:jc w:val="center"/>
                    <w:rPr>
                      <w:szCs w:val="21"/>
                    </w:rPr>
                  </w:pPr>
                </w:p>
              </w:tc>
              <w:tc>
                <w:tcPr>
                  <w:tcW w:w="758" w:type="pct"/>
                  <w:vMerge w:val="restart"/>
                  <w:tcBorders>
                    <w:top w:val="single" w:color="auto" w:sz="6" w:space="0"/>
                    <w:left w:val="single" w:color="auto" w:sz="6" w:space="0"/>
                    <w:right w:val="single" w:color="auto" w:sz="6" w:space="0"/>
                  </w:tcBorders>
                  <w:vAlign w:val="center"/>
                </w:tcPr>
                <w:p w14:paraId="282A0AAC">
                  <w:pPr>
                    <w:adjustRightInd w:val="0"/>
                    <w:snapToGrid w:val="0"/>
                    <w:jc w:val="center"/>
                    <w:rPr>
                      <w:szCs w:val="21"/>
                    </w:rPr>
                  </w:pPr>
                  <w:r>
                    <w:rPr>
                      <w:szCs w:val="21"/>
                    </w:rPr>
                    <w:t>固废</w:t>
                  </w:r>
                </w:p>
              </w:tc>
              <w:tc>
                <w:tcPr>
                  <w:tcW w:w="3359" w:type="pct"/>
                  <w:tcBorders>
                    <w:top w:val="single" w:color="auto" w:sz="6" w:space="0"/>
                    <w:left w:val="single" w:color="auto" w:sz="6" w:space="0"/>
                    <w:bottom w:val="single" w:color="auto" w:sz="6" w:space="0"/>
                    <w:right w:val="single" w:color="auto" w:sz="4" w:space="0"/>
                  </w:tcBorders>
                  <w:vAlign w:val="center"/>
                </w:tcPr>
                <w:p w14:paraId="72224E91">
                  <w:pPr>
                    <w:adjustRightInd w:val="0"/>
                    <w:snapToGrid w:val="0"/>
                    <w:jc w:val="center"/>
                    <w:rPr>
                      <w:szCs w:val="21"/>
                    </w:rPr>
                  </w:pPr>
                  <w:r>
                    <w:rPr>
                      <w:bCs/>
                      <w:szCs w:val="21"/>
                    </w:rPr>
                    <w:t>一般固废暂存</w:t>
                  </w:r>
                  <w:r>
                    <w:rPr>
                      <w:rFonts w:hint="eastAsia"/>
                      <w:bCs/>
                      <w:szCs w:val="21"/>
                    </w:rPr>
                    <w:t>区</w:t>
                  </w:r>
                  <w:r>
                    <w:rPr>
                      <w:bCs/>
                      <w:szCs w:val="21"/>
                    </w:rPr>
                    <w:t>设置于</w:t>
                  </w:r>
                  <w:r>
                    <w:rPr>
                      <w:rFonts w:hint="eastAsia"/>
                      <w:szCs w:val="21"/>
                    </w:rPr>
                    <w:t>2#厂房1F西侧</w:t>
                  </w:r>
                  <w:r>
                    <w:rPr>
                      <w:bCs/>
                      <w:szCs w:val="21"/>
                    </w:rPr>
                    <w:t>，占地面积约为</w:t>
                  </w:r>
                  <w:r>
                    <w:rPr>
                      <w:rFonts w:hint="eastAsia"/>
                      <w:bCs/>
                      <w:szCs w:val="21"/>
                    </w:rPr>
                    <w:t>6</w:t>
                  </w:r>
                  <w:r>
                    <w:rPr>
                      <w:bCs/>
                      <w:szCs w:val="21"/>
                    </w:rPr>
                    <w:t>0m</w:t>
                  </w:r>
                  <w:r>
                    <w:rPr>
                      <w:bCs/>
                      <w:szCs w:val="21"/>
                      <w:vertAlign w:val="superscript"/>
                    </w:rPr>
                    <w:t>2</w:t>
                  </w:r>
                  <w:r>
                    <w:rPr>
                      <w:bCs/>
                      <w:szCs w:val="21"/>
                    </w:rPr>
                    <w:t>。</w:t>
                  </w:r>
                </w:p>
              </w:tc>
              <w:tc>
                <w:tcPr>
                  <w:tcW w:w="505" w:type="pct"/>
                  <w:tcBorders>
                    <w:top w:val="single" w:color="auto" w:sz="6" w:space="0"/>
                    <w:left w:val="single" w:color="auto" w:sz="4" w:space="0"/>
                    <w:bottom w:val="single" w:color="auto" w:sz="6" w:space="0"/>
                    <w:right w:val="single" w:color="auto" w:sz="8" w:space="0"/>
                  </w:tcBorders>
                  <w:vAlign w:val="center"/>
                </w:tcPr>
                <w:p w14:paraId="4B5DD719">
                  <w:pPr>
                    <w:jc w:val="center"/>
                  </w:pPr>
                  <w:r>
                    <w:rPr>
                      <w:rFonts w:hint="eastAsia"/>
                      <w:szCs w:val="21"/>
                    </w:rPr>
                    <w:t>新建</w:t>
                  </w:r>
                </w:p>
              </w:tc>
            </w:tr>
            <w:tr w14:paraId="7496ED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continue"/>
                  <w:tcBorders>
                    <w:left w:val="single" w:color="auto" w:sz="8" w:space="0"/>
                    <w:right w:val="single" w:color="auto" w:sz="6" w:space="0"/>
                  </w:tcBorders>
                  <w:vAlign w:val="center"/>
                </w:tcPr>
                <w:p w14:paraId="6E617FE1">
                  <w:pPr>
                    <w:widowControl/>
                    <w:jc w:val="center"/>
                    <w:rPr>
                      <w:szCs w:val="21"/>
                    </w:rPr>
                  </w:pPr>
                </w:p>
              </w:tc>
              <w:tc>
                <w:tcPr>
                  <w:tcW w:w="758" w:type="pct"/>
                  <w:vMerge w:val="continue"/>
                  <w:tcBorders>
                    <w:left w:val="single" w:color="auto" w:sz="6" w:space="0"/>
                    <w:right w:val="single" w:color="auto" w:sz="6" w:space="0"/>
                  </w:tcBorders>
                  <w:vAlign w:val="center"/>
                </w:tcPr>
                <w:p w14:paraId="07990561">
                  <w:pPr>
                    <w:adjustRightInd w:val="0"/>
                    <w:snapToGrid w:val="0"/>
                    <w:jc w:val="center"/>
                    <w:rPr>
                      <w:szCs w:val="21"/>
                    </w:rPr>
                  </w:pPr>
                </w:p>
              </w:tc>
              <w:tc>
                <w:tcPr>
                  <w:tcW w:w="3359" w:type="pct"/>
                  <w:tcBorders>
                    <w:top w:val="single" w:color="auto" w:sz="6" w:space="0"/>
                    <w:left w:val="single" w:color="auto" w:sz="6" w:space="0"/>
                    <w:bottom w:val="single" w:color="auto" w:sz="6" w:space="0"/>
                    <w:right w:val="single" w:color="auto" w:sz="4" w:space="0"/>
                  </w:tcBorders>
                  <w:vAlign w:val="center"/>
                </w:tcPr>
                <w:p w14:paraId="24E6D13A">
                  <w:pPr>
                    <w:adjustRightInd w:val="0"/>
                    <w:snapToGrid w:val="0"/>
                    <w:jc w:val="center"/>
                    <w:rPr>
                      <w:szCs w:val="21"/>
                    </w:rPr>
                  </w:pPr>
                  <w:r>
                    <w:rPr>
                      <w:szCs w:val="21"/>
                    </w:rPr>
                    <w:t>危险废物暂存间</w:t>
                  </w:r>
                  <w:r>
                    <w:rPr>
                      <w:rFonts w:hint="eastAsia"/>
                      <w:szCs w:val="21"/>
                    </w:rPr>
                    <w:t>布设</w:t>
                  </w:r>
                  <w:r>
                    <w:rPr>
                      <w:szCs w:val="21"/>
                    </w:rPr>
                    <w:t>于</w:t>
                  </w:r>
                  <w:r>
                    <w:rPr>
                      <w:rFonts w:hint="eastAsia"/>
                      <w:szCs w:val="21"/>
                    </w:rPr>
                    <w:t>9#材料库2F东侧</w:t>
                  </w:r>
                  <w:r>
                    <w:rPr>
                      <w:szCs w:val="21"/>
                    </w:rPr>
                    <w:t>，占地面积约为</w:t>
                  </w:r>
                  <w:r>
                    <w:rPr>
                      <w:rFonts w:hint="eastAsia"/>
                      <w:szCs w:val="21"/>
                    </w:rPr>
                    <w:t>3</w:t>
                  </w:r>
                  <w:r>
                    <w:rPr>
                      <w:szCs w:val="21"/>
                    </w:rPr>
                    <w:t>0m</w:t>
                  </w:r>
                  <w:r>
                    <w:rPr>
                      <w:szCs w:val="21"/>
                      <w:vertAlign w:val="superscript"/>
                    </w:rPr>
                    <w:t>2</w:t>
                  </w:r>
                  <w:r>
                    <w:rPr>
                      <w:szCs w:val="21"/>
                    </w:rPr>
                    <w:t>，并采取“防风、防雨、防晒、防渗漏”等措施。</w:t>
                  </w:r>
                </w:p>
              </w:tc>
              <w:tc>
                <w:tcPr>
                  <w:tcW w:w="505" w:type="pct"/>
                  <w:tcBorders>
                    <w:top w:val="single" w:color="auto" w:sz="6" w:space="0"/>
                    <w:left w:val="single" w:color="auto" w:sz="4" w:space="0"/>
                    <w:bottom w:val="single" w:color="auto" w:sz="6" w:space="0"/>
                    <w:right w:val="single" w:color="auto" w:sz="8" w:space="0"/>
                  </w:tcBorders>
                  <w:vAlign w:val="center"/>
                </w:tcPr>
                <w:p w14:paraId="46AF486D">
                  <w:pPr>
                    <w:jc w:val="center"/>
                  </w:pPr>
                  <w:r>
                    <w:rPr>
                      <w:rFonts w:hint="eastAsia"/>
                      <w:szCs w:val="21"/>
                    </w:rPr>
                    <w:t>新建</w:t>
                  </w:r>
                </w:p>
              </w:tc>
            </w:tr>
            <w:tr w14:paraId="72612A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continue"/>
                  <w:tcBorders>
                    <w:left w:val="single" w:color="auto" w:sz="8" w:space="0"/>
                    <w:right w:val="single" w:color="auto" w:sz="6" w:space="0"/>
                  </w:tcBorders>
                  <w:vAlign w:val="center"/>
                </w:tcPr>
                <w:p w14:paraId="2D54782B">
                  <w:pPr>
                    <w:widowControl/>
                    <w:jc w:val="center"/>
                    <w:rPr>
                      <w:szCs w:val="21"/>
                    </w:rPr>
                  </w:pPr>
                </w:p>
              </w:tc>
              <w:tc>
                <w:tcPr>
                  <w:tcW w:w="758" w:type="pct"/>
                  <w:vMerge w:val="continue"/>
                  <w:tcBorders>
                    <w:left w:val="single" w:color="auto" w:sz="6" w:space="0"/>
                    <w:right w:val="single" w:color="auto" w:sz="6" w:space="0"/>
                  </w:tcBorders>
                  <w:vAlign w:val="center"/>
                </w:tcPr>
                <w:p w14:paraId="67E1BB85">
                  <w:pPr>
                    <w:adjustRightInd w:val="0"/>
                    <w:snapToGrid w:val="0"/>
                    <w:jc w:val="center"/>
                    <w:rPr>
                      <w:szCs w:val="21"/>
                    </w:rPr>
                  </w:pPr>
                </w:p>
              </w:tc>
              <w:tc>
                <w:tcPr>
                  <w:tcW w:w="3359" w:type="pct"/>
                  <w:tcBorders>
                    <w:top w:val="single" w:color="auto" w:sz="6" w:space="0"/>
                    <w:left w:val="single" w:color="auto" w:sz="6" w:space="0"/>
                    <w:bottom w:val="single" w:color="auto" w:sz="6" w:space="0"/>
                    <w:right w:val="single" w:color="auto" w:sz="4" w:space="0"/>
                  </w:tcBorders>
                  <w:vAlign w:val="center"/>
                </w:tcPr>
                <w:p w14:paraId="73BCC1C6">
                  <w:pPr>
                    <w:adjustRightInd w:val="0"/>
                    <w:snapToGrid w:val="0"/>
                    <w:jc w:val="center"/>
                    <w:rPr>
                      <w:szCs w:val="21"/>
                    </w:rPr>
                  </w:pPr>
                  <w:r>
                    <w:rPr>
                      <w:szCs w:val="21"/>
                    </w:rPr>
                    <w:t>生活垃圾收集后由环卫部门统一处理。</w:t>
                  </w:r>
                </w:p>
              </w:tc>
              <w:tc>
                <w:tcPr>
                  <w:tcW w:w="505" w:type="pct"/>
                  <w:tcBorders>
                    <w:top w:val="single" w:color="auto" w:sz="6" w:space="0"/>
                    <w:left w:val="single" w:color="auto" w:sz="4" w:space="0"/>
                    <w:bottom w:val="single" w:color="auto" w:sz="6" w:space="0"/>
                    <w:right w:val="single" w:color="auto" w:sz="8" w:space="0"/>
                  </w:tcBorders>
                  <w:vAlign w:val="center"/>
                </w:tcPr>
                <w:p w14:paraId="3A9C91ED">
                  <w:pPr>
                    <w:jc w:val="center"/>
                  </w:pPr>
                  <w:r>
                    <w:rPr>
                      <w:rFonts w:hint="eastAsia"/>
                      <w:szCs w:val="21"/>
                    </w:rPr>
                    <w:t>新建</w:t>
                  </w:r>
                </w:p>
              </w:tc>
            </w:tr>
            <w:tr w14:paraId="64E780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378" w:type="pct"/>
                  <w:vMerge w:val="continue"/>
                  <w:tcBorders>
                    <w:left w:val="single" w:color="auto" w:sz="8" w:space="0"/>
                    <w:right w:val="single" w:color="auto" w:sz="6" w:space="0"/>
                  </w:tcBorders>
                  <w:vAlign w:val="center"/>
                </w:tcPr>
                <w:p w14:paraId="23F1D205">
                  <w:pPr>
                    <w:widowControl/>
                    <w:jc w:val="center"/>
                    <w:rPr>
                      <w:szCs w:val="21"/>
                    </w:rPr>
                  </w:pPr>
                </w:p>
              </w:tc>
              <w:tc>
                <w:tcPr>
                  <w:tcW w:w="758" w:type="pct"/>
                  <w:tcBorders>
                    <w:left w:val="single" w:color="auto" w:sz="6" w:space="0"/>
                    <w:right w:val="single" w:color="auto" w:sz="6" w:space="0"/>
                  </w:tcBorders>
                  <w:vAlign w:val="center"/>
                </w:tcPr>
                <w:p w14:paraId="425F8311">
                  <w:pPr>
                    <w:adjustRightInd w:val="0"/>
                    <w:snapToGrid w:val="0"/>
                    <w:jc w:val="center"/>
                    <w:rPr>
                      <w:szCs w:val="21"/>
                    </w:rPr>
                  </w:pPr>
                  <w:r>
                    <w:rPr>
                      <w:rFonts w:hint="eastAsia"/>
                      <w:szCs w:val="21"/>
                    </w:rPr>
                    <w:t>环境风险</w:t>
                  </w:r>
                </w:p>
              </w:tc>
              <w:tc>
                <w:tcPr>
                  <w:tcW w:w="3359" w:type="pct"/>
                  <w:tcBorders>
                    <w:top w:val="single" w:color="auto" w:sz="6" w:space="0"/>
                    <w:left w:val="single" w:color="auto" w:sz="6" w:space="0"/>
                    <w:bottom w:val="single" w:color="auto" w:sz="6" w:space="0"/>
                    <w:right w:val="single" w:color="auto" w:sz="4" w:space="0"/>
                  </w:tcBorders>
                  <w:vAlign w:val="center"/>
                </w:tcPr>
                <w:p w14:paraId="6F1A5645">
                  <w:pPr>
                    <w:autoSpaceDE w:val="0"/>
                    <w:autoSpaceDN w:val="0"/>
                    <w:adjustRightInd w:val="0"/>
                    <w:jc w:val="center"/>
                    <w:rPr>
                      <w:rFonts w:eastAsiaTheme="minorEastAsia"/>
                      <w:kern w:val="0"/>
                      <w:szCs w:val="21"/>
                    </w:rPr>
                  </w:pPr>
                  <w:r>
                    <w:rPr>
                      <w:rFonts w:eastAsiaTheme="minorEastAsia"/>
                      <w:kern w:val="0"/>
                      <w:szCs w:val="21"/>
                    </w:rPr>
                    <w:t>1</w:t>
                  </w:r>
                  <w:r>
                    <w:rPr>
                      <w:rFonts w:hAnsiTheme="minorEastAsia" w:eastAsiaTheme="minorEastAsia"/>
                      <w:kern w:val="0"/>
                      <w:szCs w:val="21"/>
                    </w:rPr>
                    <w:t>、化学品存放间：</w:t>
                  </w:r>
                  <w:r>
                    <w:rPr>
                      <w:rFonts w:hAnsiTheme="minorEastAsia" w:eastAsiaTheme="minorEastAsia"/>
                      <w:szCs w:val="21"/>
                    </w:rPr>
                    <w:t>油墨、水性上光油、水基性胶粘剂、洗车水、润版液、润滑油</w:t>
                  </w:r>
                  <w:r>
                    <w:rPr>
                      <w:rFonts w:hAnsiTheme="minorEastAsia" w:eastAsiaTheme="minorEastAsia"/>
                      <w:kern w:val="0"/>
                      <w:szCs w:val="21"/>
                    </w:rPr>
                    <w:t>等物料在化学品存放间内进行分区储存，并对地面采用环氧漆做防腐防渗处理。为了防止液体物料泄漏出化学品存放间，化学品存放间四周应设置围堰及环形收集沟，两个环形收集沟交汇处设置收集井，便于对</w:t>
                  </w:r>
                  <w:r>
                    <w:rPr>
                      <w:rFonts w:hint="eastAsia" w:hAnsiTheme="minorEastAsia" w:eastAsiaTheme="minorEastAsia"/>
                      <w:kern w:val="0"/>
                      <w:szCs w:val="21"/>
                      <w:lang w:eastAsia="zh-CN"/>
                    </w:rPr>
                    <w:t>泄漏</w:t>
                  </w:r>
                  <w:r>
                    <w:rPr>
                      <w:rFonts w:hAnsiTheme="minorEastAsia" w:eastAsiaTheme="minorEastAsia"/>
                      <w:kern w:val="0"/>
                      <w:szCs w:val="21"/>
                    </w:rPr>
                    <w:t>液体物料的收集和转移。同时厂房内应长期储备足量</w:t>
                  </w:r>
                  <w:r>
                    <w:rPr>
                      <w:rFonts w:hint="eastAsia" w:hAnsiTheme="minorEastAsia" w:eastAsiaTheme="minorEastAsia"/>
                      <w:kern w:val="0"/>
                      <w:szCs w:val="21"/>
                    </w:rPr>
                    <w:t>消防器材</w:t>
                  </w:r>
                  <w:r>
                    <w:rPr>
                      <w:rFonts w:hAnsiTheme="minorEastAsia" w:eastAsiaTheme="minorEastAsia"/>
                      <w:kern w:val="0"/>
                      <w:szCs w:val="21"/>
                    </w:rPr>
                    <w:t>。</w:t>
                  </w:r>
                </w:p>
                <w:p w14:paraId="39B6284A">
                  <w:pPr>
                    <w:autoSpaceDE w:val="0"/>
                    <w:autoSpaceDN w:val="0"/>
                    <w:adjustRightInd w:val="0"/>
                    <w:jc w:val="center"/>
                    <w:rPr>
                      <w:rFonts w:eastAsiaTheme="minorEastAsia"/>
                      <w:kern w:val="0"/>
                      <w:szCs w:val="21"/>
                    </w:rPr>
                  </w:pPr>
                  <w:r>
                    <w:rPr>
                      <w:rFonts w:eastAsiaTheme="minorEastAsia"/>
                      <w:kern w:val="0"/>
                      <w:szCs w:val="21"/>
                    </w:rPr>
                    <w:t>2</w:t>
                  </w:r>
                  <w:r>
                    <w:rPr>
                      <w:rFonts w:hAnsiTheme="minorEastAsia" w:eastAsiaTheme="minorEastAsia"/>
                      <w:kern w:val="0"/>
                      <w:szCs w:val="21"/>
                    </w:rPr>
                    <w:t>、危废暂存间：危险废物应分类收集，避免不相容的危险品混放，防止泄漏、流失，危废暂存间四周砌防水矮墙。危险废物暂存间主要是临时存放废润滑液、废润版液等，使用专门的容器分类收集贮存，应在容器周围设置围堰；少量泄漏可用抹布擦去或用干砂土围堵并吸附外泄物。泄漏物用容器回收并密封，置于安全场所。</w:t>
                  </w:r>
                </w:p>
                <w:p w14:paraId="5B925884">
                  <w:pPr>
                    <w:widowControl/>
                    <w:spacing w:beforeLines="10" w:afterLines="10"/>
                    <w:jc w:val="center"/>
                    <w:rPr>
                      <w:kern w:val="0"/>
                      <w:szCs w:val="21"/>
                    </w:rPr>
                  </w:pPr>
                  <w:r>
                    <w:rPr>
                      <w:rFonts w:eastAsiaTheme="minorEastAsia"/>
                      <w:kern w:val="0"/>
                      <w:szCs w:val="21"/>
                    </w:rPr>
                    <w:t>3</w:t>
                  </w:r>
                  <w:r>
                    <w:rPr>
                      <w:rFonts w:hAnsiTheme="minorEastAsia" w:eastAsiaTheme="minorEastAsia"/>
                      <w:kern w:val="0"/>
                      <w:szCs w:val="21"/>
                    </w:rPr>
                    <w:t>、生产区：主要包括裁切区、胶印油墨印刷车间、过油区、裱纸区、模切区、糊盒区。物料在运送过程中要实现封闭运输，且对于液体物料，需要采用带托盘的推车进行运输，采用</w:t>
                  </w:r>
                  <w:r>
                    <w:rPr>
                      <w:rFonts w:eastAsiaTheme="minorEastAsia"/>
                      <w:kern w:val="0"/>
                      <w:szCs w:val="21"/>
                    </w:rPr>
                    <w:t>2</w:t>
                  </w:r>
                  <w:r>
                    <w:rPr>
                      <w:rFonts w:hAnsiTheme="minorEastAsia" w:eastAsiaTheme="minorEastAsia"/>
                      <w:kern w:val="0"/>
                      <w:szCs w:val="21"/>
                    </w:rPr>
                    <w:t>人同时运输，一人观察一人运输。物料运送至生产区暂存区暂存时，应保持密封，且放置在托盘上。胶印油墨印刷房应设置为重点防渗区。</w:t>
                  </w:r>
                </w:p>
              </w:tc>
              <w:tc>
                <w:tcPr>
                  <w:tcW w:w="505" w:type="pct"/>
                  <w:tcBorders>
                    <w:top w:val="single" w:color="auto" w:sz="6" w:space="0"/>
                    <w:left w:val="single" w:color="auto" w:sz="4" w:space="0"/>
                    <w:bottom w:val="single" w:color="auto" w:sz="6" w:space="0"/>
                    <w:right w:val="single" w:color="auto" w:sz="8" w:space="0"/>
                  </w:tcBorders>
                  <w:vAlign w:val="center"/>
                </w:tcPr>
                <w:p w14:paraId="6B5845A1">
                  <w:pPr>
                    <w:adjustRightInd w:val="0"/>
                    <w:snapToGrid w:val="0"/>
                    <w:jc w:val="center"/>
                    <w:rPr>
                      <w:szCs w:val="21"/>
                    </w:rPr>
                  </w:pPr>
                  <w:r>
                    <w:rPr>
                      <w:rFonts w:hint="eastAsia"/>
                      <w:szCs w:val="21"/>
                    </w:rPr>
                    <w:t>新建</w:t>
                  </w:r>
                </w:p>
              </w:tc>
            </w:tr>
          </w:tbl>
          <w:p w14:paraId="651B2902">
            <w:pPr>
              <w:adjustRightInd w:val="0"/>
              <w:snapToGrid w:val="0"/>
              <w:spacing w:line="480" w:lineRule="exact"/>
              <w:rPr>
                <w:b/>
                <w:sz w:val="24"/>
                <w:highlight w:val="yellow"/>
              </w:rPr>
            </w:pPr>
            <w:r>
              <w:rPr>
                <w:b/>
                <w:sz w:val="24"/>
              </w:rPr>
              <w:t>2.</w:t>
            </w:r>
            <w:r>
              <w:rPr>
                <w:rFonts w:hint="eastAsia"/>
                <w:b/>
                <w:sz w:val="24"/>
              </w:rPr>
              <w:t>1.4</w:t>
            </w:r>
            <w:r>
              <w:rPr>
                <w:b/>
                <w:sz w:val="24"/>
              </w:rPr>
              <w:t>平面布置</w:t>
            </w:r>
          </w:p>
          <w:p w14:paraId="63390205">
            <w:pPr>
              <w:adjustRightInd w:val="0"/>
              <w:snapToGrid w:val="0"/>
              <w:spacing w:line="480" w:lineRule="exact"/>
              <w:ind w:firstLine="480" w:firstLineChars="200"/>
              <w:rPr>
                <w:bCs/>
                <w:sz w:val="24"/>
              </w:rPr>
            </w:pPr>
            <w:r>
              <w:rPr>
                <w:rFonts w:hint="eastAsia"/>
                <w:bCs/>
                <w:sz w:val="24"/>
              </w:rPr>
              <w:t>拟建</w:t>
            </w:r>
            <w:r>
              <w:rPr>
                <w:bCs/>
                <w:sz w:val="24"/>
              </w:rPr>
              <w:t>项目</w:t>
            </w:r>
            <w:r>
              <w:rPr>
                <w:rFonts w:hint="eastAsia"/>
                <w:bCs/>
                <w:sz w:val="24"/>
              </w:rPr>
              <w:t>位于</w:t>
            </w:r>
            <w:r>
              <w:rPr>
                <w:rFonts w:hint="eastAsia"/>
                <w:sz w:val="24"/>
              </w:rPr>
              <w:t>重庆市涪陵区鹤凤大道33号</w:t>
            </w:r>
            <w:r>
              <w:rPr>
                <w:rFonts w:hint="eastAsia"/>
                <w:bCs/>
                <w:sz w:val="24"/>
              </w:rPr>
              <w:t>，整个厂区呈长方形，占地面积</w:t>
            </w:r>
            <w:r>
              <w:rPr>
                <w:rFonts w:hint="eastAsia"/>
                <w:sz w:val="24"/>
              </w:rPr>
              <w:t>68769m</w:t>
            </w:r>
            <w:r>
              <w:rPr>
                <w:rFonts w:hint="eastAsia"/>
                <w:sz w:val="24"/>
                <w:vertAlign w:val="superscript"/>
              </w:rPr>
              <w:t>2</w:t>
            </w:r>
            <w:r>
              <w:rPr>
                <w:bCs/>
                <w:sz w:val="24"/>
              </w:rPr>
              <w:t>，</w:t>
            </w:r>
            <w:r>
              <w:rPr>
                <w:rFonts w:hint="eastAsia"/>
                <w:bCs/>
                <w:sz w:val="24"/>
              </w:rPr>
              <w:t xml:space="preserve"> </w:t>
            </w:r>
            <w:r>
              <w:rPr>
                <w:bCs/>
                <w:sz w:val="24"/>
              </w:rPr>
              <w:t>总建筑面积</w:t>
            </w:r>
            <w:r>
              <w:rPr>
                <w:rFonts w:hint="eastAsia"/>
                <w:bCs/>
                <w:sz w:val="24"/>
              </w:rPr>
              <w:t>24860.81</w:t>
            </w:r>
            <w:r>
              <w:rPr>
                <w:bCs/>
                <w:sz w:val="24"/>
              </w:rPr>
              <w:t>m</w:t>
            </w:r>
            <w:r>
              <w:rPr>
                <w:bCs/>
                <w:sz w:val="24"/>
                <w:vertAlign w:val="superscript"/>
              </w:rPr>
              <w:t>2</w:t>
            </w:r>
            <w:r>
              <w:rPr>
                <w:rFonts w:hint="eastAsia"/>
                <w:bCs/>
                <w:sz w:val="24"/>
              </w:rPr>
              <w:t>。厂区北侧、西侧为山地，东侧为工业空地，东北侧紧</w:t>
            </w:r>
            <w:r>
              <w:rPr>
                <w:rFonts w:hint="eastAsia"/>
                <w:sz w:val="24"/>
              </w:rPr>
              <w:t xml:space="preserve">邻凯高玩具（重庆）有限公司，南侧紧邻聚贤大道。  </w:t>
            </w:r>
          </w:p>
          <w:p w14:paraId="5365EE81">
            <w:pPr>
              <w:spacing w:line="480" w:lineRule="exact"/>
              <w:ind w:firstLine="480" w:firstLineChars="200"/>
              <w:rPr>
                <w:rFonts w:hAnsi="宋体"/>
                <w:sz w:val="24"/>
              </w:rPr>
            </w:pPr>
            <w:r>
              <w:rPr>
                <w:rFonts w:hAnsi="宋体"/>
                <w:sz w:val="24"/>
              </w:rPr>
              <w:t>厂区分为生产区和生活配套区两个功能板块</w:t>
            </w:r>
            <w:r>
              <w:rPr>
                <w:rFonts w:hint="eastAsia" w:hAnsi="宋体"/>
                <w:sz w:val="24"/>
              </w:rPr>
              <w:t>，</w:t>
            </w:r>
            <w:r>
              <w:rPr>
                <w:rFonts w:hAnsi="宋体"/>
                <w:sz w:val="24"/>
              </w:rPr>
              <w:t>用地</w:t>
            </w:r>
            <w:r>
              <w:rPr>
                <w:rFonts w:hint="eastAsia" w:hAnsi="宋体"/>
                <w:sz w:val="24"/>
              </w:rPr>
              <w:t>南</w:t>
            </w:r>
            <w:r>
              <w:rPr>
                <w:rFonts w:hAnsi="宋体"/>
                <w:sz w:val="24"/>
              </w:rPr>
              <w:t>侧布置生活配套区，</w:t>
            </w:r>
            <w:r>
              <w:rPr>
                <w:rFonts w:hint="eastAsia" w:hAnsi="宋体"/>
                <w:sz w:val="24"/>
              </w:rPr>
              <w:t>建设有1栋</w:t>
            </w:r>
            <w:r>
              <w:rPr>
                <w:rFonts w:hAnsi="宋体"/>
                <w:sz w:val="24"/>
              </w:rPr>
              <w:t>食堂</w:t>
            </w:r>
            <w:r>
              <w:rPr>
                <w:rFonts w:hint="eastAsia" w:hAnsi="宋体"/>
                <w:sz w:val="24"/>
              </w:rPr>
              <w:t>（2F）</w:t>
            </w:r>
            <w:r>
              <w:rPr>
                <w:rFonts w:hAnsi="宋体"/>
                <w:sz w:val="24"/>
              </w:rPr>
              <w:t>，同时布置了非机动车停车位，方便员工上下班。</w:t>
            </w:r>
            <w:r>
              <w:rPr>
                <w:rFonts w:hint="eastAsia" w:hAnsi="宋体"/>
                <w:sz w:val="24"/>
              </w:rPr>
              <w:t>生产区布置于厂区中北侧，生产区由南向北依次布设有1栋</w:t>
            </w:r>
            <w:r>
              <w:rPr>
                <w:rFonts w:hint="eastAsia"/>
                <w:bCs/>
                <w:sz w:val="24"/>
              </w:rPr>
              <w:t>2#生产厂房（2F）、1栋3#仓库（1F）、1栋9#材料库（2F）</w:t>
            </w:r>
            <w:r>
              <w:rPr>
                <w:rFonts w:hint="eastAsia" w:hAnsi="宋体"/>
                <w:sz w:val="24"/>
              </w:rPr>
              <w:t>。</w:t>
            </w:r>
          </w:p>
          <w:p w14:paraId="28EC1808">
            <w:pPr>
              <w:adjustRightInd w:val="0"/>
              <w:snapToGrid w:val="0"/>
              <w:spacing w:line="480" w:lineRule="exact"/>
              <w:ind w:firstLine="480" w:firstLineChars="200"/>
              <w:jc w:val="left"/>
              <w:rPr>
                <w:bCs/>
                <w:sz w:val="24"/>
              </w:rPr>
            </w:pPr>
            <w:r>
              <w:rPr>
                <w:rFonts w:hint="eastAsia" w:hAnsi="宋体"/>
                <w:sz w:val="24"/>
              </w:rPr>
              <w:t>2#生产厂房为两层，1F东侧为生产区域，</w:t>
            </w:r>
            <w:r>
              <w:rPr>
                <w:rFonts w:hint="eastAsia"/>
                <w:bCs/>
                <w:sz w:val="24"/>
              </w:rPr>
              <w:t>由南向北依次布设裁切区、印刷房、模切区、裱纸区、粘盒区、裱坑区、过油区，印刷房布设3台印刷机</w:t>
            </w:r>
            <w:r>
              <w:rPr>
                <w:rFonts w:hint="eastAsia" w:hAnsi="宋体"/>
                <w:sz w:val="24"/>
              </w:rPr>
              <w:t>，</w:t>
            </w:r>
            <w:r>
              <w:rPr>
                <w:rFonts w:hint="eastAsia"/>
                <w:bCs/>
                <w:sz w:val="24"/>
              </w:rPr>
              <w:t>西侧为空置区域。2F东侧布置有4条纸制品玩具包装流水线和办公区，西侧为空置区域。印刷废气排气筒布设于2#生产厂房房顶北侧，远离厂区生活区，印刷废气经处理达标后排放，对周边环境影响较小。</w:t>
            </w:r>
          </w:p>
          <w:p w14:paraId="73F11A98">
            <w:pPr>
              <w:adjustRightInd w:val="0"/>
              <w:snapToGrid w:val="0"/>
              <w:spacing w:line="480" w:lineRule="exact"/>
              <w:ind w:firstLine="480" w:firstLineChars="200"/>
              <w:jc w:val="left"/>
              <w:rPr>
                <w:sz w:val="24"/>
              </w:rPr>
            </w:pPr>
            <w:r>
              <w:rPr>
                <w:rFonts w:hint="eastAsia" w:hAnsi="宋体"/>
                <w:sz w:val="24"/>
              </w:rPr>
              <w:t>项目拟建设的生化池位于厂区东北角（厂区地势最低处），</w:t>
            </w:r>
            <w:r>
              <w:rPr>
                <w:rFonts w:hint="eastAsia"/>
                <w:sz w:val="24"/>
              </w:rPr>
              <w:t>危废暂存间拟设于9#材料库2F东侧，面积约3</w:t>
            </w:r>
            <w:r>
              <w:rPr>
                <w:sz w:val="24"/>
              </w:rPr>
              <w:t>0m</w:t>
            </w:r>
            <w:r>
              <w:rPr>
                <w:sz w:val="24"/>
                <w:vertAlign w:val="superscript"/>
              </w:rPr>
              <w:t>2</w:t>
            </w:r>
            <w:r>
              <w:rPr>
                <w:rFonts w:hint="eastAsia"/>
                <w:sz w:val="24"/>
              </w:rPr>
              <w:t>。厂界南侧有架空电力线（35kv），架空电力线距离厂界水平距离满足</w:t>
            </w:r>
            <w:r>
              <w:rPr>
                <w:sz w:val="24"/>
              </w:rPr>
              <w:t>《重庆市城市规划管理技术规定》(2018年3月1日实施)</w:t>
            </w:r>
            <w:r>
              <w:rPr>
                <w:rFonts w:hint="eastAsia"/>
                <w:sz w:val="24"/>
              </w:rPr>
              <w:t>中的</w:t>
            </w:r>
            <w:r>
              <w:rPr>
                <w:sz w:val="24"/>
              </w:rPr>
              <w:t>规定</w:t>
            </w:r>
            <w:r>
              <w:rPr>
                <w:rFonts w:hint="eastAsia"/>
                <w:sz w:val="24"/>
              </w:rPr>
              <w:t>。</w:t>
            </w:r>
          </w:p>
          <w:p w14:paraId="40165213">
            <w:pPr>
              <w:spacing w:line="480" w:lineRule="exact"/>
              <w:ind w:firstLine="480" w:firstLineChars="200"/>
              <w:rPr>
                <w:sz w:val="24"/>
              </w:rPr>
            </w:pPr>
            <w:r>
              <w:rPr>
                <w:rFonts w:hAnsi="宋体"/>
                <w:sz w:val="24"/>
              </w:rPr>
              <w:t>本项目对外设置</w:t>
            </w:r>
            <w:r>
              <w:rPr>
                <w:rFonts w:hint="eastAsia" w:hAnsi="宋体"/>
                <w:sz w:val="24"/>
              </w:rPr>
              <w:t>两个</w:t>
            </w:r>
            <w:r>
              <w:rPr>
                <w:rFonts w:hAnsi="宋体"/>
                <w:sz w:val="24"/>
              </w:rPr>
              <w:t>出入口，其中</w:t>
            </w:r>
            <w:r>
              <w:rPr>
                <w:rFonts w:hint="eastAsia" w:hAnsi="宋体"/>
                <w:sz w:val="24"/>
              </w:rPr>
              <w:t>生活区出入口布设于厂区西南角紧临聚贤大道</w:t>
            </w:r>
            <w:r>
              <w:rPr>
                <w:rFonts w:hAnsi="宋体"/>
                <w:sz w:val="24"/>
              </w:rPr>
              <w:t>，</w:t>
            </w:r>
            <w:r>
              <w:rPr>
                <w:rFonts w:hint="eastAsia" w:hAnsi="宋体"/>
                <w:sz w:val="24"/>
              </w:rPr>
              <w:t>货物出入口布设于产区东北侧</w:t>
            </w:r>
            <w:r>
              <w:rPr>
                <w:rFonts w:hAnsi="宋体"/>
                <w:sz w:val="24"/>
              </w:rPr>
              <w:t>。整个厂区平面布置见附图</w:t>
            </w:r>
            <w:r>
              <w:rPr>
                <w:sz w:val="24"/>
              </w:rPr>
              <w:t>2</w:t>
            </w:r>
            <w:r>
              <w:rPr>
                <w:rFonts w:hAnsi="宋体"/>
                <w:sz w:val="24"/>
              </w:rPr>
              <w:t>。</w:t>
            </w:r>
          </w:p>
          <w:p w14:paraId="08BE5959">
            <w:pPr>
              <w:adjustRightInd w:val="0"/>
              <w:snapToGrid w:val="0"/>
              <w:spacing w:line="480" w:lineRule="exact"/>
              <w:ind w:firstLine="480" w:firstLineChars="200"/>
              <w:rPr>
                <w:rFonts w:hAnsi="宋体"/>
                <w:sz w:val="24"/>
              </w:rPr>
            </w:pPr>
            <w:r>
              <w:rPr>
                <w:rFonts w:hint="eastAsia" w:hAnsi="宋体"/>
                <w:sz w:val="24"/>
              </w:rPr>
              <w:t>评价认为，项目总平面布局总体上功能组织合理、用地配置得当、结构清晰、道路顺畅，各建构筑物满足卫生防护间距和建筑防火规范要求，符合生产、规划、消防和环保等要求，总平面布局合理。</w:t>
            </w:r>
          </w:p>
          <w:p w14:paraId="76E06AAF">
            <w:pPr>
              <w:adjustRightInd w:val="0"/>
              <w:snapToGrid w:val="0"/>
              <w:spacing w:line="480" w:lineRule="exact"/>
              <w:rPr>
                <w:b/>
                <w:sz w:val="24"/>
              </w:rPr>
            </w:pPr>
            <w:r>
              <w:rPr>
                <w:b/>
                <w:sz w:val="24"/>
              </w:rPr>
              <w:t>2.</w:t>
            </w:r>
            <w:r>
              <w:rPr>
                <w:rFonts w:hint="eastAsia"/>
                <w:b/>
                <w:sz w:val="24"/>
              </w:rPr>
              <w:t>1.5</w:t>
            </w:r>
            <w:r>
              <w:rPr>
                <w:b/>
                <w:sz w:val="24"/>
              </w:rPr>
              <w:t>主要设备</w:t>
            </w:r>
          </w:p>
          <w:p w14:paraId="6A9F8A17">
            <w:pPr>
              <w:spacing w:line="480" w:lineRule="exact"/>
              <w:ind w:firstLine="480" w:firstLineChars="200"/>
              <w:rPr>
                <w:sz w:val="24"/>
              </w:rPr>
            </w:pPr>
            <w:r>
              <w:rPr>
                <w:bCs/>
                <w:sz w:val="24"/>
              </w:rPr>
              <w:t>根据《部分工业行业淘汰落后生产工艺装备和产品指导目录（2010年本）》和《产业结构调整指导目录（201</w:t>
            </w:r>
            <w:r>
              <w:rPr>
                <w:rFonts w:hint="eastAsia"/>
                <w:bCs/>
                <w:sz w:val="24"/>
              </w:rPr>
              <w:t>9</w:t>
            </w:r>
            <w:r>
              <w:rPr>
                <w:bCs/>
                <w:sz w:val="24"/>
              </w:rPr>
              <w:t>年本）》，拟建项目生产过程中使用的设备无淘汰落后设备。</w:t>
            </w:r>
            <w:r>
              <w:rPr>
                <w:sz w:val="24"/>
              </w:rPr>
              <w:t>拟建项目主要生产设备见表</w:t>
            </w:r>
            <w:r>
              <w:rPr>
                <w:rFonts w:hint="eastAsia"/>
                <w:sz w:val="24"/>
              </w:rPr>
              <w:t>2.1-3</w:t>
            </w:r>
            <w:r>
              <w:rPr>
                <w:sz w:val="24"/>
              </w:rPr>
              <w:t>。</w:t>
            </w:r>
          </w:p>
          <w:p w14:paraId="4CC8951B">
            <w:pPr>
              <w:snapToGrid w:val="0"/>
              <w:spacing w:line="480" w:lineRule="exact"/>
              <w:jc w:val="center"/>
              <w:rPr>
                <w:b/>
                <w:bCs/>
                <w:szCs w:val="21"/>
              </w:rPr>
            </w:pPr>
            <w:r>
              <w:rPr>
                <w:rFonts w:hAnsi="宋体"/>
                <w:b/>
                <w:bCs/>
                <w:szCs w:val="21"/>
              </w:rPr>
              <w:t>表</w:t>
            </w:r>
            <w:r>
              <w:rPr>
                <w:b/>
                <w:bCs/>
                <w:szCs w:val="21"/>
              </w:rPr>
              <w:t>2.1-</w:t>
            </w:r>
            <w:r>
              <w:rPr>
                <w:rFonts w:hint="eastAsia"/>
                <w:b/>
                <w:bCs/>
                <w:szCs w:val="21"/>
              </w:rPr>
              <w:t>3</w:t>
            </w:r>
            <w:r>
              <w:rPr>
                <w:b/>
                <w:bCs/>
                <w:szCs w:val="21"/>
              </w:rPr>
              <w:t xml:space="preserve">  </w:t>
            </w:r>
            <w:r>
              <w:rPr>
                <w:rFonts w:hint="eastAsia"/>
                <w:b/>
                <w:bCs/>
                <w:szCs w:val="21"/>
              </w:rPr>
              <w:t>项目生产设备一览表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481"/>
              <w:gridCol w:w="1299"/>
              <w:gridCol w:w="2196"/>
              <w:gridCol w:w="1659"/>
            </w:tblGrid>
            <w:tr w14:paraId="0092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1021849F">
                  <w:pPr>
                    <w:jc w:val="center"/>
                    <w:rPr>
                      <w:szCs w:val="21"/>
                    </w:rPr>
                  </w:pPr>
                  <w:r>
                    <w:rPr>
                      <w:rFonts w:hAnsi="宋体"/>
                      <w:szCs w:val="21"/>
                    </w:rPr>
                    <w:t>设备名称</w:t>
                  </w:r>
                </w:p>
              </w:tc>
              <w:tc>
                <w:tcPr>
                  <w:tcW w:w="893" w:type="pct"/>
                  <w:vAlign w:val="center"/>
                </w:tcPr>
                <w:p w14:paraId="6CB95489">
                  <w:pPr>
                    <w:jc w:val="center"/>
                    <w:rPr>
                      <w:szCs w:val="21"/>
                    </w:rPr>
                  </w:pPr>
                  <w:r>
                    <w:rPr>
                      <w:rFonts w:hAnsi="宋体"/>
                      <w:szCs w:val="21"/>
                    </w:rPr>
                    <w:t>单位</w:t>
                  </w:r>
                </w:p>
              </w:tc>
              <w:tc>
                <w:tcPr>
                  <w:tcW w:w="783" w:type="pct"/>
                  <w:vAlign w:val="center"/>
                </w:tcPr>
                <w:p w14:paraId="288CA9DD">
                  <w:pPr>
                    <w:jc w:val="center"/>
                    <w:rPr>
                      <w:szCs w:val="21"/>
                    </w:rPr>
                  </w:pPr>
                  <w:r>
                    <w:rPr>
                      <w:rFonts w:hAnsi="宋体"/>
                      <w:szCs w:val="21"/>
                    </w:rPr>
                    <w:t>数量</w:t>
                  </w:r>
                </w:p>
              </w:tc>
              <w:tc>
                <w:tcPr>
                  <w:tcW w:w="1324" w:type="pct"/>
                  <w:vAlign w:val="center"/>
                </w:tcPr>
                <w:p w14:paraId="39EB06CC">
                  <w:pPr>
                    <w:jc w:val="center"/>
                    <w:rPr>
                      <w:szCs w:val="21"/>
                    </w:rPr>
                  </w:pPr>
                  <w:r>
                    <w:rPr>
                      <w:rFonts w:hAnsi="宋体"/>
                      <w:szCs w:val="21"/>
                    </w:rPr>
                    <w:t>设施参数</w:t>
                  </w:r>
                </w:p>
              </w:tc>
              <w:tc>
                <w:tcPr>
                  <w:tcW w:w="1000" w:type="pct"/>
                  <w:vAlign w:val="center"/>
                </w:tcPr>
                <w:p w14:paraId="28D242ED">
                  <w:pPr>
                    <w:jc w:val="center"/>
                    <w:rPr>
                      <w:szCs w:val="21"/>
                    </w:rPr>
                  </w:pPr>
                  <w:r>
                    <w:rPr>
                      <w:rFonts w:hAnsi="宋体"/>
                      <w:szCs w:val="21"/>
                    </w:rPr>
                    <w:t>生产工艺</w:t>
                  </w:r>
                </w:p>
              </w:tc>
            </w:tr>
            <w:tr w14:paraId="7730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3BC2606F">
                  <w:pPr>
                    <w:jc w:val="center"/>
                    <w:rPr>
                      <w:szCs w:val="21"/>
                    </w:rPr>
                  </w:pPr>
                  <w:r>
                    <w:rPr>
                      <w:rFonts w:hAnsi="宋体"/>
                      <w:szCs w:val="21"/>
                    </w:rPr>
                    <w:t>切纸机</w:t>
                  </w:r>
                </w:p>
              </w:tc>
              <w:tc>
                <w:tcPr>
                  <w:tcW w:w="893" w:type="pct"/>
                  <w:vAlign w:val="center"/>
                </w:tcPr>
                <w:p w14:paraId="60283222">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3FC7C978">
                  <w:pPr>
                    <w:jc w:val="center"/>
                    <w:rPr>
                      <w:szCs w:val="21"/>
                    </w:rPr>
                  </w:pPr>
                  <w:r>
                    <w:rPr>
                      <w:rFonts w:hint="eastAsia"/>
                      <w:szCs w:val="21"/>
                    </w:rPr>
                    <w:t>1</w:t>
                  </w:r>
                </w:p>
              </w:tc>
              <w:tc>
                <w:tcPr>
                  <w:tcW w:w="1324" w:type="pct"/>
                  <w:vAlign w:val="center"/>
                </w:tcPr>
                <w:p w14:paraId="2EB0FAAA">
                  <w:pPr>
                    <w:autoSpaceDE w:val="0"/>
                    <w:autoSpaceDN w:val="0"/>
                    <w:jc w:val="center"/>
                    <w:rPr>
                      <w:kern w:val="0"/>
                      <w:szCs w:val="21"/>
                    </w:rPr>
                  </w:pPr>
                  <w:r>
                    <w:rPr>
                      <w:kern w:val="0"/>
                      <w:szCs w:val="21"/>
                    </w:rPr>
                    <w:t>137cm</w:t>
                  </w:r>
                </w:p>
              </w:tc>
              <w:tc>
                <w:tcPr>
                  <w:tcW w:w="1000" w:type="pct"/>
                  <w:vMerge w:val="restart"/>
                  <w:vAlign w:val="center"/>
                </w:tcPr>
                <w:p w14:paraId="04DA71F8">
                  <w:pPr>
                    <w:jc w:val="center"/>
                    <w:rPr>
                      <w:szCs w:val="21"/>
                    </w:rPr>
                  </w:pPr>
                  <w:r>
                    <w:rPr>
                      <w:rFonts w:hAnsi="宋体"/>
                      <w:szCs w:val="21"/>
                    </w:rPr>
                    <w:t>切纸</w:t>
                  </w:r>
                </w:p>
              </w:tc>
            </w:tr>
            <w:tr w14:paraId="18A7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131ED37F">
                  <w:pPr>
                    <w:jc w:val="center"/>
                    <w:rPr>
                      <w:rFonts w:hAnsi="宋体"/>
                      <w:szCs w:val="21"/>
                    </w:rPr>
                  </w:pPr>
                  <w:r>
                    <w:rPr>
                      <w:rFonts w:hint="eastAsia" w:hAnsi="宋体"/>
                      <w:szCs w:val="21"/>
                    </w:rPr>
                    <w:t>翻纸机</w:t>
                  </w:r>
                </w:p>
              </w:tc>
              <w:tc>
                <w:tcPr>
                  <w:tcW w:w="893" w:type="pct"/>
                  <w:vAlign w:val="center"/>
                </w:tcPr>
                <w:p w14:paraId="0D59E8C5">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4F3FF7C5">
                  <w:pPr>
                    <w:jc w:val="center"/>
                    <w:rPr>
                      <w:szCs w:val="21"/>
                    </w:rPr>
                  </w:pPr>
                  <w:r>
                    <w:rPr>
                      <w:rFonts w:hint="eastAsia"/>
                      <w:szCs w:val="21"/>
                    </w:rPr>
                    <w:t>1</w:t>
                  </w:r>
                </w:p>
              </w:tc>
              <w:tc>
                <w:tcPr>
                  <w:tcW w:w="1324" w:type="pct"/>
                  <w:vAlign w:val="center"/>
                </w:tcPr>
                <w:p w14:paraId="52443FFA">
                  <w:pPr>
                    <w:autoSpaceDE w:val="0"/>
                    <w:autoSpaceDN w:val="0"/>
                    <w:jc w:val="center"/>
                    <w:rPr>
                      <w:kern w:val="0"/>
                      <w:szCs w:val="21"/>
                    </w:rPr>
                  </w:pPr>
                  <w:r>
                    <w:rPr>
                      <w:rFonts w:hint="eastAsia"/>
                      <w:kern w:val="0"/>
                      <w:szCs w:val="21"/>
                    </w:rPr>
                    <w:t>/</w:t>
                  </w:r>
                </w:p>
              </w:tc>
              <w:tc>
                <w:tcPr>
                  <w:tcW w:w="1000" w:type="pct"/>
                  <w:vMerge w:val="continue"/>
                  <w:vAlign w:val="center"/>
                </w:tcPr>
                <w:p w14:paraId="1A154FA1">
                  <w:pPr>
                    <w:jc w:val="center"/>
                    <w:rPr>
                      <w:rFonts w:hAnsi="宋体"/>
                      <w:szCs w:val="21"/>
                    </w:rPr>
                  </w:pPr>
                </w:p>
              </w:tc>
            </w:tr>
            <w:tr w14:paraId="05E9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38EC180A">
                  <w:pPr>
                    <w:jc w:val="center"/>
                    <w:rPr>
                      <w:szCs w:val="21"/>
                    </w:rPr>
                  </w:pPr>
                  <w:r>
                    <w:rPr>
                      <w:szCs w:val="21"/>
                    </w:rPr>
                    <w:t>CTP</w:t>
                  </w:r>
                  <w:r>
                    <w:rPr>
                      <w:rFonts w:hint="eastAsia" w:hAnsi="宋体"/>
                      <w:szCs w:val="21"/>
                    </w:rPr>
                    <w:t>制版机</w:t>
                  </w:r>
                </w:p>
              </w:tc>
              <w:tc>
                <w:tcPr>
                  <w:tcW w:w="893" w:type="pct"/>
                  <w:vAlign w:val="center"/>
                </w:tcPr>
                <w:p w14:paraId="26E38B8E">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3305499C">
                  <w:pPr>
                    <w:jc w:val="center"/>
                    <w:rPr>
                      <w:szCs w:val="21"/>
                    </w:rPr>
                  </w:pPr>
                  <w:r>
                    <w:rPr>
                      <w:szCs w:val="21"/>
                    </w:rPr>
                    <w:t>1</w:t>
                  </w:r>
                </w:p>
              </w:tc>
              <w:tc>
                <w:tcPr>
                  <w:tcW w:w="1324" w:type="pct"/>
                  <w:vAlign w:val="center"/>
                </w:tcPr>
                <w:p w14:paraId="4A0357C0">
                  <w:pPr>
                    <w:autoSpaceDE w:val="0"/>
                    <w:autoSpaceDN w:val="0"/>
                    <w:jc w:val="center"/>
                    <w:rPr>
                      <w:kern w:val="0"/>
                      <w:szCs w:val="21"/>
                    </w:rPr>
                  </w:pPr>
                  <w:r>
                    <w:rPr>
                      <w:rFonts w:hint="eastAsia"/>
                      <w:kern w:val="0"/>
                      <w:szCs w:val="21"/>
                    </w:rPr>
                    <w:t>/</w:t>
                  </w:r>
                </w:p>
              </w:tc>
              <w:tc>
                <w:tcPr>
                  <w:tcW w:w="1000" w:type="pct"/>
                  <w:vAlign w:val="center"/>
                </w:tcPr>
                <w:p w14:paraId="237B3B88">
                  <w:pPr>
                    <w:jc w:val="center"/>
                    <w:rPr>
                      <w:szCs w:val="21"/>
                    </w:rPr>
                  </w:pPr>
                  <w:r>
                    <w:rPr>
                      <w:rFonts w:hint="eastAsia" w:hAnsi="宋体"/>
                      <w:szCs w:val="21"/>
                    </w:rPr>
                    <w:t>制CTP版</w:t>
                  </w:r>
                </w:p>
              </w:tc>
            </w:tr>
            <w:tr w14:paraId="78C3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466CA45">
                  <w:pPr>
                    <w:jc w:val="center"/>
                    <w:rPr>
                      <w:szCs w:val="21"/>
                    </w:rPr>
                  </w:pPr>
                  <w:r>
                    <w:rPr>
                      <w:rFonts w:hAnsi="宋体"/>
                      <w:szCs w:val="21"/>
                    </w:rPr>
                    <w:t>印刷机</w:t>
                  </w:r>
                </w:p>
              </w:tc>
              <w:tc>
                <w:tcPr>
                  <w:tcW w:w="893" w:type="pct"/>
                  <w:vAlign w:val="center"/>
                </w:tcPr>
                <w:p w14:paraId="630ECC59">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2163D76C">
                  <w:pPr>
                    <w:jc w:val="center"/>
                    <w:rPr>
                      <w:szCs w:val="21"/>
                    </w:rPr>
                  </w:pPr>
                  <w:r>
                    <w:rPr>
                      <w:rFonts w:hint="eastAsia"/>
                      <w:szCs w:val="21"/>
                    </w:rPr>
                    <w:t>3</w:t>
                  </w:r>
                </w:p>
              </w:tc>
              <w:tc>
                <w:tcPr>
                  <w:tcW w:w="1324" w:type="pct"/>
                  <w:vAlign w:val="center"/>
                </w:tcPr>
                <w:p w14:paraId="7F1AD560">
                  <w:pPr>
                    <w:autoSpaceDE w:val="0"/>
                    <w:autoSpaceDN w:val="0"/>
                    <w:jc w:val="center"/>
                    <w:rPr>
                      <w:szCs w:val="21"/>
                    </w:rPr>
                  </w:pPr>
                  <w:r>
                    <w:rPr>
                      <w:rFonts w:hAnsi="宋体"/>
                      <w:kern w:val="0"/>
                      <w:szCs w:val="21"/>
                    </w:rPr>
                    <w:t>网版尺寸：</w:t>
                  </w:r>
                  <w:r>
                    <w:rPr>
                      <w:kern w:val="0"/>
                      <w:szCs w:val="21"/>
                    </w:rPr>
                    <w:t>0.72mX1.05m</w:t>
                  </w:r>
                </w:p>
              </w:tc>
              <w:tc>
                <w:tcPr>
                  <w:tcW w:w="1000" w:type="pct"/>
                  <w:vAlign w:val="center"/>
                </w:tcPr>
                <w:p w14:paraId="4DFFD3EE">
                  <w:pPr>
                    <w:jc w:val="center"/>
                    <w:rPr>
                      <w:szCs w:val="21"/>
                    </w:rPr>
                  </w:pPr>
                  <w:r>
                    <w:rPr>
                      <w:rFonts w:hAnsi="宋体"/>
                      <w:szCs w:val="21"/>
                    </w:rPr>
                    <w:t>印刷</w:t>
                  </w:r>
                </w:p>
              </w:tc>
            </w:tr>
            <w:tr w14:paraId="1613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C0DABB9">
                  <w:pPr>
                    <w:jc w:val="center"/>
                    <w:rPr>
                      <w:szCs w:val="21"/>
                    </w:rPr>
                  </w:pPr>
                  <w:r>
                    <w:rPr>
                      <w:rFonts w:hAnsi="宋体"/>
                      <w:szCs w:val="21"/>
                    </w:rPr>
                    <w:t>过油机</w:t>
                  </w:r>
                </w:p>
              </w:tc>
              <w:tc>
                <w:tcPr>
                  <w:tcW w:w="893" w:type="pct"/>
                  <w:vAlign w:val="center"/>
                </w:tcPr>
                <w:p w14:paraId="292B1CDA">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3E7EC535">
                  <w:pPr>
                    <w:jc w:val="center"/>
                    <w:rPr>
                      <w:szCs w:val="21"/>
                    </w:rPr>
                  </w:pPr>
                  <w:r>
                    <w:rPr>
                      <w:szCs w:val="21"/>
                    </w:rPr>
                    <w:t>1</w:t>
                  </w:r>
                </w:p>
              </w:tc>
              <w:tc>
                <w:tcPr>
                  <w:tcW w:w="1324" w:type="pct"/>
                  <w:vAlign w:val="center"/>
                </w:tcPr>
                <w:p w14:paraId="216D8381">
                  <w:pPr>
                    <w:autoSpaceDE w:val="0"/>
                    <w:autoSpaceDN w:val="0"/>
                    <w:jc w:val="center"/>
                    <w:rPr>
                      <w:kern w:val="0"/>
                      <w:szCs w:val="21"/>
                    </w:rPr>
                  </w:pPr>
                  <w:r>
                    <w:rPr>
                      <w:rFonts w:hint="eastAsia"/>
                      <w:kern w:val="0"/>
                      <w:szCs w:val="21"/>
                    </w:rPr>
                    <w:t>/</w:t>
                  </w:r>
                </w:p>
              </w:tc>
              <w:tc>
                <w:tcPr>
                  <w:tcW w:w="1000" w:type="pct"/>
                  <w:vAlign w:val="center"/>
                </w:tcPr>
                <w:p w14:paraId="2328ADD5">
                  <w:pPr>
                    <w:jc w:val="center"/>
                    <w:rPr>
                      <w:szCs w:val="21"/>
                    </w:rPr>
                  </w:pPr>
                  <w:r>
                    <w:rPr>
                      <w:rFonts w:hint="eastAsia"/>
                      <w:szCs w:val="21"/>
                    </w:rPr>
                    <w:t>表面处理</w:t>
                  </w:r>
                </w:p>
              </w:tc>
            </w:tr>
            <w:tr w14:paraId="1E03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3264310">
                  <w:pPr>
                    <w:jc w:val="center"/>
                    <w:rPr>
                      <w:szCs w:val="21"/>
                    </w:rPr>
                  </w:pPr>
                  <w:r>
                    <w:rPr>
                      <w:rFonts w:hAnsi="宋体"/>
                      <w:szCs w:val="21"/>
                    </w:rPr>
                    <w:t>裱纸</w:t>
                  </w:r>
                  <w:r>
                    <w:rPr>
                      <w:rFonts w:hint="eastAsia" w:hAnsi="宋体"/>
                      <w:szCs w:val="21"/>
                    </w:rPr>
                    <w:t>机</w:t>
                  </w:r>
                </w:p>
              </w:tc>
              <w:tc>
                <w:tcPr>
                  <w:tcW w:w="893" w:type="pct"/>
                  <w:vAlign w:val="center"/>
                </w:tcPr>
                <w:p w14:paraId="1B173C5A">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170DB5E5">
                  <w:pPr>
                    <w:jc w:val="center"/>
                    <w:rPr>
                      <w:szCs w:val="21"/>
                    </w:rPr>
                  </w:pPr>
                  <w:r>
                    <w:rPr>
                      <w:rFonts w:hint="eastAsia"/>
                      <w:szCs w:val="21"/>
                    </w:rPr>
                    <w:t>3</w:t>
                  </w:r>
                </w:p>
              </w:tc>
              <w:tc>
                <w:tcPr>
                  <w:tcW w:w="1324" w:type="pct"/>
                  <w:vAlign w:val="center"/>
                </w:tcPr>
                <w:p w14:paraId="766526A7">
                  <w:pPr>
                    <w:jc w:val="center"/>
                    <w:rPr>
                      <w:szCs w:val="21"/>
                    </w:rPr>
                  </w:pPr>
                  <w:r>
                    <w:rPr>
                      <w:kern w:val="0"/>
                      <w:szCs w:val="21"/>
                    </w:rPr>
                    <w:t>0.72mX1.2m</w:t>
                  </w:r>
                </w:p>
              </w:tc>
              <w:tc>
                <w:tcPr>
                  <w:tcW w:w="1000" w:type="pct"/>
                  <w:vAlign w:val="center"/>
                </w:tcPr>
                <w:p w14:paraId="41DE3765">
                  <w:pPr>
                    <w:jc w:val="center"/>
                    <w:rPr>
                      <w:szCs w:val="21"/>
                    </w:rPr>
                  </w:pPr>
                  <w:r>
                    <w:rPr>
                      <w:rFonts w:hAnsi="宋体"/>
                      <w:szCs w:val="21"/>
                    </w:rPr>
                    <w:t>裱纸</w:t>
                  </w:r>
                </w:p>
              </w:tc>
            </w:tr>
            <w:tr w14:paraId="2377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6C2B68A2">
                  <w:pPr>
                    <w:jc w:val="center"/>
                    <w:rPr>
                      <w:rFonts w:hAnsi="宋体"/>
                      <w:szCs w:val="21"/>
                    </w:rPr>
                  </w:pPr>
                  <w:r>
                    <w:rPr>
                      <w:rFonts w:hAnsi="宋体"/>
                      <w:szCs w:val="21"/>
                    </w:rPr>
                    <w:t>裱坑机</w:t>
                  </w:r>
                </w:p>
              </w:tc>
              <w:tc>
                <w:tcPr>
                  <w:tcW w:w="893" w:type="pct"/>
                  <w:vAlign w:val="center"/>
                </w:tcPr>
                <w:p w14:paraId="3FFF89AC">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4E0EA7A5">
                  <w:pPr>
                    <w:jc w:val="center"/>
                    <w:rPr>
                      <w:szCs w:val="21"/>
                    </w:rPr>
                  </w:pPr>
                  <w:r>
                    <w:rPr>
                      <w:rFonts w:hint="eastAsia"/>
                      <w:szCs w:val="21"/>
                    </w:rPr>
                    <w:t>1</w:t>
                  </w:r>
                </w:p>
              </w:tc>
              <w:tc>
                <w:tcPr>
                  <w:tcW w:w="1324" w:type="pct"/>
                  <w:vAlign w:val="center"/>
                </w:tcPr>
                <w:p w14:paraId="723043D7">
                  <w:pPr>
                    <w:jc w:val="center"/>
                    <w:rPr>
                      <w:kern w:val="0"/>
                      <w:szCs w:val="21"/>
                    </w:rPr>
                  </w:pPr>
                  <w:r>
                    <w:rPr>
                      <w:rFonts w:hint="eastAsia"/>
                      <w:kern w:val="0"/>
                      <w:szCs w:val="21"/>
                    </w:rPr>
                    <w:t>/</w:t>
                  </w:r>
                </w:p>
              </w:tc>
              <w:tc>
                <w:tcPr>
                  <w:tcW w:w="1000" w:type="pct"/>
                  <w:vAlign w:val="center"/>
                </w:tcPr>
                <w:p w14:paraId="299CCB7B">
                  <w:pPr>
                    <w:jc w:val="center"/>
                    <w:rPr>
                      <w:rFonts w:hAnsi="宋体"/>
                      <w:szCs w:val="21"/>
                    </w:rPr>
                  </w:pPr>
                  <w:r>
                    <w:rPr>
                      <w:rFonts w:hAnsi="宋体"/>
                      <w:szCs w:val="21"/>
                    </w:rPr>
                    <w:t>裱坑</w:t>
                  </w:r>
                </w:p>
              </w:tc>
            </w:tr>
            <w:tr w14:paraId="0463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20403D08">
                  <w:pPr>
                    <w:jc w:val="center"/>
                    <w:rPr>
                      <w:szCs w:val="21"/>
                    </w:rPr>
                  </w:pPr>
                  <w:r>
                    <w:rPr>
                      <w:rFonts w:hAnsi="宋体"/>
                      <w:szCs w:val="21"/>
                    </w:rPr>
                    <w:t>全自动模切机</w:t>
                  </w:r>
                </w:p>
              </w:tc>
              <w:tc>
                <w:tcPr>
                  <w:tcW w:w="893" w:type="pct"/>
                  <w:vAlign w:val="center"/>
                </w:tcPr>
                <w:p w14:paraId="4A217FD6">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0A1DC918">
                  <w:pPr>
                    <w:jc w:val="center"/>
                    <w:rPr>
                      <w:szCs w:val="21"/>
                    </w:rPr>
                  </w:pPr>
                  <w:r>
                    <w:rPr>
                      <w:szCs w:val="21"/>
                    </w:rPr>
                    <w:t>3</w:t>
                  </w:r>
                </w:p>
              </w:tc>
              <w:tc>
                <w:tcPr>
                  <w:tcW w:w="1324" w:type="pct"/>
                  <w:vAlign w:val="center"/>
                </w:tcPr>
                <w:p w14:paraId="7930DDB5">
                  <w:pPr>
                    <w:jc w:val="center"/>
                    <w:rPr>
                      <w:szCs w:val="21"/>
                    </w:rPr>
                  </w:pPr>
                  <w:r>
                    <w:rPr>
                      <w:rFonts w:hint="eastAsia"/>
                      <w:szCs w:val="21"/>
                    </w:rPr>
                    <w:t>/</w:t>
                  </w:r>
                </w:p>
              </w:tc>
              <w:tc>
                <w:tcPr>
                  <w:tcW w:w="1000" w:type="pct"/>
                  <w:vAlign w:val="center"/>
                </w:tcPr>
                <w:p w14:paraId="670D0393">
                  <w:pPr>
                    <w:jc w:val="center"/>
                    <w:rPr>
                      <w:szCs w:val="21"/>
                    </w:rPr>
                  </w:pPr>
                  <w:r>
                    <w:rPr>
                      <w:rFonts w:hAnsi="宋体"/>
                      <w:szCs w:val="21"/>
                    </w:rPr>
                    <w:t>模切</w:t>
                  </w:r>
                </w:p>
              </w:tc>
            </w:tr>
            <w:tr w14:paraId="6F40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40E8C7B2">
                  <w:pPr>
                    <w:jc w:val="center"/>
                    <w:rPr>
                      <w:rFonts w:hAnsi="宋体"/>
                      <w:szCs w:val="21"/>
                    </w:rPr>
                  </w:pPr>
                  <w:r>
                    <w:rPr>
                      <w:rFonts w:hint="eastAsia" w:hAnsi="宋体"/>
                      <w:szCs w:val="21"/>
                    </w:rPr>
                    <w:t>全自动糊</w:t>
                  </w:r>
                  <w:r>
                    <w:rPr>
                      <w:rFonts w:hAnsi="宋体"/>
                      <w:szCs w:val="21"/>
                    </w:rPr>
                    <w:t>盒机</w:t>
                  </w:r>
                </w:p>
              </w:tc>
              <w:tc>
                <w:tcPr>
                  <w:tcW w:w="893" w:type="pct"/>
                  <w:vAlign w:val="center"/>
                </w:tcPr>
                <w:p w14:paraId="18A2E623">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70836B49">
                  <w:pPr>
                    <w:jc w:val="center"/>
                    <w:rPr>
                      <w:szCs w:val="21"/>
                    </w:rPr>
                  </w:pPr>
                  <w:r>
                    <w:rPr>
                      <w:rFonts w:hint="eastAsia"/>
                      <w:szCs w:val="21"/>
                    </w:rPr>
                    <w:t>2</w:t>
                  </w:r>
                </w:p>
              </w:tc>
              <w:tc>
                <w:tcPr>
                  <w:tcW w:w="1324" w:type="pct"/>
                  <w:vAlign w:val="center"/>
                </w:tcPr>
                <w:p w14:paraId="7A033158">
                  <w:pPr>
                    <w:jc w:val="center"/>
                    <w:rPr>
                      <w:szCs w:val="21"/>
                    </w:rPr>
                  </w:pPr>
                  <w:r>
                    <w:rPr>
                      <w:rFonts w:hint="eastAsia"/>
                      <w:szCs w:val="21"/>
                    </w:rPr>
                    <w:t>/</w:t>
                  </w:r>
                </w:p>
              </w:tc>
              <w:tc>
                <w:tcPr>
                  <w:tcW w:w="1000" w:type="pct"/>
                  <w:vAlign w:val="center"/>
                </w:tcPr>
                <w:p w14:paraId="565355F3">
                  <w:pPr>
                    <w:jc w:val="center"/>
                    <w:rPr>
                      <w:szCs w:val="21"/>
                    </w:rPr>
                  </w:pPr>
                  <w:r>
                    <w:rPr>
                      <w:rFonts w:hAnsi="宋体"/>
                      <w:szCs w:val="21"/>
                    </w:rPr>
                    <w:t>贴盒</w:t>
                  </w:r>
                </w:p>
              </w:tc>
            </w:tr>
            <w:tr w14:paraId="355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2E8F03BB">
                  <w:pPr>
                    <w:jc w:val="center"/>
                    <w:rPr>
                      <w:rFonts w:hAnsi="宋体"/>
                      <w:szCs w:val="21"/>
                    </w:rPr>
                  </w:pPr>
                  <w:r>
                    <w:rPr>
                      <w:rFonts w:hint="eastAsia" w:hAnsi="宋体"/>
                      <w:szCs w:val="21"/>
                    </w:rPr>
                    <w:t>折纸机</w:t>
                  </w:r>
                </w:p>
              </w:tc>
              <w:tc>
                <w:tcPr>
                  <w:tcW w:w="893" w:type="pct"/>
                  <w:vAlign w:val="center"/>
                </w:tcPr>
                <w:p w14:paraId="2BD889D0">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5259187A">
                  <w:pPr>
                    <w:jc w:val="center"/>
                    <w:rPr>
                      <w:szCs w:val="21"/>
                    </w:rPr>
                  </w:pPr>
                  <w:r>
                    <w:rPr>
                      <w:rFonts w:hint="eastAsia"/>
                      <w:szCs w:val="21"/>
                    </w:rPr>
                    <w:t>1</w:t>
                  </w:r>
                </w:p>
              </w:tc>
              <w:tc>
                <w:tcPr>
                  <w:tcW w:w="1324" w:type="pct"/>
                  <w:vAlign w:val="center"/>
                </w:tcPr>
                <w:p w14:paraId="6BF0335D">
                  <w:pPr>
                    <w:jc w:val="center"/>
                    <w:rPr>
                      <w:szCs w:val="21"/>
                    </w:rPr>
                  </w:pPr>
                </w:p>
              </w:tc>
              <w:tc>
                <w:tcPr>
                  <w:tcW w:w="1000" w:type="pct"/>
                  <w:vAlign w:val="center"/>
                </w:tcPr>
                <w:p w14:paraId="0DB85F8F">
                  <w:pPr>
                    <w:jc w:val="center"/>
                    <w:rPr>
                      <w:rFonts w:hAnsi="宋体"/>
                      <w:szCs w:val="21"/>
                    </w:rPr>
                  </w:pPr>
                  <w:r>
                    <w:rPr>
                      <w:rFonts w:hint="eastAsia" w:hAnsi="宋体"/>
                      <w:szCs w:val="21"/>
                    </w:rPr>
                    <w:t>折纸</w:t>
                  </w:r>
                </w:p>
              </w:tc>
            </w:tr>
            <w:tr w14:paraId="4B2B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A5DED15">
                  <w:pPr>
                    <w:jc w:val="center"/>
                    <w:rPr>
                      <w:szCs w:val="21"/>
                    </w:rPr>
                  </w:pPr>
                  <w:r>
                    <w:rPr>
                      <w:rFonts w:hint="eastAsia" w:hAnsi="宋体"/>
                      <w:szCs w:val="21"/>
                    </w:rPr>
                    <w:t>包装</w:t>
                  </w:r>
                  <w:r>
                    <w:rPr>
                      <w:rFonts w:hAnsi="宋体"/>
                      <w:szCs w:val="21"/>
                    </w:rPr>
                    <w:t>流水线</w:t>
                  </w:r>
                </w:p>
              </w:tc>
              <w:tc>
                <w:tcPr>
                  <w:tcW w:w="893" w:type="pct"/>
                  <w:vAlign w:val="center"/>
                </w:tcPr>
                <w:p w14:paraId="2867A335">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69E4F6DF">
                  <w:pPr>
                    <w:jc w:val="center"/>
                    <w:rPr>
                      <w:szCs w:val="21"/>
                    </w:rPr>
                  </w:pPr>
                  <w:r>
                    <w:rPr>
                      <w:szCs w:val="21"/>
                    </w:rPr>
                    <w:t>4</w:t>
                  </w:r>
                </w:p>
              </w:tc>
              <w:tc>
                <w:tcPr>
                  <w:tcW w:w="1324" w:type="pct"/>
                  <w:vAlign w:val="center"/>
                </w:tcPr>
                <w:p w14:paraId="0BB49360">
                  <w:pPr>
                    <w:jc w:val="center"/>
                    <w:rPr>
                      <w:szCs w:val="21"/>
                    </w:rPr>
                  </w:pPr>
                  <w:r>
                    <w:rPr>
                      <w:rFonts w:hint="eastAsia"/>
                      <w:szCs w:val="21"/>
                    </w:rPr>
                    <w:t>/</w:t>
                  </w:r>
                </w:p>
              </w:tc>
              <w:tc>
                <w:tcPr>
                  <w:tcW w:w="1000" w:type="pct"/>
                  <w:vAlign w:val="center"/>
                </w:tcPr>
                <w:p w14:paraId="5EA3F195">
                  <w:pPr>
                    <w:jc w:val="center"/>
                    <w:rPr>
                      <w:szCs w:val="21"/>
                    </w:rPr>
                  </w:pPr>
                  <w:r>
                    <w:rPr>
                      <w:rFonts w:hAnsi="宋体"/>
                      <w:szCs w:val="21"/>
                    </w:rPr>
                    <w:t>包装</w:t>
                  </w:r>
                </w:p>
              </w:tc>
            </w:tr>
            <w:tr w14:paraId="3B6C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7314735">
                  <w:pPr>
                    <w:jc w:val="center"/>
                    <w:rPr>
                      <w:rFonts w:hAnsi="宋体"/>
                      <w:szCs w:val="21"/>
                    </w:rPr>
                  </w:pPr>
                  <w:r>
                    <w:rPr>
                      <w:rFonts w:hint="eastAsia" w:hAnsi="宋体"/>
                      <w:szCs w:val="21"/>
                    </w:rPr>
                    <w:t>纸盒打样介稿机</w:t>
                  </w:r>
                </w:p>
              </w:tc>
              <w:tc>
                <w:tcPr>
                  <w:tcW w:w="893" w:type="pct"/>
                  <w:vAlign w:val="center"/>
                </w:tcPr>
                <w:p w14:paraId="4DC4F6E4">
                  <w:pPr>
                    <w:jc w:val="center"/>
                  </w:pPr>
                  <w:r>
                    <w:rPr>
                      <w:rFonts w:hAnsi="宋体"/>
                      <w:szCs w:val="21"/>
                    </w:rPr>
                    <w:t>台</w:t>
                  </w:r>
                  <w:r>
                    <w:rPr>
                      <w:szCs w:val="21"/>
                    </w:rPr>
                    <w:t>/</w:t>
                  </w:r>
                  <w:r>
                    <w:rPr>
                      <w:rFonts w:hAnsi="宋体"/>
                      <w:szCs w:val="21"/>
                    </w:rPr>
                    <w:t>套</w:t>
                  </w:r>
                  <w:r>
                    <w:rPr>
                      <w:szCs w:val="21"/>
                    </w:rPr>
                    <w:t>/</w:t>
                  </w:r>
                  <w:r>
                    <w:rPr>
                      <w:rFonts w:hAnsi="宋体"/>
                      <w:szCs w:val="21"/>
                    </w:rPr>
                    <w:t>条</w:t>
                  </w:r>
                </w:p>
              </w:tc>
              <w:tc>
                <w:tcPr>
                  <w:tcW w:w="783" w:type="pct"/>
                  <w:vAlign w:val="center"/>
                </w:tcPr>
                <w:p w14:paraId="4179BDF9">
                  <w:pPr>
                    <w:jc w:val="center"/>
                    <w:rPr>
                      <w:szCs w:val="21"/>
                    </w:rPr>
                  </w:pPr>
                  <w:r>
                    <w:rPr>
                      <w:rFonts w:hint="eastAsia"/>
                      <w:szCs w:val="21"/>
                    </w:rPr>
                    <w:t>2</w:t>
                  </w:r>
                </w:p>
              </w:tc>
              <w:tc>
                <w:tcPr>
                  <w:tcW w:w="1324" w:type="pct"/>
                  <w:vAlign w:val="center"/>
                </w:tcPr>
                <w:p w14:paraId="1F6BD3C4">
                  <w:pPr>
                    <w:jc w:val="center"/>
                    <w:rPr>
                      <w:szCs w:val="21"/>
                    </w:rPr>
                  </w:pPr>
                  <w:r>
                    <w:rPr>
                      <w:rFonts w:hint="eastAsia"/>
                      <w:szCs w:val="21"/>
                    </w:rPr>
                    <w:t>/</w:t>
                  </w:r>
                </w:p>
              </w:tc>
              <w:tc>
                <w:tcPr>
                  <w:tcW w:w="1000" w:type="pct"/>
                  <w:vAlign w:val="center"/>
                </w:tcPr>
                <w:p w14:paraId="4017F188">
                  <w:pPr>
                    <w:jc w:val="center"/>
                    <w:rPr>
                      <w:rFonts w:hAnsi="宋体"/>
                      <w:szCs w:val="21"/>
                    </w:rPr>
                  </w:pPr>
                  <w:r>
                    <w:rPr>
                      <w:rFonts w:hint="eastAsia" w:hAnsi="宋体"/>
                      <w:szCs w:val="21"/>
                    </w:rPr>
                    <w:t>纸盒打样</w:t>
                  </w:r>
                </w:p>
              </w:tc>
            </w:tr>
            <w:tr w14:paraId="1BF9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9A0CA39">
                  <w:pPr>
                    <w:jc w:val="center"/>
                    <w:rPr>
                      <w:rFonts w:hAnsi="宋体"/>
                      <w:szCs w:val="21"/>
                    </w:rPr>
                  </w:pPr>
                  <w:r>
                    <w:rPr>
                      <w:rFonts w:hint="eastAsia" w:hAnsi="宋体"/>
                      <w:szCs w:val="21"/>
                    </w:rPr>
                    <w:t>其他</w:t>
                  </w:r>
                </w:p>
              </w:tc>
            </w:tr>
            <w:tr w14:paraId="4CFA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25E8023A">
                  <w:pPr>
                    <w:jc w:val="center"/>
                    <w:rPr>
                      <w:rFonts w:hAnsi="宋体"/>
                      <w:szCs w:val="21"/>
                    </w:rPr>
                  </w:pPr>
                  <w:r>
                    <w:rPr>
                      <w:rFonts w:hint="eastAsia" w:hAnsi="宋体"/>
                      <w:szCs w:val="21"/>
                    </w:rPr>
                    <w:t>冷水机组</w:t>
                  </w:r>
                </w:p>
              </w:tc>
              <w:tc>
                <w:tcPr>
                  <w:tcW w:w="893" w:type="pct"/>
                  <w:vAlign w:val="center"/>
                </w:tcPr>
                <w:p w14:paraId="6DACC83D">
                  <w:pPr>
                    <w:pStyle w:val="84"/>
                    <w:spacing w:line="240" w:lineRule="auto"/>
                    <w:ind w:firstLine="0"/>
                    <w:rPr>
                      <w:rFonts w:hAnsi="宋体" w:eastAsia="宋体"/>
                      <w:sz w:val="21"/>
                      <w:szCs w:val="21"/>
                    </w:rPr>
                  </w:pPr>
                  <w:r>
                    <w:rPr>
                      <w:rFonts w:hAnsi="宋体" w:eastAsia="宋体"/>
                      <w:sz w:val="21"/>
                      <w:szCs w:val="21"/>
                    </w:rPr>
                    <w:t>台</w:t>
                  </w:r>
                  <w:r>
                    <w:rPr>
                      <w:rFonts w:eastAsia="宋体"/>
                      <w:sz w:val="21"/>
                      <w:szCs w:val="21"/>
                    </w:rPr>
                    <w:t>/</w:t>
                  </w:r>
                  <w:r>
                    <w:rPr>
                      <w:rFonts w:hAnsi="宋体" w:eastAsia="宋体"/>
                      <w:sz w:val="21"/>
                      <w:szCs w:val="21"/>
                    </w:rPr>
                    <w:t>套</w:t>
                  </w:r>
                  <w:r>
                    <w:rPr>
                      <w:rFonts w:eastAsia="宋体"/>
                      <w:sz w:val="21"/>
                      <w:szCs w:val="21"/>
                    </w:rPr>
                    <w:t>/</w:t>
                  </w:r>
                  <w:r>
                    <w:rPr>
                      <w:rFonts w:hAnsi="宋体" w:eastAsia="宋体"/>
                      <w:sz w:val="21"/>
                      <w:szCs w:val="21"/>
                    </w:rPr>
                    <w:t>条</w:t>
                  </w:r>
                </w:p>
              </w:tc>
              <w:tc>
                <w:tcPr>
                  <w:tcW w:w="783" w:type="pct"/>
                  <w:vAlign w:val="center"/>
                </w:tcPr>
                <w:p w14:paraId="2773B028">
                  <w:pPr>
                    <w:jc w:val="center"/>
                    <w:rPr>
                      <w:szCs w:val="21"/>
                    </w:rPr>
                  </w:pPr>
                  <w:r>
                    <w:rPr>
                      <w:rFonts w:hint="eastAsia"/>
                      <w:szCs w:val="21"/>
                    </w:rPr>
                    <w:t>6</w:t>
                  </w:r>
                </w:p>
              </w:tc>
              <w:tc>
                <w:tcPr>
                  <w:tcW w:w="1324" w:type="pct"/>
                  <w:vAlign w:val="center"/>
                </w:tcPr>
                <w:p w14:paraId="7F330C32">
                  <w:pPr>
                    <w:jc w:val="center"/>
                    <w:rPr>
                      <w:szCs w:val="21"/>
                    </w:rPr>
                  </w:pPr>
                  <w:r>
                    <w:rPr>
                      <w:rFonts w:hint="eastAsia"/>
                      <w:szCs w:val="21"/>
                    </w:rPr>
                    <w:t>/</w:t>
                  </w:r>
                </w:p>
              </w:tc>
              <w:tc>
                <w:tcPr>
                  <w:tcW w:w="1000" w:type="pct"/>
                  <w:vAlign w:val="center"/>
                </w:tcPr>
                <w:p w14:paraId="4E430155">
                  <w:pPr>
                    <w:jc w:val="center"/>
                    <w:rPr>
                      <w:szCs w:val="21"/>
                    </w:rPr>
                  </w:pPr>
                  <w:r>
                    <w:rPr>
                      <w:rFonts w:hint="eastAsia"/>
                      <w:szCs w:val="21"/>
                    </w:rPr>
                    <w:t>/</w:t>
                  </w:r>
                </w:p>
              </w:tc>
            </w:tr>
            <w:tr w14:paraId="6044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A31E85C">
                  <w:pPr>
                    <w:jc w:val="center"/>
                    <w:rPr>
                      <w:rFonts w:hAnsi="宋体"/>
                      <w:szCs w:val="21"/>
                    </w:rPr>
                  </w:pPr>
                  <w:r>
                    <w:rPr>
                      <w:rFonts w:hint="eastAsia" w:hAnsi="宋体"/>
                      <w:szCs w:val="21"/>
                    </w:rPr>
                    <w:t>冷却塔</w:t>
                  </w:r>
                </w:p>
              </w:tc>
              <w:tc>
                <w:tcPr>
                  <w:tcW w:w="893" w:type="pct"/>
                  <w:vAlign w:val="center"/>
                </w:tcPr>
                <w:p w14:paraId="18480428">
                  <w:pPr>
                    <w:pStyle w:val="84"/>
                    <w:spacing w:line="240" w:lineRule="auto"/>
                    <w:ind w:firstLine="0"/>
                    <w:rPr>
                      <w:rFonts w:hAnsi="宋体" w:eastAsia="宋体"/>
                      <w:sz w:val="21"/>
                      <w:szCs w:val="21"/>
                    </w:rPr>
                  </w:pPr>
                  <w:r>
                    <w:rPr>
                      <w:rFonts w:hAnsi="宋体" w:eastAsia="宋体"/>
                      <w:sz w:val="21"/>
                      <w:szCs w:val="21"/>
                    </w:rPr>
                    <w:t>台</w:t>
                  </w:r>
                  <w:r>
                    <w:rPr>
                      <w:rFonts w:eastAsia="宋体"/>
                      <w:sz w:val="21"/>
                      <w:szCs w:val="21"/>
                    </w:rPr>
                    <w:t>/</w:t>
                  </w:r>
                  <w:r>
                    <w:rPr>
                      <w:rFonts w:hAnsi="宋体" w:eastAsia="宋体"/>
                      <w:sz w:val="21"/>
                      <w:szCs w:val="21"/>
                    </w:rPr>
                    <w:t>套</w:t>
                  </w:r>
                  <w:r>
                    <w:rPr>
                      <w:rFonts w:eastAsia="宋体"/>
                      <w:sz w:val="21"/>
                      <w:szCs w:val="21"/>
                    </w:rPr>
                    <w:t>/</w:t>
                  </w:r>
                  <w:r>
                    <w:rPr>
                      <w:rFonts w:hAnsi="宋体" w:eastAsia="宋体"/>
                      <w:sz w:val="21"/>
                      <w:szCs w:val="21"/>
                    </w:rPr>
                    <w:t>条</w:t>
                  </w:r>
                </w:p>
              </w:tc>
              <w:tc>
                <w:tcPr>
                  <w:tcW w:w="783" w:type="pct"/>
                  <w:vAlign w:val="center"/>
                </w:tcPr>
                <w:p w14:paraId="6B3584C6">
                  <w:pPr>
                    <w:jc w:val="center"/>
                    <w:rPr>
                      <w:szCs w:val="21"/>
                    </w:rPr>
                  </w:pPr>
                  <w:r>
                    <w:rPr>
                      <w:rFonts w:hint="eastAsia"/>
                      <w:szCs w:val="21"/>
                    </w:rPr>
                    <w:t>3</w:t>
                  </w:r>
                </w:p>
              </w:tc>
              <w:tc>
                <w:tcPr>
                  <w:tcW w:w="1324" w:type="pct"/>
                  <w:vAlign w:val="center"/>
                </w:tcPr>
                <w:p w14:paraId="143EEDB7">
                  <w:pPr>
                    <w:jc w:val="center"/>
                    <w:rPr>
                      <w:szCs w:val="21"/>
                    </w:rPr>
                  </w:pPr>
                  <w:r>
                    <w:rPr>
                      <w:rFonts w:hint="eastAsia"/>
                      <w:szCs w:val="21"/>
                    </w:rPr>
                    <w:t>/</w:t>
                  </w:r>
                </w:p>
              </w:tc>
              <w:tc>
                <w:tcPr>
                  <w:tcW w:w="1000" w:type="pct"/>
                  <w:vAlign w:val="center"/>
                </w:tcPr>
                <w:p w14:paraId="2EECF0B9">
                  <w:pPr>
                    <w:jc w:val="center"/>
                    <w:rPr>
                      <w:szCs w:val="21"/>
                    </w:rPr>
                  </w:pPr>
                  <w:r>
                    <w:rPr>
                      <w:rFonts w:hint="eastAsia"/>
                      <w:szCs w:val="21"/>
                    </w:rPr>
                    <w:t>/</w:t>
                  </w:r>
                </w:p>
              </w:tc>
            </w:tr>
            <w:tr w14:paraId="6BDE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4FCFFC8E">
                  <w:pPr>
                    <w:jc w:val="center"/>
                    <w:rPr>
                      <w:rFonts w:hAnsi="宋体"/>
                      <w:szCs w:val="21"/>
                    </w:rPr>
                  </w:pPr>
                  <w:r>
                    <w:rPr>
                      <w:rFonts w:hint="eastAsia" w:hAnsi="宋体"/>
                      <w:szCs w:val="21"/>
                    </w:rPr>
                    <w:t>无油螺杆式变频空压机</w:t>
                  </w:r>
                </w:p>
              </w:tc>
              <w:tc>
                <w:tcPr>
                  <w:tcW w:w="893" w:type="pct"/>
                  <w:vAlign w:val="center"/>
                </w:tcPr>
                <w:p w14:paraId="57E49E48">
                  <w:pPr>
                    <w:pStyle w:val="84"/>
                    <w:spacing w:line="240" w:lineRule="auto"/>
                    <w:ind w:firstLine="0"/>
                    <w:rPr>
                      <w:rFonts w:hAnsi="宋体" w:eastAsia="宋体"/>
                      <w:b/>
                      <w:sz w:val="21"/>
                      <w:szCs w:val="21"/>
                    </w:rPr>
                  </w:pPr>
                  <w:r>
                    <w:rPr>
                      <w:rFonts w:hAnsi="宋体" w:eastAsia="宋体"/>
                      <w:sz w:val="21"/>
                      <w:szCs w:val="21"/>
                    </w:rPr>
                    <w:t>台</w:t>
                  </w:r>
                  <w:r>
                    <w:rPr>
                      <w:rFonts w:eastAsia="宋体"/>
                      <w:sz w:val="21"/>
                      <w:szCs w:val="21"/>
                    </w:rPr>
                    <w:t>/</w:t>
                  </w:r>
                  <w:r>
                    <w:rPr>
                      <w:rFonts w:hAnsi="宋体" w:eastAsia="宋体"/>
                      <w:sz w:val="21"/>
                      <w:szCs w:val="21"/>
                    </w:rPr>
                    <w:t>套</w:t>
                  </w:r>
                  <w:r>
                    <w:rPr>
                      <w:rFonts w:eastAsia="宋体"/>
                      <w:sz w:val="21"/>
                      <w:szCs w:val="21"/>
                    </w:rPr>
                    <w:t>/</w:t>
                  </w:r>
                  <w:r>
                    <w:rPr>
                      <w:rFonts w:hAnsi="宋体" w:eastAsia="宋体"/>
                      <w:sz w:val="21"/>
                      <w:szCs w:val="21"/>
                    </w:rPr>
                    <w:t>条</w:t>
                  </w:r>
                </w:p>
              </w:tc>
              <w:tc>
                <w:tcPr>
                  <w:tcW w:w="783" w:type="pct"/>
                  <w:vAlign w:val="center"/>
                </w:tcPr>
                <w:p w14:paraId="71E700D3">
                  <w:pPr>
                    <w:jc w:val="center"/>
                    <w:rPr>
                      <w:szCs w:val="21"/>
                    </w:rPr>
                  </w:pPr>
                  <w:r>
                    <w:rPr>
                      <w:rFonts w:hint="eastAsia"/>
                      <w:szCs w:val="21"/>
                    </w:rPr>
                    <w:t>3</w:t>
                  </w:r>
                </w:p>
              </w:tc>
              <w:tc>
                <w:tcPr>
                  <w:tcW w:w="1324" w:type="pct"/>
                  <w:vAlign w:val="center"/>
                </w:tcPr>
                <w:p w14:paraId="71EC8049">
                  <w:pPr>
                    <w:jc w:val="center"/>
                    <w:rPr>
                      <w:szCs w:val="21"/>
                    </w:rPr>
                  </w:pPr>
                  <w:r>
                    <w:rPr>
                      <w:rFonts w:hint="eastAsia"/>
                      <w:szCs w:val="21"/>
                    </w:rPr>
                    <w:t>/</w:t>
                  </w:r>
                </w:p>
              </w:tc>
              <w:tc>
                <w:tcPr>
                  <w:tcW w:w="1000" w:type="pct"/>
                  <w:vAlign w:val="center"/>
                </w:tcPr>
                <w:p w14:paraId="24A57944">
                  <w:pPr>
                    <w:jc w:val="center"/>
                    <w:rPr>
                      <w:b/>
                      <w:szCs w:val="21"/>
                    </w:rPr>
                  </w:pPr>
                  <w:r>
                    <w:rPr>
                      <w:rFonts w:hint="eastAsia"/>
                      <w:szCs w:val="21"/>
                    </w:rPr>
                    <w:t>为生产提供压缩空气</w:t>
                  </w:r>
                </w:p>
              </w:tc>
            </w:tr>
          </w:tbl>
          <w:p w14:paraId="76B32D97">
            <w:pPr>
              <w:adjustRightInd w:val="0"/>
              <w:snapToGrid w:val="0"/>
              <w:spacing w:line="440" w:lineRule="exact"/>
              <w:rPr>
                <w:b/>
                <w:sz w:val="24"/>
              </w:rPr>
            </w:pPr>
            <w:r>
              <w:rPr>
                <w:rFonts w:hint="eastAsia"/>
                <w:b/>
                <w:bCs/>
                <w:sz w:val="24"/>
              </w:rPr>
              <w:t>2.1.6</w:t>
            </w:r>
            <w:r>
              <w:rPr>
                <w:rFonts w:hint="eastAsia"/>
                <w:b/>
                <w:sz w:val="24"/>
              </w:rPr>
              <w:t>生产节拍及产能核算</w:t>
            </w:r>
          </w:p>
          <w:p w14:paraId="5D026F1D">
            <w:pPr>
              <w:adjustRightInd w:val="0"/>
              <w:snapToGrid w:val="0"/>
              <w:spacing w:line="480" w:lineRule="exact"/>
              <w:ind w:firstLine="480" w:firstLineChars="200"/>
              <w:rPr>
                <w:bCs/>
                <w:sz w:val="24"/>
              </w:rPr>
            </w:pPr>
            <w:r>
              <w:rPr>
                <w:rFonts w:hint="eastAsia"/>
                <w:bCs/>
                <w:sz w:val="24"/>
              </w:rPr>
              <w:t>根据业主提供资料，1台印刷机1小时可印刷10000~12500张纸，项目有3台印刷机，年工作250天，每天工作16小时，则项目产能核算见下表。</w:t>
            </w:r>
          </w:p>
          <w:p w14:paraId="2D07EEF6">
            <w:pPr>
              <w:adjustRightInd w:val="0"/>
              <w:snapToGrid w:val="0"/>
              <w:spacing w:line="440" w:lineRule="exact"/>
              <w:jc w:val="center"/>
              <w:rPr>
                <w:b/>
                <w:bCs/>
                <w:szCs w:val="21"/>
              </w:rPr>
            </w:pPr>
            <w:r>
              <w:rPr>
                <w:rFonts w:hint="eastAsia"/>
                <w:b/>
                <w:bCs/>
                <w:szCs w:val="21"/>
              </w:rPr>
              <w:t>表2.1-4 项目产能核算表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080"/>
              <w:gridCol w:w="2237"/>
              <w:gridCol w:w="1659"/>
              <w:gridCol w:w="1659"/>
            </w:tblGrid>
            <w:tr w14:paraId="1605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B4338EA">
                  <w:pPr>
                    <w:adjustRightInd w:val="0"/>
                    <w:snapToGrid w:val="0"/>
                    <w:spacing w:line="440" w:lineRule="exact"/>
                    <w:jc w:val="center"/>
                    <w:rPr>
                      <w:bCs/>
                      <w:sz w:val="24"/>
                    </w:rPr>
                  </w:pPr>
                  <w:r>
                    <w:rPr>
                      <w:rFonts w:hint="eastAsia"/>
                      <w:bCs/>
                      <w:sz w:val="24"/>
                    </w:rPr>
                    <w:t>设备名称</w:t>
                  </w:r>
                </w:p>
              </w:tc>
              <w:tc>
                <w:tcPr>
                  <w:tcW w:w="651" w:type="pct"/>
                  <w:vAlign w:val="center"/>
                </w:tcPr>
                <w:p w14:paraId="2607D619">
                  <w:pPr>
                    <w:adjustRightInd w:val="0"/>
                    <w:snapToGrid w:val="0"/>
                    <w:spacing w:line="440" w:lineRule="exact"/>
                    <w:jc w:val="center"/>
                    <w:rPr>
                      <w:bCs/>
                      <w:sz w:val="24"/>
                    </w:rPr>
                  </w:pPr>
                  <w:r>
                    <w:rPr>
                      <w:rFonts w:hint="eastAsia"/>
                      <w:bCs/>
                      <w:sz w:val="24"/>
                    </w:rPr>
                    <w:t>数量</w:t>
                  </w:r>
                </w:p>
              </w:tc>
              <w:tc>
                <w:tcPr>
                  <w:tcW w:w="1349" w:type="pct"/>
                  <w:vAlign w:val="center"/>
                </w:tcPr>
                <w:p w14:paraId="178DE600">
                  <w:pPr>
                    <w:adjustRightInd w:val="0"/>
                    <w:snapToGrid w:val="0"/>
                    <w:spacing w:line="440" w:lineRule="exact"/>
                    <w:jc w:val="center"/>
                    <w:rPr>
                      <w:bCs/>
                      <w:sz w:val="24"/>
                    </w:rPr>
                  </w:pPr>
                  <w:r>
                    <w:rPr>
                      <w:rFonts w:hint="eastAsia"/>
                      <w:bCs/>
                      <w:sz w:val="24"/>
                    </w:rPr>
                    <w:t>生产频次</w:t>
                  </w:r>
                </w:p>
              </w:tc>
              <w:tc>
                <w:tcPr>
                  <w:tcW w:w="1000" w:type="pct"/>
                  <w:vAlign w:val="center"/>
                </w:tcPr>
                <w:p w14:paraId="5462F8E5">
                  <w:pPr>
                    <w:adjustRightInd w:val="0"/>
                    <w:snapToGrid w:val="0"/>
                    <w:spacing w:line="440" w:lineRule="exact"/>
                    <w:jc w:val="center"/>
                    <w:rPr>
                      <w:bCs/>
                      <w:sz w:val="24"/>
                    </w:rPr>
                  </w:pPr>
                  <w:r>
                    <w:rPr>
                      <w:rFonts w:hint="eastAsia"/>
                      <w:bCs/>
                      <w:sz w:val="24"/>
                    </w:rPr>
                    <w:t>年生产时间</w:t>
                  </w:r>
                </w:p>
              </w:tc>
              <w:tc>
                <w:tcPr>
                  <w:tcW w:w="1000" w:type="pct"/>
                  <w:vAlign w:val="center"/>
                </w:tcPr>
                <w:p w14:paraId="519C400C">
                  <w:pPr>
                    <w:adjustRightInd w:val="0"/>
                    <w:snapToGrid w:val="0"/>
                    <w:spacing w:line="440" w:lineRule="exact"/>
                    <w:jc w:val="center"/>
                    <w:rPr>
                      <w:bCs/>
                      <w:sz w:val="24"/>
                    </w:rPr>
                  </w:pPr>
                  <w:r>
                    <w:rPr>
                      <w:rFonts w:hint="eastAsia"/>
                      <w:bCs/>
                      <w:sz w:val="24"/>
                    </w:rPr>
                    <w:t>设计产能</w:t>
                  </w:r>
                </w:p>
              </w:tc>
            </w:tr>
            <w:tr w14:paraId="656D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37EB5DC">
                  <w:pPr>
                    <w:adjustRightInd w:val="0"/>
                    <w:snapToGrid w:val="0"/>
                    <w:spacing w:line="440" w:lineRule="exact"/>
                    <w:jc w:val="center"/>
                    <w:rPr>
                      <w:bCs/>
                      <w:sz w:val="24"/>
                    </w:rPr>
                  </w:pPr>
                  <w:r>
                    <w:rPr>
                      <w:rFonts w:hint="eastAsia"/>
                      <w:bCs/>
                      <w:sz w:val="24"/>
                    </w:rPr>
                    <w:t>印刷机</w:t>
                  </w:r>
                </w:p>
              </w:tc>
              <w:tc>
                <w:tcPr>
                  <w:tcW w:w="651" w:type="pct"/>
                  <w:vAlign w:val="center"/>
                </w:tcPr>
                <w:p w14:paraId="6B365929">
                  <w:pPr>
                    <w:adjustRightInd w:val="0"/>
                    <w:snapToGrid w:val="0"/>
                    <w:spacing w:line="440" w:lineRule="exact"/>
                    <w:jc w:val="center"/>
                    <w:rPr>
                      <w:bCs/>
                      <w:sz w:val="24"/>
                    </w:rPr>
                  </w:pPr>
                  <w:r>
                    <w:rPr>
                      <w:rFonts w:hint="eastAsia"/>
                      <w:bCs/>
                      <w:sz w:val="24"/>
                    </w:rPr>
                    <w:t>3台</w:t>
                  </w:r>
                </w:p>
              </w:tc>
              <w:tc>
                <w:tcPr>
                  <w:tcW w:w="1349" w:type="pct"/>
                  <w:vAlign w:val="center"/>
                </w:tcPr>
                <w:p w14:paraId="2880E244">
                  <w:pPr>
                    <w:adjustRightInd w:val="0"/>
                    <w:snapToGrid w:val="0"/>
                    <w:spacing w:line="440" w:lineRule="exact"/>
                    <w:jc w:val="center"/>
                    <w:rPr>
                      <w:bCs/>
                      <w:sz w:val="24"/>
                    </w:rPr>
                  </w:pPr>
                  <w:r>
                    <w:rPr>
                      <w:rFonts w:hint="eastAsia"/>
                      <w:bCs/>
                      <w:sz w:val="24"/>
                    </w:rPr>
                    <w:t>10000~12500张/h</w:t>
                  </w:r>
                </w:p>
              </w:tc>
              <w:tc>
                <w:tcPr>
                  <w:tcW w:w="1000" w:type="pct"/>
                  <w:vAlign w:val="center"/>
                </w:tcPr>
                <w:p w14:paraId="2DF804EE">
                  <w:pPr>
                    <w:adjustRightInd w:val="0"/>
                    <w:snapToGrid w:val="0"/>
                    <w:spacing w:line="440" w:lineRule="exact"/>
                    <w:jc w:val="center"/>
                    <w:rPr>
                      <w:bCs/>
                      <w:sz w:val="24"/>
                    </w:rPr>
                  </w:pPr>
                  <w:r>
                    <w:rPr>
                      <w:rFonts w:hint="eastAsia"/>
                      <w:bCs/>
                      <w:sz w:val="24"/>
                    </w:rPr>
                    <w:t>4000h</w:t>
                  </w:r>
                </w:p>
              </w:tc>
              <w:tc>
                <w:tcPr>
                  <w:tcW w:w="1000" w:type="pct"/>
                  <w:vAlign w:val="center"/>
                </w:tcPr>
                <w:p w14:paraId="32329BF6">
                  <w:pPr>
                    <w:adjustRightInd w:val="0"/>
                    <w:snapToGrid w:val="0"/>
                    <w:spacing w:line="440" w:lineRule="exact"/>
                    <w:jc w:val="center"/>
                    <w:rPr>
                      <w:bCs/>
                      <w:sz w:val="24"/>
                    </w:rPr>
                  </w:pPr>
                  <w:r>
                    <w:rPr>
                      <w:rFonts w:hint="eastAsia"/>
                      <w:bCs/>
                      <w:sz w:val="24"/>
                    </w:rPr>
                    <w:t>12000万件/a</w:t>
                  </w:r>
                </w:p>
              </w:tc>
            </w:tr>
            <w:tr w14:paraId="71ED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A7B8F17">
                  <w:pPr>
                    <w:adjustRightInd w:val="0"/>
                    <w:snapToGrid w:val="0"/>
                    <w:jc w:val="left"/>
                    <w:rPr>
                      <w:b/>
                      <w:bCs/>
                      <w:szCs w:val="21"/>
                    </w:rPr>
                  </w:pPr>
                  <w:r>
                    <w:rPr>
                      <w:rFonts w:hint="eastAsia"/>
                      <w:b/>
                      <w:bCs/>
                      <w:szCs w:val="21"/>
                    </w:rPr>
                    <w:t>备注：因产品尺寸规格不同，1~1.25张纸可做1件产品（包括纸制品玩具、包装盒、说明书）</w:t>
                  </w:r>
                </w:p>
              </w:tc>
            </w:tr>
          </w:tbl>
          <w:p w14:paraId="41DFD05E">
            <w:pPr>
              <w:adjustRightInd w:val="0"/>
              <w:snapToGrid w:val="0"/>
              <w:spacing w:line="440" w:lineRule="exact"/>
              <w:rPr>
                <w:b/>
                <w:sz w:val="24"/>
              </w:rPr>
            </w:pPr>
            <w:r>
              <w:rPr>
                <w:rFonts w:hint="eastAsia"/>
                <w:b/>
                <w:bCs/>
                <w:sz w:val="24"/>
              </w:rPr>
              <w:t>2.1.7</w:t>
            </w:r>
            <w:r>
              <w:rPr>
                <w:b/>
                <w:sz w:val="24"/>
              </w:rPr>
              <w:t>给排水</w:t>
            </w:r>
          </w:p>
          <w:p w14:paraId="1D4E6D15">
            <w:pPr>
              <w:adjustRightInd w:val="0"/>
              <w:snapToGrid w:val="0"/>
              <w:spacing w:line="480" w:lineRule="exact"/>
              <w:ind w:firstLine="482" w:firstLineChars="200"/>
              <w:rPr>
                <w:b/>
                <w:bCs/>
                <w:sz w:val="24"/>
              </w:rPr>
            </w:pPr>
            <w:r>
              <w:rPr>
                <w:rFonts w:hAnsi="宋体"/>
                <w:b/>
                <w:bCs/>
                <w:sz w:val="24"/>
              </w:rPr>
              <w:t>（</w:t>
            </w:r>
            <w:r>
              <w:rPr>
                <w:rFonts w:hint="eastAsia"/>
                <w:b/>
                <w:bCs/>
                <w:sz w:val="24"/>
              </w:rPr>
              <w:t>一</w:t>
            </w:r>
            <w:r>
              <w:rPr>
                <w:rFonts w:hAnsi="宋体"/>
                <w:b/>
                <w:bCs/>
                <w:sz w:val="24"/>
              </w:rPr>
              <w:t>）</w:t>
            </w:r>
            <w:r>
              <w:rPr>
                <w:b/>
                <w:bCs/>
                <w:sz w:val="24"/>
              </w:rPr>
              <w:t xml:space="preserve"> </w:t>
            </w:r>
            <w:r>
              <w:rPr>
                <w:rFonts w:hAnsi="宋体"/>
                <w:b/>
                <w:bCs/>
                <w:sz w:val="24"/>
              </w:rPr>
              <w:t>给水</w:t>
            </w:r>
          </w:p>
          <w:p w14:paraId="7C43A55C">
            <w:pPr>
              <w:spacing w:line="480" w:lineRule="exact"/>
              <w:ind w:firstLine="480" w:firstLineChars="200"/>
              <w:rPr>
                <w:sz w:val="24"/>
              </w:rPr>
            </w:pPr>
            <w:r>
              <w:rPr>
                <w:rFonts w:hint="eastAsia"/>
                <w:bCs/>
                <w:sz w:val="24"/>
              </w:rPr>
              <w:t>拟建项目供水系统依托厂区现有市政供水管网，给水经水表计量后就近由拟建项目室外给水主管引入供给，能够满足拟建项目需要。</w:t>
            </w:r>
          </w:p>
          <w:p w14:paraId="219B19CC">
            <w:pPr>
              <w:adjustRightInd w:val="0"/>
              <w:snapToGrid w:val="0"/>
              <w:spacing w:line="440" w:lineRule="exact"/>
              <w:ind w:firstLine="482" w:firstLineChars="200"/>
              <w:rPr>
                <w:b/>
                <w:bCs/>
                <w:sz w:val="24"/>
              </w:rPr>
            </w:pPr>
            <w:r>
              <w:rPr>
                <w:rFonts w:hint="eastAsia" w:ascii="宋体" w:hAnsi="宋体" w:cs="宋体"/>
                <w:b/>
                <w:bCs/>
                <w:sz w:val="24"/>
              </w:rPr>
              <w:t>（二）</w:t>
            </w:r>
            <w:r>
              <w:rPr>
                <w:b/>
                <w:bCs/>
                <w:sz w:val="24"/>
              </w:rPr>
              <w:t>排水</w:t>
            </w:r>
          </w:p>
          <w:p w14:paraId="201E5BBD">
            <w:pPr>
              <w:adjustRightInd w:val="0"/>
              <w:snapToGrid w:val="0"/>
              <w:spacing w:line="440" w:lineRule="exact"/>
              <w:ind w:firstLine="480" w:firstLineChars="200"/>
              <w:rPr>
                <w:bCs/>
                <w:sz w:val="24"/>
              </w:rPr>
            </w:pPr>
            <w:r>
              <w:rPr>
                <w:bCs/>
                <w:sz w:val="24"/>
              </w:rPr>
              <w:t>本项目采用雨污分流排水制。雨水经雨水管网收集后，排入市政雨水管网。</w:t>
            </w:r>
          </w:p>
          <w:p w14:paraId="15FC6C8A">
            <w:pPr>
              <w:adjustRightInd w:val="0"/>
              <w:snapToGrid w:val="0"/>
              <w:spacing w:line="480" w:lineRule="exact"/>
              <w:ind w:firstLine="480" w:firstLineChars="200"/>
              <w:rPr>
                <w:bCs/>
                <w:sz w:val="24"/>
                <w:highlight w:val="yellow"/>
              </w:rPr>
            </w:pPr>
            <w:r>
              <w:rPr>
                <w:bCs/>
                <w:sz w:val="24"/>
              </w:rPr>
              <w:t>本项目</w:t>
            </w:r>
            <w:r>
              <w:rPr>
                <w:rFonts w:hint="eastAsia" w:hAnsi="宋体"/>
                <w:kern w:val="0"/>
                <w:sz w:val="24"/>
              </w:rPr>
              <w:t>食堂废水经隔油池处理后同员工</w:t>
            </w:r>
            <w:r>
              <w:rPr>
                <w:rFonts w:hAnsi="宋体"/>
                <w:kern w:val="0"/>
                <w:sz w:val="24"/>
              </w:rPr>
              <w:t>生活污水、地面清洁废水</w:t>
            </w:r>
            <w:r>
              <w:rPr>
                <w:rFonts w:hint="eastAsia" w:hAnsi="宋体"/>
                <w:kern w:val="0"/>
                <w:sz w:val="24"/>
              </w:rPr>
              <w:t>一并进入厂区</w:t>
            </w:r>
            <w:r>
              <w:rPr>
                <w:rFonts w:hAnsi="宋体"/>
                <w:kern w:val="0"/>
                <w:sz w:val="24"/>
              </w:rPr>
              <w:t>生化池处理达《污水综合排放标准》（</w:t>
            </w:r>
            <w:r>
              <w:rPr>
                <w:kern w:val="0"/>
                <w:sz w:val="24"/>
              </w:rPr>
              <w:t>GB8978-1996</w:t>
            </w:r>
            <w:r>
              <w:rPr>
                <w:rFonts w:hAnsi="宋体"/>
                <w:kern w:val="0"/>
                <w:sz w:val="24"/>
              </w:rPr>
              <w:t>）三级标准后，排入园区污水管网，经</w:t>
            </w:r>
            <w:r>
              <w:rPr>
                <w:rFonts w:hint="eastAsia" w:hAnsi="宋体"/>
                <w:kern w:val="0"/>
                <w:sz w:val="24"/>
              </w:rPr>
              <w:t>李渡大耍坝污水处理厂</w:t>
            </w:r>
            <w:r>
              <w:rPr>
                <w:rFonts w:hAnsi="宋体"/>
                <w:kern w:val="0"/>
                <w:sz w:val="24"/>
              </w:rPr>
              <w:t>处理达《城镇污水处理厂污染物排放标准》</w:t>
            </w:r>
            <w:r>
              <w:rPr>
                <w:kern w:val="0"/>
                <w:sz w:val="24"/>
              </w:rPr>
              <w:t>(GB18918-2002)</w:t>
            </w:r>
            <w:r>
              <w:rPr>
                <w:rFonts w:hAnsi="宋体"/>
                <w:kern w:val="0"/>
                <w:sz w:val="24"/>
              </w:rPr>
              <w:t>中的一级</w:t>
            </w:r>
            <w:r>
              <w:rPr>
                <w:rFonts w:hint="eastAsia"/>
                <w:kern w:val="0"/>
                <w:sz w:val="24"/>
              </w:rPr>
              <w:t>B</w:t>
            </w:r>
            <w:r>
              <w:rPr>
                <w:rFonts w:hAnsi="宋体"/>
                <w:kern w:val="0"/>
                <w:sz w:val="24"/>
              </w:rPr>
              <w:t>标准后</w:t>
            </w:r>
            <w:r>
              <w:rPr>
                <w:rFonts w:hint="eastAsia" w:hAnsi="宋体"/>
                <w:kern w:val="0"/>
                <w:sz w:val="24"/>
              </w:rPr>
              <w:t>排入长江。</w:t>
            </w:r>
          </w:p>
          <w:p w14:paraId="4F865F9C">
            <w:pPr>
              <w:adjustRightInd w:val="0"/>
              <w:snapToGrid w:val="0"/>
              <w:spacing w:line="480" w:lineRule="exact"/>
              <w:ind w:firstLine="482" w:firstLineChars="200"/>
              <w:rPr>
                <w:b/>
                <w:bCs/>
                <w:sz w:val="24"/>
              </w:rPr>
            </w:pPr>
            <w:r>
              <w:rPr>
                <w:rFonts w:hAnsi="宋体"/>
                <w:b/>
                <w:bCs/>
                <w:sz w:val="24"/>
              </w:rPr>
              <w:t>（</w:t>
            </w:r>
            <w:r>
              <w:rPr>
                <w:rFonts w:hint="eastAsia"/>
                <w:b/>
                <w:bCs/>
                <w:sz w:val="24"/>
              </w:rPr>
              <w:t>三</w:t>
            </w:r>
            <w:r>
              <w:rPr>
                <w:rFonts w:hAnsi="宋体"/>
                <w:b/>
                <w:bCs/>
                <w:sz w:val="24"/>
              </w:rPr>
              <w:t>）给排水核定</w:t>
            </w:r>
          </w:p>
          <w:p w14:paraId="393D16F9">
            <w:pPr>
              <w:snapToGrid w:val="0"/>
              <w:spacing w:line="480" w:lineRule="exact"/>
              <w:ind w:firstLine="480" w:firstLineChars="200"/>
              <w:rPr>
                <w:bCs/>
                <w:sz w:val="24"/>
              </w:rPr>
            </w:pPr>
            <w:r>
              <w:rPr>
                <w:rFonts w:hint="eastAsia"/>
                <w:bCs/>
                <w:sz w:val="24"/>
              </w:rPr>
              <w:t>项目生产过程用水主要为员工生活用水、餐饮用水和地面清洁用水。项目用排水情况如下：</w:t>
            </w:r>
          </w:p>
          <w:p w14:paraId="43DC8AE7">
            <w:pPr>
              <w:snapToGrid w:val="0"/>
              <w:spacing w:line="480" w:lineRule="exact"/>
              <w:ind w:firstLine="480" w:firstLineChars="200"/>
              <w:rPr>
                <w:rFonts w:ascii="Calibri" w:hAnsi="Calibri" w:cs="Calibri"/>
                <w:bCs/>
                <w:sz w:val="24"/>
              </w:rPr>
            </w:pPr>
            <w:r>
              <w:rPr>
                <w:rFonts w:hint="eastAsia" w:ascii="Calibri" w:hAnsi="Calibri" w:cs="Calibri"/>
                <w:bCs/>
                <w:sz w:val="24"/>
              </w:rPr>
              <w:t>（1）生活用水</w:t>
            </w:r>
          </w:p>
          <w:p w14:paraId="55D6DC6E">
            <w:pPr>
              <w:adjustRightInd w:val="0"/>
              <w:snapToGrid w:val="0"/>
              <w:spacing w:line="480" w:lineRule="exact"/>
              <w:ind w:firstLine="480" w:firstLineChars="200"/>
              <w:jc w:val="left"/>
              <w:rPr>
                <w:sz w:val="24"/>
              </w:rPr>
            </w:pPr>
            <w:r>
              <w:rPr>
                <w:rFonts w:hint="eastAsia"/>
                <w:bCs/>
                <w:sz w:val="24"/>
              </w:rPr>
              <w:t>①员工生活用水：</w:t>
            </w:r>
            <w:r>
              <w:rPr>
                <w:rFonts w:hint="eastAsia"/>
                <w:sz w:val="24"/>
              </w:rPr>
              <w:t>拟建项目全厂劳动定员1000人，不提供住宿。根据《重庆市城市生活用水定额（2017年修订版）》（渝水[2018]66号）以及《建筑给排水设计规范》（GB50015-2010），非住宿员工按50L/人</w:t>
            </w:r>
            <w:r>
              <w:rPr>
                <w:rFonts w:hint="eastAsia" w:ascii="宋体" w:hAnsi="宋体"/>
                <w:sz w:val="24"/>
              </w:rPr>
              <w:t>﹒</w:t>
            </w:r>
            <w:r>
              <w:rPr>
                <w:rFonts w:hint="eastAsia"/>
                <w:sz w:val="24"/>
              </w:rPr>
              <w:t>d计，则员工生活用水量约为50m</w:t>
            </w:r>
            <w:r>
              <w:rPr>
                <w:rFonts w:hint="eastAsia"/>
                <w:sz w:val="24"/>
                <w:vertAlign w:val="superscript"/>
              </w:rPr>
              <w:t>3</w:t>
            </w:r>
            <w:r>
              <w:rPr>
                <w:rFonts w:hint="eastAsia"/>
                <w:sz w:val="24"/>
              </w:rPr>
              <w:t>/d，全年运营250天，则年用水量为12500m</w:t>
            </w:r>
            <w:r>
              <w:rPr>
                <w:rFonts w:hint="eastAsia"/>
                <w:sz w:val="24"/>
                <w:vertAlign w:val="superscript"/>
              </w:rPr>
              <w:t>3</w:t>
            </w:r>
            <w:r>
              <w:rPr>
                <w:rFonts w:hint="eastAsia"/>
                <w:sz w:val="24"/>
              </w:rPr>
              <w:t>/a，排污系数按0.9计，员工生活污水排放量为45m</w:t>
            </w:r>
            <w:r>
              <w:rPr>
                <w:rFonts w:hint="eastAsia"/>
                <w:sz w:val="24"/>
                <w:vertAlign w:val="superscript"/>
              </w:rPr>
              <w:t>3</w:t>
            </w:r>
            <w:r>
              <w:rPr>
                <w:rFonts w:hint="eastAsia"/>
                <w:sz w:val="24"/>
              </w:rPr>
              <w:t>/d（11250m</w:t>
            </w:r>
            <w:r>
              <w:rPr>
                <w:rFonts w:hint="eastAsia"/>
                <w:sz w:val="24"/>
                <w:vertAlign w:val="superscript"/>
              </w:rPr>
              <w:t>3</w:t>
            </w:r>
            <w:r>
              <w:rPr>
                <w:rFonts w:hint="eastAsia"/>
                <w:sz w:val="24"/>
              </w:rPr>
              <w:t>/a），员工生活污水排入厂区生化池</w:t>
            </w:r>
            <w:r>
              <w:rPr>
                <w:rFonts w:hAnsi="宋体"/>
                <w:sz w:val="24"/>
              </w:rPr>
              <w:t>。</w:t>
            </w:r>
          </w:p>
          <w:p w14:paraId="7DBD4680">
            <w:pPr>
              <w:adjustRightInd w:val="0"/>
              <w:snapToGrid w:val="0"/>
              <w:spacing w:line="480" w:lineRule="exact"/>
              <w:ind w:firstLine="480" w:firstLineChars="200"/>
              <w:jc w:val="left"/>
              <w:rPr>
                <w:sz w:val="24"/>
              </w:rPr>
            </w:pPr>
            <w:r>
              <w:rPr>
                <w:rFonts w:hint="eastAsia"/>
                <w:bCs/>
                <w:sz w:val="24"/>
              </w:rPr>
              <w:t>②餐饮用水：</w:t>
            </w:r>
            <w:r>
              <w:rPr>
                <w:rFonts w:hint="eastAsia" w:hAnsi="宋体"/>
                <w:sz w:val="24"/>
              </w:rPr>
              <w:t>拟建项目劳动定员10</w:t>
            </w:r>
            <w:r>
              <w:rPr>
                <w:rFonts w:hAnsi="宋体"/>
                <w:sz w:val="24"/>
              </w:rPr>
              <w:t>00</w:t>
            </w:r>
            <w:r>
              <w:rPr>
                <w:rFonts w:hint="eastAsia" w:hAnsi="宋体"/>
                <w:sz w:val="24"/>
              </w:rPr>
              <w:t>人，食堂提供三餐，类比同类型项目，食堂用水定额按5</w:t>
            </w:r>
            <w:r>
              <w:rPr>
                <w:sz w:val="24"/>
              </w:rPr>
              <w:t>0L/</w:t>
            </w:r>
            <w:r>
              <w:rPr>
                <w:rFonts w:hint="eastAsia"/>
                <w:sz w:val="24"/>
              </w:rPr>
              <w:t>人·d</w:t>
            </w:r>
            <w:r>
              <w:rPr>
                <w:rFonts w:hAnsi="宋体"/>
                <w:sz w:val="24"/>
              </w:rPr>
              <w:t>，则食堂用水量为</w:t>
            </w:r>
            <w:r>
              <w:rPr>
                <w:rFonts w:hint="eastAsia"/>
                <w:sz w:val="24"/>
              </w:rPr>
              <w:t>50</w:t>
            </w:r>
            <w:r>
              <w:rPr>
                <w:sz w:val="24"/>
              </w:rPr>
              <w:t>m</w:t>
            </w:r>
            <w:r>
              <w:rPr>
                <w:sz w:val="24"/>
                <w:vertAlign w:val="superscript"/>
              </w:rPr>
              <w:t>3</w:t>
            </w:r>
            <w:r>
              <w:rPr>
                <w:sz w:val="24"/>
              </w:rPr>
              <w:t>/d</w:t>
            </w:r>
            <w:r>
              <w:rPr>
                <w:rFonts w:hAnsi="宋体"/>
                <w:sz w:val="24"/>
              </w:rPr>
              <w:t>（</w:t>
            </w:r>
            <w:r>
              <w:rPr>
                <w:rFonts w:hint="eastAsia"/>
                <w:sz w:val="24"/>
              </w:rPr>
              <w:t>12500</w:t>
            </w:r>
            <w:r>
              <w:rPr>
                <w:sz w:val="24"/>
              </w:rPr>
              <w:t>m</w:t>
            </w:r>
            <w:r>
              <w:rPr>
                <w:sz w:val="24"/>
                <w:vertAlign w:val="superscript"/>
              </w:rPr>
              <w:t>3</w:t>
            </w:r>
            <w:r>
              <w:rPr>
                <w:sz w:val="24"/>
              </w:rPr>
              <w:t>/a</w:t>
            </w:r>
            <w:r>
              <w:rPr>
                <w:rFonts w:hAnsi="宋体"/>
                <w:sz w:val="24"/>
              </w:rPr>
              <w:t>），排污系数按</w:t>
            </w:r>
            <w:r>
              <w:rPr>
                <w:sz w:val="24"/>
              </w:rPr>
              <w:t>0.9</w:t>
            </w:r>
            <w:r>
              <w:rPr>
                <w:rFonts w:hAnsi="宋体"/>
                <w:sz w:val="24"/>
              </w:rPr>
              <w:t>计，则废水产生量为</w:t>
            </w:r>
            <w:r>
              <w:rPr>
                <w:rFonts w:hint="eastAsia"/>
                <w:sz w:val="24"/>
              </w:rPr>
              <w:t>45</w:t>
            </w:r>
            <w:r>
              <w:rPr>
                <w:sz w:val="24"/>
              </w:rPr>
              <w:t>m</w:t>
            </w:r>
            <w:r>
              <w:rPr>
                <w:sz w:val="24"/>
                <w:vertAlign w:val="superscript"/>
              </w:rPr>
              <w:t>3</w:t>
            </w:r>
            <w:r>
              <w:rPr>
                <w:sz w:val="24"/>
              </w:rPr>
              <w:t>/d</w:t>
            </w:r>
            <w:r>
              <w:rPr>
                <w:rFonts w:hAnsi="宋体"/>
                <w:sz w:val="24"/>
              </w:rPr>
              <w:t>（</w:t>
            </w:r>
            <w:r>
              <w:rPr>
                <w:rFonts w:hint="eastAsia"/>
                <w:sz w:val="24"/>
              </w:rPr>
              <w:t>11250</w:t>
            </w:r>
            <w:r>
              <w:rPr>
                <w:sz w:val="24"/>
              </w:rPr>
              <w:t>m</w:t>
            </w:r>
            <w:r>
              <w:rPr>
                <w:sz w:val="24"/>
                <w:vertAlign w:val="superscript"/>
              </w:rPr>
              <w:t>3</w:t>
            </w:r>
            <w:r>
              <w:rPr>
                <w:sz w:val="24"/>
              </w:rPr>
              <w:t>/a</w:t>
            </w:r>
            <w:r>
              <w:rPr>
                <w:rFonts w:hAnsi="宋体"/>
                <w:sz w:val="24"/>
              </w:rPr>
              <w:t>）</w:t>
            </w:r>
            <w:r>
              <w:rPr>
                <w:rFonts w:hint="eastAsia"/>
                <w:sz w:val="24"/>
              </w:rPr>
              <w:t>，餐饮废水经隔油池处理后排入厂区生化池。</w:t>
            </w:r>
          </w:p>
          <w:p w14:paraId="63F57BBB">
            <w:pPr>
              <w:snapToGrid w:val="0"/>
              <w:spacing w:line="480" w:lineRule="exact"/>
              <w:ind w:firstLine="480" w:firstLineChars="200"/>
              <w:rPr>
                <w:bCs/>
                <w:sz w:val="24"/>
              </w:rPr>
            </w:pPr>
            <w:r>
              <w:rPr>
                <w:rFonts w:hint="eastAsia"/>
                <w:bCs/>
                <w:sz w:val="24"/>
              </w:rPr>
              <w:t>（2）地面清洁用水</w:t>
            </w:r>
          </w:p>
          <w:p w14:paraId="2119E3CD">
            <w:pPr>
              <w:adjustRightInd w:val="0"/>
              <w:snapToGrid w:val="0"/>
              <w:spacing w:line="480" w:lineRule="exact"/>
              <w:ind w:firstLine="480" w:firstLineChars="200"/>
              <w:jc w:val="left"/>
              <w:rPr>
                <w:rFonts w:hAnsi="宋体"/>
                <w:sz w:val="24"/>
              </w:rPr>
            </w:pPr>
            <w:r>
              <w:rPr>
                <w:rFonts w:hint="eastAsia" w:hAnsi="宋体"/>
                <w:sz w:val="24"/>
              </w:rPr>
              <w:t>项目厂房地面不进行冲洗，主要采用拖帕和扫帚进行清洁。每周清洁1次，</w:t>
            </w:r>
            <w:r>
              <w:rPr>
                <w:rFonts w:hAnsi="宋体"/>
                <w:bCs/>
                <w:sz w:val="24"/>
              </w:rPr>
              <w:t>用水定额</w:t>
            </w:r>
            <w:r>
              <w:rPr>
                <w:bCs/>
                <w:sz w:val="24"/>
              </w:rPr>
              <w:t>0.5L/m</w:t>
            </w:r>
            <w:r>
              <w:rPr>
                <w:bCs/>
                <w:sz w:val="24"/>
                <w:vertAlign w:val="superscript"/>
              </w:rPr>
              <w:t>2</w:t>
            </w:r>
            <w:r>
              <w:rPr>
                <w:bCs/>
                <w:sz w:val="24"/>
              </w:rPr>
              <w:t>·</w:t>
            </w:r>
            <w:r>
              <w:rPr>
                <w:rFonts w:hAnsi="宋体"/>
                <w:bCs/>
                <w:sz w:val="24"/>
              </w:rPr>
              <w:t>次</w:t>
            </w:r>
            <w:r>
              <w:rPr>
                <w:rFonts w:hint="eastAsia" w:hAnsi="宋体"/>
                <w:sz w:val="24"/>
              </w:rPr>
              <w:t>，年拖地次数约52次，清洁厂房面积约24000m</w:t>
            </w:r>
            <w:r>
              <w:rPr>
                <w:rFonts w:hint="eastAsia" w:hAnsi="宋体"/>
                <w:sz w:val="24"/>
                <w:vertAlign w:val="superscript"/>
              </w:rPr>
              <w:t>2</w:t>
            </w:r>
            <w:r>
              <w:rPr>
                <w:rFonts w:hint="eastAsia" w:hAnsi="宋体"/>
                <w:sz w:val="24"/>
              </w:rPr>
              <w:t>，则车间地面清洁用水量为624m</w:t>
            </w:r>
            <w:r>
              <w:rPr>
                <w:rFonts w:hint="eastAsia" w:hAnsi="宋体"/>
                <w:sz w:val="24"/>
                <w:vertAlign w:val="superscript"/>
              </w:rPr>
              <w:t>3</w:t>
            </w:r>
            <w:r>
              <w:rPr>
                <w:rFonts w:hint="eastAsia" w:hAnsi="宋体"/>
                <w:sz w:val="24"/>
              </w:rPr>
              <w:t>/a（折合2.08 m</w:t>
            </w:r>
            <w:r>
              <w:rPr>
                <w:rFonts w:hint="eastAsia" w:hAnsi="宋体"/>
                <w:sz w:val="24"/>
                <w:vertAlign w:val="superscript"/>
              </w:rPr>
              <w:t>3</w:t>
            </w:r>
            <w:r>
              <w:rPr>
                <w:rFonts w:hint="eastAsia" w:hAnsi="宋体"/>
                <w:sz w:val="24"/>
              </w:rPr>
              <w:t>/d），折污系数取0.9，废水排放量为561.6 m</w:t>
            </w:r>
            <w:r>
              <w:rPr>
                <w:rFonts w:hint="eastAsia" w:hAnsi="宋体"/>
                <w:sz w:val="24"/>
                <w:vertAlign w:val="superscript"/>
              </w:rPr>
              <w:t>3</w:t>
            </w:r>
            <w:r>
              <w:rPr>
                <w:rFonts w:hint="eastAsia" w:hAnsi="宋体"/>
                <w:sz w:val="24"/>
              </w:rPr>
              <w:t>/a（折合1.872m</w:t>
            </w:r>
            <w:r>
              <w:rPr>
                <w:rFonts w:hint="eastAsia" w:hAnsi="宋体"/>
                <w:sz w:val="24"/>
                <w:vertAlign w:val="superscript"/>
              </w:rPr>
              <w:t>3</w:t>
            </w:r>
            <w:r>
              <w:rPr>
                <w:rFonts w:hint="eastAsia" w:hAnsi="宋体"/>
                <w:sz w:val="24"/>
              </w:rPr>
              <w:t>/d），地面清洁废水排入厂区生化池。</w:t>
            </w:r>
          </w:p>
          <w:p w14:paraId="5FC81FCF">
            <w:pPr>
              <w:spacing w:line="480" w:lineRule="exact"/>
              <w:ind w:firstLine="480" w:firstLineChars="200"/>
              <w:rPr>
                <w:kern w:val="0"/>
                <w:sz w:val="24"/>
              </w:rPr>
            </w:pPr>
            <w:r>
              <w:rPr>
                <w:rFonts w:hAnsi="宋体"/>
                <w:kern w:val="0"/>
                <w:sz w:val="24"/>
              </w:rPr>
              <w:t>（</w:t>
            </w:r>
            <w:r>
              <w:rPr>
                <w:rFonts w:hint="eastAsia"/>
                <w:kern w:val="0"/>
                <w:sz w:val="24"/>
              </w:rPr>
              <w:t>3</w:t>
            </w:r>
            <w:r>
              <w:rPr>
                <w:rFonts w:hAnsi="宋体"/>
                <w:kern w:val="0"/>
                <w:sz w:val="24"/>
              </w:rPr>
              <w:t>）循环冷却水系统排污水</w:t>
            </w:r>
          </w:p>
          <w:p w14:paraId="68DDF82E">
            <w:pPr>
              <w:pStyle w:val="132"/>
              <w:spacing w:line="480" w:lineRule="exact"/>
              <w:ind w:firstLine="480"/>
              <w:rPr>
                <w:sz w:val="24"/>
                <w:szCs w:val="24"/>
              </w:rPr>
            </w:pPr>
            <w:r>
              <w:rPr>
                <w:rFonts w:hAnsi="宋体"/>
                <w:bCs w:val="0"/>
                <w:sz w:val="24"/>
                <w:szCs w:val="24"/>
              </w:rPr>
              <w:t>项目动力中心设置循环冷却水系统，冷却塔循环水量</w:t>
            </w:r>
            <w:r>
              <w:rPr>
                <w:rFonts w:hint="eastAsia"/>
                <w:bCs w:val="0"/>
                <w:sz w:val="24"/>
                <w:szCs w:val="24"/>
              </w:rPr>
              <w:t>54</w:t>
            </w:r>
            <w:r>
              <w:rPr>
                <w:bCs w:val="0"/>
                <w:sz w:val="24"/>
                <w:szCs w:val="24"/>
              </w:rPr>
              <w:t>m</w:t>
            </w:r>
            <w:r>
              <w:rPr>
                <w:bCs w:val="0"/>
                <w:sz w:val="24"/>
                <w:szCs w:val="24"/>
                <w:vertAlign w:val="superscript"/>
              </w:rPr>
              <w:t>3</w:t>
            </w:r>
            <w:r>
              <w:rPr>
                <w:bCs w:val="0"/>
                <w:sz w:val="24"/>
                <w:szCs w:val="24"/>
              </w:rPr>
              <w:t>/h</w:t>
            </w:r>
            <w:r>
              <w:rPr>
                <w:rFonts w:hAnsi="宋体"/>
                <w:bCs w:val="0"/>
                <w:sz w:val="24"/>
                <w:szCs w:val="24"/>
              </w:rPr>
              <w:t>，</w:t>
            </w:r>
            <w:r>
              <w:rPr>
                <w:rFonts w:hAnsi="宋体"/>
                <w:sz w:val="24"/>
                <w:szCs w:val="24"/>
              </w:rPr>
              <w:t>每天运行</w:t>
            </w:r>
            <w:r>
              <w:rPr>
                <w:sz w:val="24"/>
                <w:szCs w:val="24"/>
              </w:rPr>
              <w:t>2</w:t>
            </w:r>
            <w:r>
              <w:rPr>
                <w:rFonts w:hint="eastAsia"/>
                <w:sz w:val="24"/>
                <w:szCs w:val="24"/>
              </w:rPr>
              <w:t>0</w:t>
            </w:r>
            <w:r>
              <w:rPr>
                <w:sz w:val="24"/>
                <w:szCs w:val="24"/>
              </w:rPr>
              <w:t>h</w:t>
            </w:r>
            <w:r>
              <w:rPr>
                <w:rFonts w:hAnsi="宋体"/>
                <w:sz w:val="24"/>
                <w:szCs w:val="24"/>
              </w:rPr>
              <w:t>，循环水在冷却及管道输送过程中存在风吹损失、蒸发损失以及管路漏损等，为保证循环系统水量平衡，需进行水量补充，补水采用自来水，冷却水补充水量按冷却循环水量的</w:t>
            </w:r>
            <w:r>
              <w:rPr>
                <w:sz w:val="24"/>
                <w:szCs w:val="24"/>
              </w:rPr>
              <w:t>1%</w:t>
            </w:r>
            <w:r>
              <w:rPr>
                <w:rFonts w:hAnsi="宋体"/>
                <w:sz w:val="24"/>
                <w:szCs w:val="24"/>
              </w:rPr>
              <w:t>计，其中</w:t>
            </w:r>
            <w:r>
              <w:rPr>
                <w:sz w:val="24"/>
                <w:szCs w:val="24"/>
              </w:rPr>
              <w:t xml:space="preserve"> 0.2%</w:t>
            </w:r>
            <w:r>
              <w:rPr>
                <w:rFonts w:hAnsi="宋体"/>
                <w:sz w:val="24"/>
                <w:szCs w:val="24"/>
              </w:rPr>
              <w:t>为排污损耗补充水，</w:t>
            </w:r>
            <w:r>
              <w:rPr>
                <w:sz w:val="24"/>
                <w:szCs w:val="24"/>
              </w:rPr>
              <w:t>0.8%</w:t>
            </w:r>
            <w:r>
              <w:rPr>
                <w:rFonts w:hAnsi="宋体"/>
                <w:sz w:val="24"/>
                <w:szCs w:val="24"/>
              </w:rPr>
              <w:t>为蒸发损耗补充水，则补充水量为</w:t>
            </w:r>
            <w:r>
              <w:rPr>
                <w:rFonts w:hint="eastAsia"/>
                <w:sz w:val="24"/>
                <w:szCs w:val="24"/>
              </w:rPr>
              <w:t>0.54</w:t>
            </w:r>
            <w:r>
              <w:rPr>
                <w:sz w:val="24"/>
                <w:szCs w:val="24"/>
              </w:rPr>
              <w:t>m³/h</w:t>
            </w:r>
            <w:r>
              <w:rPr>
                <w:rFonts w:hAnsi="宋体"/>
                <w:sz w:val="24"/>
                <w:szCs w:val="24"/>
              </w:rPr>
              <w:t>（</w:t>
            </w:r>
            <w:r>
              <w:rPr>
                <w:rFonts w:hint="eastAsia"/>
                <w:sz w:val="24"/>
                <w:szCs w:val="24"/>
              </w:rPr>
              <w:t>10.8</w:t>
            </w:r>
            <w:r>
              <w:rPr>
                <w:sz w:val="24"/>
                <w:szCs w:val="24"/>
              </w:rPr>
              <w:t>m³/d</w:t>
            </w:r>
            <w:r>
              <w:rPr>
                <w:rFonts w:hAnsi="宋体"/>
                <w:sz w:val="24"/>
                <w:szCs w:val="24"/>
              </w:rPr>
              <w:t>）；循环排水量为</w:t>
            </w:r>
            <w:r>
              <w:rPr>
                <w:rFonts w:hint="eastAsia"/>
                <w:sz w:val="24"/>
                <w:szCs w:val="24"/>
              </w:rPr>
              <w:t>2.16</w:t>
            </w:r>
            <w:r>
              <w:rPr>
                <w:sz w:val="24"/>
                <w:szCs w:val="24"/>
              </w:rPr>
              <w:t>m</w:t>
            </w:r>
            <w:r>
              <w:rPr>
                <w:sz w:val="24"/>
                <w:szCs w:val="24"/>
                <w:vertAlign w:val="superscript"/>
              </w:rPr>
              <w:t>3</w:t>
            </w:r>
            <w:r>
              <w:rPr>
                <w:sz w:val="24"/>
                <w:szCs w:val="24"/>
              </w:rPr>
              <w:t>/d</w:t>
            </w:r>
            <w:r>
              <w:rPr>
                <w:rFonts w:hAnsi="宋体"/>
                <w:sz w:val="24"/>
                <w:szCs w:val="24"/>
              </w:rPr>
              <w:t>（</w:t>
            </w:r>
            <w:r>
              <w:rPr>
                <w:rFonts w:hint="eastAsia"/>
                <w:sz w:val="24"/>
                <w:szCs w:val="24"/>
              </w:rPr>
              <w:t>540</w:t>
            </w:r>
            <w:r>
              <w:rPr>
                <w:sz w:val="24"/>
                <w:szCs w:val="24"/>
              </w:rPr>
              <w:t>m</w:t>
            </w:r>
            <w:r>
              <w:rPr>
                <w:sz w:val="24"/>
                <w:szCs w:val="24"/>
                <w:vertAlign w:val="superscript"/>
              </w:rPr>
              <w:t>3</w:t>
            </w:r>
            <w:r>
              <w:rPr>
                <w:sz w:val="24"/>
                <w:szCs w:val="24"/>
              </w:rPr>
              <w:t>/a</w:t>
            </w:r>
            <w:r>
              <w:rPr>
                <w:rFonts w:hAnsi="宋体"/>
                <w:sz w:val="24"/>
                <w:szCs w:val="24"/>
              </w:rPr>
              <w:t>）。循环冷却水</w:t>
            </w:r>
            <w:r>
              <w:rPr>
                <w:rFonts w:hAnsi="宋体"/>
                <w:bCs w:val="0"/>
                <w:sz w:val="24"/>
                <w:szCs w:val="24"/>
              </w:rPr>
              <w:t>定期加入无磷除垢剂进行除垢，</w:t>
            </w:r>
            <w:r>
              <w:rPr>
                <w:rFonts w:hAnsi="宋体"/>
                <w:sz w:val="24"/>
                <w:szCs w:val="24"/>
              </w:rPr>
              <w:t>排污水排至厂区</w:t>
            </w:r>
            <w:r>
              <w:rPr>
                <w:rFonts w:hint="eastAsia" w:hAnsi="宋体"/>
                <w:sz w:val="24"/>
                <w:szCs w:val="24"/>
              </w:rPr>
              <w:t>生化池</w:t>
            </w:r>
            <w:r>
              <w:rPr>
                <w:rFonts w:hAnsi="宋体"/>
                <w:sz w:val="24"/>
                <w:szCs w:val="24"/>
              </w:rPr>
              <w:t>。</w:t>
            </w:r>
          </w:p>
          <w:p w14:paraId="2FD25B16">
            <w:pPr>
              <w:snapToGrid w:val="0"/>
              <w:spacing w:line="480" w:lineRule="exact"/>
              <w:ind w:firstLine="480" w:firstLineChars="200"/>
              <w:rPr>
                <w:bCs/>
                <w:sz w:val="24"/>
              </w:rPr>
            </w:pPr>
            <w:r>
              <w:rPr>
                <w:bCs/>
                <w:sz w:val="24"/>
              </w:rPr>
              <w:t>本项目给、排水情况见表2.1-</w:t>
            </w:r>
            <w:r>
              <w:rPr>
                <w:rFonts w:hint="eastAsia"/>
                <w:bCs/>
                <w:sz w:val="24"/>
              </w:rPr>
              <w:t>3</w:t>
            </w:r>
            <w:r>
              <w:rPr>
                <w:bCs/>
                <w:sz w:val="24"/>
              </w:rPr>
              <w:t>。</w:t>
            </w:r>
          </w:p>
          <w:p w14:paraId="52E9CEB8">
            <w:pPr>
              <w:snapToGrid w:val="0"/>
              <w:spacing w:line="440" w:lineRule="exact"/>
              <w:ind w:firstLine="422" w:firstLineChars="200"/>
              <w:jc w:val="center"/>
              <w:rPr>
                <w:b/>
                <w:bCs/>
                <w:szCs w:val="21"/>
              </w:rPr>
            </w:pPr>
            <w:r>
              <w:rPr>
                <w:b/>
                <w:bCs/>
                <w:snapToGrid w:val="0"/>
                <w:kern w:val="0"/>
                <w:szCs w:val="21"/>
              </w:rPr>
              <w:t>表2.1-</w:t>
            </w:r>
            <w:r>
              <w:rPr>
                <w:rFonts w:hint="eastAsia"/>
                <w:b/>
                <w:bCs/>
                <w:snapToGrid w:val="0"/>
                <w:kern w:val="0"/>
                <w:szCs w:val="21"/>
              </w:rPr>
              <w:t>3</w:t>
            </w:r>
            <w:r>
              <w:rPr>
                <w:b/>
                <w:bCs/>
                <w:snapToGrid w:val="0"/>
                <w:kern w:val="0"/>
                <w:szCs w:val="21"/>
              </w:rPr>
              <w:t xml:space="preserve">  本项目给、排水核算表</w:t>
            </w:r>
          </w:p>
          <w:tbl>
            <w:tblPr>
              <w:tblStyle w:val="2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228"/>
              <w:gridCol w:w="1208"/>
              <w:gridCol w:w="1023"/>
              <w:gridCol w:w="992"/>
              <w:gridCol w:w="1276"/>
              <w:gridCol w:w="922"/>
            </w:tblGrid>
            <w:tr w14:paraId="1A34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644" w:type="dxa"/>
                  <w:vMerge w:val="restart"/>
                  <w:vAlign w:val="center"/>
                </w:tcPr>
                <w:p w14:paraId="12198227">
                  <w:pPr>
                    <w:snapToGrid w:val="0"/>
                    <w:jc w:val="center"/>
                    <w:rPr>
                      <w:bCs/>
                      <w:snapToGrid w:val="0"/>
                      <w:kern w:val="0"/>
                      <w:szCs w:val="21"/>
                    </w:rPr>
                  </w:pPr>
                  <w:r>
                    <w:rPr>
                      <w:rFonts w:hAnsi="宋体"/>
                      <w:bCs/>
                      <w:snapToGrid w:val="0"/>
                      <w:kern w:val="0"/>
                      <w:szCs w:val="21"/>
                    </w:rPr>
                    <w:t>用水单位</w:t>
                  </w:r>
                </w:p>
              </w:tc>
              <w:tc>
                <w:tcPr>
                  <w:tcW w:w="1228" w:type="dxa"/>
                  <w:vMerge w:val="restart"/>
                  <w:vAlign w:val="center"/>
                </w:tcPr>
                <w:p w14:paraId="16E15E33">
                  <w:pPr>
                    <w:snapToGrid w:val="0"/>
                    <w:jc w:val="center"/>
                    <w:rPr>
                      <w:bCs/>
                      <w:snapToGrid w:val="0"/>
                      <w:kern w:val="0"/>
                      <w:szCs w:val="21"/>
                    </w:rPr>
                  </w:pPr>
                  <w:r>
                    <w:rPr>
                      <w:rFonts w:hAnsi="宋体"/>
                      <w:bCs/>
                      <w:snapToGrid w:val="0"/>
                      <w:kern w:val="0"/>
                      <w:szCs w:val="21"/>
                    </w:rPr>
                    <w:t>用水</w:t>
                  </w:r>
                  <w:r>
                    <w:rPr>
                      <w:rFonts w:hint="eastAsia" w:hAnsi="宋体"/>
                      <w:bCs/>
                      <w:snapToGrid w:val="0"/>
                      <w:kern w:val="0"/>
                      <w:szCs w:val="21"/>
                    </w:rPr>
                    <w:t>标准</w:t>
                  </w:r>
                </w:p>
              </w:tc>
              <w:tc>
                <w:tcPr>
                  <w:tcW w:w="1208" w:type="dxa"/>
                  <w:vMerge w:val="restart"/>
                  <w:vAlign w:val="center"/>
                </w:tcPr>
                <w:p w14:paraId="08B3BB9F">
                  <w:pPr>
                    <w:snapToGrid w:val="0"/>
                    <w:jc w:val="center"/>
                    <w:rPr>
                      <w:bCs/>
                      <w:snapToGrid w:val="0"/>
                      <w:kern w:val="0"/>
                      <w:szCs w:val="21"/>
                    </w:rPr>
                  </w:pPr>
                  <w:r>
                    <w:rPr>
                      <w:rFonts w:hAnsi="宋体"/>
                      <w:bCs/>
                      <w:snapToGrid w:val="0"/>
                      <w:kern w:val="0"/>
                      <w:szCs w:val="21"/>
                    </w:rPr>
                    <w:t>用水规模</w:t>
                  </w:r>
                </w:p>
              </w:tc>
              <w:tc>
                <w:tcPr>
                  <w:tcW w:w="2015" w:type="dxa"/>
                  <w:gridSpan w:val="2"/>
                  <w:vAlign w:val="center"/>
                </w:tcPr>
                <w:p w14:paraId="4B7D589B">
                  <w:pPr>
                    <w:snapToGrid w:val="0"/>
                    <w:jc w:val="center"/>
                    <w:rPr>
                      <w:bCs/>
                      <w:snapToGrid w:val="0"/>
                      <w:kern w:val="0"/>
                      <w:szCs w:val="21"/>
                    </w:rPr>
                  </w:pPr>
                  <w:r>
                    <w:rPr>
                      <w:rFonts w:hAnsi="宋体"/>
                      <w:bCs/>
                      <w:snapToGrid w:val="0"/>
                      <w:kern w:val="0"/>
                      <w:szCs w:val="21"/>
                    </w:rPr>
                    <w:t>用水量</w:t>
                  </w:r>
                </w:p>
              </w:tc>
              <w:tc>
                <w:tcPr>
                  <w:tcW w:w="2198" w:type="dxa"/>
                  <w:gridSpan w:val="2"/>
                  <w:vAlign w:val="center"/>
                </w:tcPr>
                <w:p w14:paraId="2F1AE9AB">
                  <w:pPr>
                    <w:snapToGrid w:val="0"/>
                    <w:jc w:val="center"/>
                    <w:rPr>
                      <w:bCs/>
                      <w:snapToGrid w:val="0"/>
                      <w:kern w:val="0"/>
                      <w:szCs w:val="21"/>
                    </w:rPr>
                  </w:pPr>
                  <w:r>
                    <w:rPr>
                      <w:rFonts w:hAnsi="宋体"/>
                      <w:bCs/>
                      <w:snapToGrid w:val="0"/>
                      <w:kern w:val="0"/>
                      <w:szCs w:val="21"/>
                    </w:rPr>
                    <w:t>排水量</w:t>
                  </w:r>
                </w:p>
              </w:tc>
            </w:tr>
            <w:tr w14:paraId="0450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644" w:type="dxa"/>
                  <w:vMerge w:val="continue"/>
                  <w:vAlign w:val="center"/>
                </w:tcPr>
                <w:p w14:paraId="492840AB">
                  <w:pPr>
                    <w:snapToGrid w:val="0"/>
                    <w:jc w:val="center"/>
                    <w:rPr>
                      <w:bCs/>
                      <w:snapToGrid w:val="0"/>
                      <w:kern w:val="0"/>
                      <w:szCs w:val="21"/>
                    </w:rPr>
                  </w:pPr>
                </w:p>
              </w:tc>
              <w:tc>
                <w:tcPr>
                  <w:tcW w:w="1228" w:type="dxa"/>
                  <w:vMerge w:val="continue"/>
                  <w:vAlign w:val="center"/>
                </w:tcPr>
                <w:p w14:paraId="434CE359">
                  <w:pPr>
                    <w:snapToGrid w:val="0"/>
                    <w:jc w:val="center"/>
                    <w:rPr>
                      <w:bCs/>
                      <w:snapToGrid w:val="0"/>
                      <w:kern w:val="0"/>
                      <w:szCs w:val="21"/>
                    </w:rPr>
                  </w:pPr>
                </w:p>
              </w:tc>
              <w:tc>
                <w:tcPr>
                  <w:tcW w:w="1208" w:type="dxa"/>
                  <w:vMerge w:val="continue"/>
                  <w:vAlign w:val="center"/>
                </w:tcPr>
                <w:p w14:paraId="10A4F7A8">
                  <w:pPr>
                    <w:snapToGrid w:val="0"/>
                    <w:jc w:val="center"/>
                    <w:rPr>
                      <w:bCs/>
                      <w:snapToGrid w:val="0"/>
                      <w:kern w:val="0"/>
                      <w:szCs w:val="21"/>
                    </w:rPr>
                  </w:pPr>
                </w:p>
              </w:tc>
              <w:tc>
                <w:tcPr>
                  <w:tcW w:w="1023" w:type="dxa"/>
                  <w:vAlign w:val="center"/>
                </w:tcPr>
                <w:p w14:paraId="4DFA816B">
                  <w:pPr>
                    <w:snapToGrid w:val="0"/>
                    <w:jc w:val="center"/>
                    <w:rPr>
                      <w:bCs/>
                      <w:snapToGrid w:val="0"/>
                      <w:kern w:val="0"/>
                      <w:szCs w:val="21"/>
                    </w:rPr>
                  </w:pPr>
                  <w:r>
                    <w:rPr>
                      <w:bCs/>
                      <w:snapToGrid w:val="0"/>
                      <w:kern w:val="0"/>
                      <w:szCs w:val="21"/>
                    </w:rPr>
                    <w:t>m</w:t>
                  </w:r>
                  <w:r>
                    <w:rPr>
                      <w:bCs/>
                      <w:snapToGrid w:val="0"/>
                      <w:kern w:val="0"/>
                      <w:szCs w:val="21"/>
                      <w:vertAlign w:val="superscript"/>
                    </w:rPr>
                    <w:t>3</w:t>
                  </w:r>
                  <w:r>
                    <w:rPr>
                      <w:bCs/>
                      <w:snapToGrid w:val="0"/>
                      <w:kern w:val="0"/>
                      <w:szCs w:val="21"/>
                    </w:rPr>
                    <w:t>/d</w:t>
                  </w:r>
                </w:p>
              </w:tc>
              <w:tc>
                <w:tcPr>
                  <w:tcW w:w="992" w:type="dxa"/>
                  <w:vAlign w:val="center"/>
                </w:tcPr>
                <w:p w14:paraId="03BF531D">
                  <w:pPr>
                    <w:snapToGrid w:val="0"/>
                    <w:jc w:val="center"/>
                    <w:rPr>
                      <w:bCs/>
                      <w:snapToGrid w:val="0"/>
                      <w:kern w:val="0"/>
                      <w:szCs w:val="21"/>
                    </w:rPr>
                  </w:pPr>
                  <w:r>
                    <w:rPr>
                      <w:bCs/>
                      <w:snapToGrid w:val="0"/>
                      <w:kern w:val="0"/>
                      <w:szCs w:val="21"/>
                    </w:rPr>
                    <w:t>m</w:t>
                  </w:r>
                  <w:r>
                    <w:rPr>
                      <w:bCs/>
                      <w:snapToGrid w:val="0"/>
                      <w:kern w:val="0"/>
                      <w:szCs w:val="21"/>
                      <w:vertAlign w:val="superscript"/>
                    </w:rPr>
                    <w:t>3</w:t>
                  </w:r>
                  <w:r>
                    <w:rPr>
                      <w:bCs/>
                      <w:snapToGrid w:val="0"/>
                      <w:kern w:val="0"/>
                      <w:szCs w:val="21"/>
                    </w:rPr>
                    <w:t>/a</w:t>
                  </w:r>
                </w:p>
              </w:tc>
              <w:tc>
                <w:tcPr>
                  <w:tcW w:w="1276" w:type="dxa"/>
                  <w:vAlign w:val="center"/>
                </w:tcPr>
                <w:p w14:paraId="3F31E4B1">
                  <w:pPr>
                    <w:snapToGrid w:val="0"/>
                    <w:jc w:val="center"/>
                    <w:rPr>
                      <w:bCs/>
                      <w:snapToGrid w:val="0"/>
                      <w:kern w:val="0"/>
                      <w:szCs w:val="21"/>
                    </w:rPr>
                  </w:pPr>
                  <w:r>
                    <w:rPr>
                      <w:bCs/>
                      <w:snapToGrid w:val="0"/>
                      <w:kern w:val="0"/>
                      <w:szCs w:val="21"/>
                    </w:rPr>
                    <w:t>m</w:t>
                  </w:r>
                  <w:r>
                    <w:rPr>
                      <w:bCs/>
                      <w:snapToGrid w:val="0"/>
                      <w:kern w:val="0"/>
                      <w:szCs w:val="21"/>
                      <w:vertAlign w:val="superscript"/>
                    </w:rPr>
                    <w:t>3</w:t>
                  </w:r>
                  <w:r>
                    <w:rPr>
                      <w:bCs/>
                      <w:snapToGrid w:val="0"/>
                      <w:kern w:val="0"/>
                      <w:szCs w:val="21"/>
                    </w:rPr>
                    <w:t>/d</w:t>
                  </w:r>
                </w:p>
              </w:tc>
              <w:tc>
                <w:tcPr>
                  <w:tcW w:w="922" w:type="dxa"/>
                  <w:vAlign w:val="center"/>
                </w:tcPr>
                <w:p w14:paraId="46A4DF69">
                  <w:pPr>
                    <w:snapToGrid w:val="0"/>
                    <w:jc w:val="center"/>
                    <w:rPr>
                      <w:bCs/>
                      <w:snapToGrid w:val="0"/>
                      <w:kern w:val="0"/>
                      <w:szCs w:val="21"/>
                    </w:rPr>
                  </w:pPr>
                  <w:r>
                    <w:rPr>
                      <w:bCs/>
                      <w:snapToGrid w:val="0"/>
                      <w:kern w:val="0"/>
                      <w:szCs w:val="21"/>
                    </w:rPr>
                    <w:t>m</w:t>
                  </w:r>
                  <w:r>
                    <w:rPr>
                      <w:bCs/>
                      <w:snapToGrid w:val="0"/>
                      <w:kern w:val="0"/>
                      <w:szCs w:val="21"/>
                      <w:vertAlign w:val="superscript"/>
                    </w:rPr>
                    <w:t>3</w:t>
                  </w:r>
                  <w:r>
                    <w:rPr>
                      <w:bCs/>
                      <w:snapToGrid w:val="0"/>
                      <w:kern w:val="0"/>
                      <w:szCs w:val="21"/>
                    </w:rPr>
                    <w:t>/a</w:t>
                  </w:r>
                </w:p>
              </w:tc>
            </w:tr>
            <w:tr w14:paraId="3824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44" w:type="dxa"/>
                  <w:vAlign w:val="center"/>
                </w:tcPr>
                <w:p w14:paraId="20A772F3">
                  <w:pPr>
                    <w:snapToGrid w:val="0"/>
                    <w:jc w:val="center"/>
                    <w:rPr>
                      <w:bCs/>
                      <w:snapToGrid w:val="0"/>
                      <w:kern w:val="0"/>
                      <w:szCs w:val="21"/>
                    </w:rPr>
                  </w:pPr>
                  <w:r>
                    <w:rPr>
                      <w:rFonts w:hint="eastAsia" w:hAnsi="宋体"/>
                      <w:bCs/>
                      <w:snapToGrid w:val="0"/>
                      <w:kern w:val="0"/>
                      <w:szCs w:val="21"/>
                    </w:rPr>
                    <w:t>员工生活用水</w:t>
                  </w:r>
                </w:p>
              </w:tc>
              <w:tc>
                <w:tcPr>
                  <w:tcW w:w="1228" w:type="dxa"/>
                  <w:vAlign w:val="center"/>
                </w:tcPr>
                <w:p w14:paraId="5E9F64AE">
                  <w:pPr>
                    <w:snapToGrid w:val="0"/>
                    <w:jc w:val="center"/>
                    <w:rPr>
                      <w:bCs/>
                      <w:snapToGrid w:val="0"/>
                      <w:kern w:val="0"/>
                      <w:szCs w:val="21"/>
                    </w:rPr>
                  </w:pPr>
                  <w:r>
                    <w:rPr>
                      <w:rFonts w:hint="eastAsia"/>
                      <w:szCs w:val="21"/>
                    </w:rPr>
                    <w:t>50</w:t>
                  </w:r>
                  <w:r>
                    <w:rPr>
                      <w:szCs w:val="21"/>
                    </w:rPr>
                    <w:t>L/</w:t>
                  </w:r>
                  <w:r>
                    <w:rPr>
                      <w:rFonts w:hint="eastAsia"/>
                      <w:szCs w:val="21"/>
                    </w:rPr>
                    <w:t>人·d</w:t>
                  </w:r>
                </w:p>
              </w:tc>
              <w:tc>
                <w:tcPr>
                  <w:tcW w:w="1208" w:type="dxa"/>
                  <w:vAlign w:val="center"/>
                </w:tcPr>
                <w:p w14:paraId="5CC2FF49">
                  <w:pPr>
                    <w:snapToGrid w:val="0"/>
                    <w:jc w:val="center"/>
                    <w:rPr>
                      <w:bCs/>
                      <w:snapToGrid w:val="0"/>
                      <w:kern w:val="0"/>
                      <w:szCs w:val="21"/>
                    </w:rPr>
                  </w:pPr>
                  <w:r>
                    <w:rPr>
                      <w:rFonts w:hint="eastAsia"/>
                      <w:bCs/>
                      <w:snapToGrid w:val="0"/>
                      <w:kern w:val="0"/>
                      <w:szCs w:val="21"/>
                    </w:rPr>
                    <w:t>1000人</w:t>
                  </w:r>
                </w:p>
              </w:tc>
              <w:tc>
                <w:tcPr>
                  <w:tcW w:w="1023" w:type="dxa"/>
                  <w:vAlign w:val="center"/>
                </w:tcPr>
                <w:p w14:paraId="77B79415">
                  <w:pPr>
                    <w:snapToGrid w:val="0"/>
                    <w:jc w:val="center"/>
                    <w:rPr>
                      <w:bCs/>
                      <w:snapToGrid w:val="0"/>
                      <w:kern w:val="0"/>
                      <w:szCs w:val="21"/>
                    </w:rPr>
                  </w:pPr>
                  <w:r>
                    <w:rPr>
                      <w:rFonts w:hint="eastAsia"/>
                      <w:bCs/>
                      <w:snapToGrid w:val="0"/>
                      <w:kern w:val="0"/>
                      <w:szCs w:val="21"/>
                    </w:rPr>
                    <w:t>50</w:t>
                  </w:r>
                </w:p>
              </w:tc>
              <w:tc>
                <w:tcPr>
                  <w:tcW w:w="992" w:type="dxa"/>
                  <w:vAlign w:val="center"/>
                </w:tcPr>
                <w:p w14:paraId="00D9FA67">
                  <w:pPr>
                    <w:snapToGrid w:val="0"/>
                    <w:jc w:val="center"/>
                    <w:rPr>
                      <w:bCs/>
                      <w:snapToGrid w:val="0"/>
                      <w:kern w:val="0"/>
                      <w:szCs w:val="21"/>
                    </w:rPr>
                  </w:pPr>
                  <w:r>
                    <w:rPr>
                      <w:rFonts w:hint="eastAsia"/>
                      <w:bCs/>
                      <w:snapToGrid w:val="0"/>
                      <w:kern w:val="0"/>
                      <w:szCs w:val="21"/>
                    </w:rPr>
                    <w:t>12500</w:t>
                  </w:r>
                </w:p>
              </w:tc>
              <w:tc>
                <w:tcPr>
                  <w:tcW w:w="1276" w:type="dxa"/>
                  <w:vAlign w:val="center"/>
                </w:tcPr>
                <w:p w14:paraId="17958661">
                  <w:pPr>
                    <w:snapToGrid w:val="0"/>
                    <w:jc w:val="center"/>
                    <w:rPr>
                      <w:bCs/>
                      <w:snapToGrid w:val="0"/>
                      <w:kern w:val="0"/>
                      <w:szCs w:val="21"/>
                    </w:rPr>
                  </w:pPr>
                  <w:r>
                    <w:rPr>
                      <w:rFonts w:hint="eastAsia"/>
                      <w:bCs/>
                      <w:snapToGrid w:val="0"/>
                      <w:kern w:val="0"/>
                      <w:szCs w:val="21"/>
                    </w:rPr>
                    <w:t>45</w:t>
                  </w:r>
                </w:p>
              </w:tc>
              <w:tc>
                <w:tcPr>
                  <w:tcW w:w="922" w:type="dxa"/>
                  <w:vAlign w:val="center"/>
                </w:tcPr>
                <w:p w14:paraId="62C69156">
                  <w:pPr>
                    <w:snapToGrid w:val="0"/>
                    <w:jc w:val="center"/>
                    <w:rPr>
                      <w:bCs/>
                      <w:snapToGrid w:val="0"/>
                      <w:kern w:val="0"/>
                      <w:szCs w:val="21"/>
                    </w:rPr>
                  </w:pPr>
                  <w:r>
                    <w:rPr>
                      <w:rFonts w:hint="eastAsia"/>
                      <w:bCs/>
                      <w:snapToGrid w:val="0"/>
                      <w:kern w:val="0"/>
                      <w:szCs w:val="21"/>
                    </w:rPr>
                    <w:t>11250</w:t>
                  </w:r>
                </w:p>
              </w:tc>
            </w:tr>
            <w:tr w14:paraId="5246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44" w:type="dxa"/>
                  <w:vAlign w:val="center"/>
                </w:tcPr>
                <w:p w14:paraId="30ABA3A2">
                  <w:pPr>
                    <w:snapToGrid w:val="0"/>
                    <w:jc w:val="center"/>
                    <w:rPr>
                      <w:bCs/>
                      <w:snapToGrid w:val="0"/>
                      <w:kern w:val="0"/>
                      <w:szCs w:val="21"/>
                    </w:rPr>
                  </w:pPr>
                  <w:r>
                    <w:rPr>
                      <w:rFonts w:hint="eastAsia" w:hAnsi="宋体"/>
                      <w:bCs/>
                      <w:snapToGrid w:val="0"/>
                      <w:kern w:val="0"/>
                      <w:szCs w:val="21"/>
                    </w:rPr>
                    <w:t>食堂用水</w:t>
                  </w:r>
                </w:p>
              </w:tc>
              <w:tc>
                <w:tcPr>
                  <w:tcW w:w="1228" w:type="dxa"/>
                  <w:vAlign w:val="center"/>
                </w:tcPr>
                <w:p w14:paraId="413A6389">
                  <w:pPr>
                    <w:pStyle w:val="106"/>
                    <w:rPr>
                      <w:szCs w:val="21"/>
                    </w:rPr>
                  </w:pPr>
                  <w:r>
                    <w:rPr>
                      <w:rFonts w:hint="eastAsia" w:hAnsi="宋体"/>
                      <w:szCs w:val="21"/>
                    </w:rPr>
                    <w:t>5</w:t>
                  </w:r>
                  <w:r>
                    <w:rPr>
                      <w:szCs w:val="21"/>
                    </w:rPr>
                    <w:t>0L/</w:t>
                  </w:r>
                  <w:r>
                    <w:rPr>
                      <w:rFonts w:hint="eastAsia"/>
                      <w:szCs w:val="21"/>
                    </w:rPr>
                    <w:t>人·d</w:t>
                  </w:r>
                </w:p>
              </w:tc>
              <w:tc>
                <w:tcPr>
                  <w:tcW w:w="1208" w:type="dxa"/>
                  <w:vAlign w:val="center"/>
                </w:tcPr>
                <w:p w14:paraId="5621BC79">
                  <w:pPr>
                    <w:snapToGrid w:val="0"/>
                    <w:jc w:val="center"/>
                    <w:rPr>
                      <w:bCs/>
                      <w:snapToGrid w:val="0"/>
                      <w:kern w:val="0"/>
                      <w:szCs w:val="21"/>
                    </w:rPr>
                  </w:pPr>
                  <w:r>
                    <w:rPr>
                      <w:rFonts w:hint="eastAsia"/>
                      <w:bCs/>
                      <w:snapToGrid w:val="0"/>
                      <w:kern w:val="0"/>
                      <w:szCs w:val="21"/>
                    </w:rPr>
                    <w:t>1000人</w:t>
                  </w:r>
                </w:p>
              </w:tc>
              <w:tc>
                <w:tcPr>
                  <w:tcW w:w="1023" w:type="dxa"/>
                  <w:vAlign w:val="center"/>
                </w:tcPr>
                <w:p w14:paraId="4DD6A0FA">
                  <w:pPr>
                    <w:snapToGrid w:val="0"/>
                    <w:jc w:val="center"/>
                    <w:rPr>
                      <w:bCs/>
                      <w:snapToGrid w:val="0"/>
                      <w:kern w:val="0"/>
                      <w:szCs w:val="21"/>
                    </w:rPr>
                  </w:pPr>
                  <w:r>
                    <w:rPr>
                      <w:rFonts w:hint="eastAsia"/>
                      <w:bCs/>
                      <w:snapToGrid w:val="0"/>
                      <w:kern w:val="0"/>
                      <w:szCs w:val="21"/>
                    </w:rPr>
                    <w:t>50</w:t>
                  </w:r>
                </w:p>
              </w:tc>
              <w:tc>
                <w:tcPr>
                  <w:tcW w:w="992" w:type="dxa"/>
                  <w:vAlign w:val="center"/>
                </w:tcPr>
                <w:p w14:paraId="7598370B">
                  <w:pPr>
                    <w:snapToGrid w:val="0"/>
                    <w:jc w:val="center"/>
                    <w:rPr>
                      <w:bCs/>
                      <w:snapToGrid w:val="0"/>
                      <w:kern w:val="0"/>
                      <w:szCs w:val="21"/>
                    </w:rPr>
                  </w:pPr>
                  <w:r>
                    <w:rPr>
                      <w:rFonts w:hint="eastAsia"/>
                      <w:bCs/>
                      <w:snapToGrid w:val="0"/>
                      <w:kern w:val="0"/>
                      <w:szCs w:val="21"/>
                    </w:rPr>
                    <w:t>12500</w:t>
                  </w:r>
                </w:p>
              </w:tc>
              <w:tc>
                <w:tcPr>
                  <w:tcW w:w="1276" w:type="dxa"/>
                  <w:vAlign w:val="center"/>
                </w:tcPr>
                <w:p w14:paraId="27700FDC">
                  <w:pPr>
                    <w:snapToGrid w:val="0"/>
                    <w:jc w:val="center"/>
                    <w:rPr>
                      <w:bCs/>
                      <w:snapToGrid w:val="0"/>
                      <w:kern w:val="0"/>
                      <w:szCs w:val="21"/>
                    </w:rPr>
                  </w:pPr>
                  <w:r>
                    <w:rPr>
                      <w:rFonts w:hint="eastAsia"/>
                      <w:bCs/>
                      <w:snapToGrid w:val="0"/>
                      <w:kern w:val="0"/>
                      <w:szCs w:val="21"/>
                    </w:rPr>
                    <w:t>45</w:t>
                  </w:r>
                </w:p>
              </w:tc>
              <w:tc>
                <w:tcPr>
                  <w:tcW w:w="922" w:type="dxa"/>
                  <w:vAlign w:val="center"/>
                </w:tcPr>
                <w:p w14:paraId="3AA214B9">
                  <w:pPr>
                    <w:snapToGrid w:val="0"/>
                    <w:jc w:val="center"/>
                    <w:rPr>
                      <w:bCs/>
                      <w:snapToGrid w:val="0"/>
                      <w:kern w:val="0"/>
                      <w:szCs w:val="21"/>
                    </w:rPr>
                  </w:pPr>
                  <w:r>
                    <w:rPr>
                      <w:rFonts w:hint="eastAsia"/>
                      <w:bCs/>
                      <w:snapToGrid w:val="0"/>
                      <w:kern w:val="0"/>
                      <w:szCs w:val="21"/>
                    </w:rPr>
                    <w:t>11250</w:t>
                  </w:r>
                </w:p>
              </w:tc>
            </w:tr>
            <w:tr w14:paraId="1A1E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44" w:type="dxa"/>
                  <w:vAlign w:val="center"/>
                </w:tcPr>
                <w:p w14:paraId="773182F6">
                  <w:pPr>
                    <w:snapToGrid w:val="0"/>
                    <w:jc w:val="center"/>
                    <w:rPr>
                      <w:bCs/>
                      <w:snapToGrid w:val="0"/>
                      <w:kern w:val="0"/>
                      <w:szCs w:val="21"/>
                    </w:rPr>
                  </w:pPr>
                  <w:r>
                    <w:rPr>
                      <w:rFonts w:hint="eastAsia" w:hAnsi="宋体"/>
                      <w:bCs/>
                      <w:snapToGrid w:val="0"/>
                      <w:kern w:val="0"/>
                      <w:szCs w:val="21"/>
                    </w:rPr>
                    <w:t>地面清洁用水</w:t>
                  </w:r>
                </w:p>
              </w:tc>
              <w:tc>
                <w:tcPr>
                  <w:tcW w:w="1228" w:type="dxa"/>
                  <w:vAlign w:val="center"/>
                </w:tcPr>
                <w:p w14:paraId="5DED98AE">
                  <w:pPr>
                    <w:snapToGrid w:val="0"/>
                    <w:jc w:val="center"/>
                    <w:rPr>
                      <w:bCs/>
                      <w:snapToGrid w:val="0"/>
                      <w:kern w:val="0"/>
                      <w:szCs w:val="21"/>
                    </w:rPr>
                  </w:pPr>
                  <w:r>
                    <w:rPr>
                      <w:bCs/>
                      <w:szCs w:val="21"/>
                    </w:rPr>
                    <w:t>0.5L/m</w:t>
                  </w:r>
                  <w:r>
                    <w:rPr>
                      <w:bCs/>
                      <w:szCs w:val="21"/>
                      <w:vertAlign w:val="superscript"/>
                    </w:rPr>
                    <w:t>2</w:t>
                  </w:r>
                  <w:r>
                    <w:rPr>
                      <w:bCs/>
                      <w:szCs w:val="21"/>
                    </w:rPr>
                    <w:t>·</w:t>
                  </w:r>
                  <w:r>
                    <w:rPr>
                      <w:rFonts w:hAnsi="宋体"/>
                      <w:bCs/>
                      <w:szCs w:val="21"/>
                    </w:rPr>
                    <w:t>次</w:t>
                  </w:r>
                </w:p>
              </w:tc>
              <w:tc>
                <w:tcPr>
                  <w:tcW w:w="1208" w:type="dxa"/>
                  <w:vAlign w:val="center"/>
                </w:tcPr>
                <w:p w14:paraId="274D68DC">
                  <w:pPr>
                    <w:snapToGrid w:val="0"/>
                    <w:jc w:val="center"/>
                    <w:rPr>
                      <w:bCs/>
                      <w:snapToGrid w:val="0"/>
                      <w:kern w:val="0"/>
                      <w:szCs w:val="21"/>
                    </w:rPr>
                  </w:pPr>
                  <w:r>
                    <w:rPr>
                      <w:rFonts w:hint="eastAsia"/>
                      <w:bCs/>
                      <w:snapToGrid w:val="0"/>
                      <w:kern w:val="0"/>
                      <w:szCs w:val="21"/>
                    </w:rPr>
                    <w:t>52次/a</w:t>
                  </w:r>
                </w:p>
                <w:p w14:paraId="3518AD44">
                  <w:pPr>
                    <w:snapToGrid w:val="0"/>
                    <w:jc w:val="center"/>
                    <w:rPr>
                      <w:bCs/>
                      <w:snapToGrid w:val="0"/>
                      <w:kern w:val="0"/>
                      <w:szCs w:val="21"/>
                    </w:rPr>
                  </w:pPr>
                  <w:r>
                    <w:rPr>
                      <w:rFonts w:hint="eastAsia"/>
                      <w:bCs/>
                      <w:snapToGrid w:val="0"/>
                      <w:kern w:val="0"/>
                      <w:szCs w:val="21"/>
                    </w:rPr>
                    <w:t>24000</w:t>
                  </w:r>
                  <w:r>
                    <w:rPr>
                      <w:bCs/>
                      <w:szCs w:val="21"/>
                    </w:rPr>
                    <w:t xml:space="preserve"> m</w:t>
                  </w:r>
                  <w:r>
                    <w:rPr>
                      <w:bCs/>
                      <w:szCs w:val="21"/>
                      <w:vertAlign w:val="superscript"/>
                    </w:rPr>
                    <w:t>2</w:t>
                  </w:r>
                </w:p>
              </w:tc>
              <w:tc>
                <w:tcPr>
                  <w:tcW w:w="1023" w:type="dxa"/>
                  <w:vAlign w:val="center"/>
                </w:tcPr>
                <w:p w14:paraId="2DB7054C">
                  <w:pPr>
                    <w:snapToGrid w:val="0"/>
                    <w:jc w:val="center"/>
                    <w:rPr>
                      <w:bCs/>
                      <w:snapToGrid w:val="0"/>
                      <w:kern w:val="0"/>
                      <w:szCs w:val="21"/>
                    </w:rPr>
                  </w:pPr>
                  <w:r>
                    <w:rPr>
                      <w:rFonts w:hint="eastAsia"/>
                      <w:bCs/>
                      <w:snapToGrid w:val="0"/>
                      <w:kern w:val="0"/>
                      <w:szCs w:val="21"/>
                    </w:rPr>
                    <w:t>2.08（折）</w:t>
                  </w:r>
                </w:p>
              </w:tc>
              <w:tc>
                <w:tcPr>
                  <w:tcW w:w="992" w:type="dxa"/>
                  <w:vAlign w:val="center"/>
                </w:tcPr>
                <w:p w14:paraId="05BD901F">
                  <w:pPr>
                    <w:snapToGrid w:val="0"/>
                    <w:jc w:val="center"/>
                    <w:rPr>
                      <w:bCs/>
                      <w:snapToGrid w:val="0"/>
                      <w:kern w:val="0"/>
                      <w:szCs w:val="21"/>
                    </w:rPr>
                  </w:pPr>
                  <w:r>
                    <w:rPr>
                      <w:rFonts w:hint="eastAsia"/>
                      <w:bCs/>
                      <w:snapToGrid w:val="0"/>
                      <w:kern w:val="0"/>
                      <w:szCs w:val="21"/>
                    </w:rPr>
                    <w:t>624</w:t>
                  </w:r>
                </w:p>
              </w:tc>
              <w:tc>
                <w:tcPr>
                  <w:tcW w:w="1276" w:type="dxa"/>
                  <w:vAlign w:val="center"/>
                </w:tcPr>
                <w:p w14:paraId="059B52B3">
                  <w:pPr>
                    <w:snapToGrid w:val="0"/>
                    <w:jc w:val="center"/>
                    <w:rPr>
                      <w:bCs/>
                      <w:snapToGrid w:val="0"/>
                      <w:kern w:val="0"/>
                      <w:szCs w:val="21"/>
                    </w:rPr>
                  </w:pPr>
                  <w:r>
                    <w:rPr>
                      <w:rFonts w:hint="eastAsia"/>
                      <w:bCs/>
                      <w:snapToGrid w:val="0"/>
                      <w:kern w:val="0"/>
                      <w:szCs w:val="21"/>
                    </w:rPr>
                    <w:t>1.872（折）</w:t>
                  </w:r>
                </w:p>
              </w:tc>
              <w:tc>
                <w:tcPr>
                  <w:tcW w:w="922" w:type="dxa"/>
                  <w:vAlign w:val="center"/>
                </w:tcPr>
                <w:p w14:paraId="564A8599">
                  <w:pPr>
                    <w:snapToGrid w:val="0"/>
                    <w:jc w:val="center"/>
                    <w:rPr>
                      <w:bCs/>
                      <w:snapToGrid w:val="0"/>
                      <w:kern w:val="0"/>
                      <w:szCs w:val="21"/>
                    </w:rPr>
                  </w:pPr>
                  <w:r>
                    <w:rPr>
                      <w:rFonts w:hint="eastAsia"/>
                      <w:bCs/>
                      <w:snapToGrid w:val="0"/>
                      <w:kern w:val="0"/>
                      <w:szCs w:val="21"/>
                    </w:rPr>
                    <w:t>561.6</w:t>
                  </w:r>
                </w:p>
              </w:tc>
            </w:tr>
            <w:tr w14:paraId="29E1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644" w:type="dxa"/>
                  <w:vAlign w:val="center"/>
                </w:tcPr>
                <w:p w14:paraId="4F24CA18">
                  <w:pPr>
                    <w:snapToGrid w:val="0"/>
                    <w:jc w:val="center"/>
                    <w:rPr>
                      <w:rFonts w:hAnsi="宋体"/>
                      <w:bCs/>
                      <w:snapToGrid w:val="0"/>
                      <w:kern w:val="0"/>
                      <w:szCs w:val="21"/>
                    </w:rPr>
                  </w:pPr>
                  <w:r>
                    <w:rPr>
                      <w:rFonts w:hAnsi="宋体"/>
                      <w:szCs w:val="21"/>
                    </w:rPr>
                    <w:t>循环冷却水系统</w:t>
                  </w:r>
                  <w:r>
                    <w:rPr>
                      <w:rFonts w:hint="eastAsia" w:hAnsi="宋体"/>
                      <w:szCs w:val="21"/>
                    </w:rPr>
                    <w:t>用水</w:t>
                  </w:r>
                </w:p>
              </w:tc>
              <w:tc>
                <w:tcPr>
                  <w:tcW w:w="1228" w:type="dxa"/>
                  <w:vAlign w:val="center"/>
                </w:tcPr>
                <w:p w14:paraId="45A35B4B">
                  <w:pPr>
                    <w:snapToGrid w:val="0"/>
                    <w:jc w:val="center"/>
                    <w:rPr>
                      <w:szCs w:val="21"/>
                    </w:rPr>
                  </w:pPr>
                  <w:r>
                    <w:rPr>
                      <w:rFonts w:hint="eastAsia"/>
                      <w:bCs/>
                      <w:szCs w:val="21"/>
                    </w:rPr>
                    <w:t>1</w:t>
                  </w:r>
                  <w:r>
                    <w:rPr>
                      <w:bCs/>
                      <w:szCs w:val="21"/>
                    </w:rPr>
                    <w:t>%</w:t>
                  </w:r>
                  <w:r>
                    <w:rPr>
                      <w:rFonts w:hint="eastAsia" w:hAnsi="宋体"/>
                      <w:bCs/>
                      <w:szCs w:val="21"/>
                    </w:rPr>
                    <w:t>补水</w:t>
                  </w:r>
                </w:p>
              </w:tc>
              <w:tc>
                <w:tcPr>
                  <w:tcW w:w="1208" w:type="dxa"/>
                  <w:vAlign w:val="center"/>
                </w:tcPr>
                <w:p w14:paraId="7547F9C6">
                  <w:pPr>
                    <w:snapToGrid w:val="0"/>
                    <w:jc w:val="center"/>
                    <w:rPr>
                      <w:bCs/>
                      <w:snapToGrid w:val="0"/>
                      <w:kern w:val="0"/>
                      <w:szCs w:val="21"/>
                    </w:rPr>
                  </w:pPr>
                  <w:r>
                    <w:rPr>
                      <w:rFonts w:hint="eastAsia"/>
                      <w:bCs/>
                      <w:szCs w:val="21"/>
                    </w:rPr>
                    <w:t>循环水量1080</w:t>
                  </w:r>
                  <w:r>
                    <w:rPr>
                      <w:bCs/>
                      <w:szCs w:val="21"/>
                    </w:rPr>
                    <w:t>m</w:t>
                  </w:r>
                  <w:r>
                    <w:rPr>
                      <w:bCs/>
                      <w:szCs w:val="21"/>
                      <w:vertAlign w:val="superscript"/>
                    </w:rPr>
                    <w:t>3</w:t>
                  </w:r>
                  <w:r>
                    <w:rPr>
                      <w:bCs/>
                      <w:szCs w:val="21"/>
                    </w:rPr>
                    <w:t>/</w:t>
                  </w:r>
                  <w:r>
                    <w:rPr>
                      <w:rFonts w:hint="eastAsia"/>
                      <w:bCs/>
                      <w:szCs w:val="21"/>
                    </w:rPr>
                    <w:t>d</w:t>
                  </w:r>
                </w:p>
              </w:tc>
              <w:tc>
                <w:tcPr>
                  <w:tcW w:w="1023" w:type="dxa"/>
                  <w:vAlign w:val="center"/>
                </w:tcPr>
                <w:p w14:paraId="15C16B4E">
                  <w:pPr>
                    <w:adjustRightInd w:val="0"/>
                    <w:snapToGrid w:val="0"/>
                    <w:jc w:val="center"/>
                    <w:rPr>
                      <w:szCs w:val="21"/>
                    </w:rPr>
                  </w:pPr>
                  <w:r>
                    <w:rPr>
                      <w:rFonts w:hint="eastAsia"/>
                      <w:szCs w:val="21"/>
                    </w:rPr>
                    <w:t>10.8</w:t>
                  </w:r>
                </w:p>
              </w:tc>
              <w:tc>
                <w:tcPr>
                  <w:tcW w:w="992" w:type="dxa"/>
                  <w:vAlign w:val="center"/>
                </w:tcPr>
                <w:p w14:paraId="6DEE1B0F">
                  <w:pPr>
                    <w:adjustRightInd w:val="0"/>
                    <w:snapToGrid w:val="0"/>
                    <w:jc w:val="center"/>
                    <w:rPr>
                      <w:szCs w:val="21"/>
                    </w:rPr>
                  </w:pPr>
                  <w:r>
                    <w:rPr>
                      <w:rFonts w:hint="eastAsia"/>
                      <w:szCs w:val="21"/>
                    </w:rPr>
                    <w:t>2700</w:t>
                  </w:r>
                </w:p>
              </w:tc>
              <w:tc>
                <w:tcPr>
                  <w:tcW w:w="1276" w:type="dxa"/>
                  <w:vAlign w:val="center"/>
                </w:tcPr>
                <w:p w14:paraId="638BA55D">
                  <w:pPr>
                    <w:adjustRightInd w:val="0"/>
                    <w:snapToGrid w:val="0"/>
                    <w:jc w:val="center"/>
                    <w:rPr>
                      <w:szCs w:val="21"/>
                    </w:rPr>
                  </w:pPr>
                  <w:r>
                    <w:rPr>
                      <w:rFonts w:hint="eastAsia"/>
                      <w:szCs w:val="21"/>
                    </w:rPr>
                    <w:t>2.16</w:t>
                  </w:r>
                </w:p>
              </w:tc>
              <w:tc>
                <w:tcPr>
                  <w:tcW w:w="922" w:type="dxa"/>
                  <w:vAlign w:val="center"/>
                </w:tcPr>
                <w:p w14:paraId="4BA4FD6F">
                  <w:pPr>
                    <w:adjustRightInd w:val="0"/>
                    <w:snapToGrid w:val="0"/>
                    <w:jc w:val="center"/>
                    <w:rPr>
                      <w:szCs w:val="21"/>
                    </w:rPr>
                  </w:pPr>
                  <w:r>
                    <w:rPr>
                      <w:rFonts w:hint="eastAsia"/>
                      <w:szCs w:val="21"/>
                    </w:rPr>
                    <w:t>540</w:t>
                  </w:r>
                </w:p>
              </w:tc>
            </w:tr>
            <w:tr w14:paraId="1400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080" w:type="dxa"/>
                  <w:gridSpan w:val="3"/>
                  <w:vAlign w:val="center"/>
                </w:tcPr>
                <w:p w14:paraId="1D445AAE">
                  <w:pPr>
                    <w:pStyle w:val="77"/>
                    <w:jc w:val="center"/>
                    <w:rPr>
                      <w:rFonts w:ascii="Times New Roman" w:hAnsi="Times New Roman"/>
                      <w:color w:val="auto"/>
                      <w:sz w:val="21"/>
                      <w:szCs w:val="21"/>
                    </w:rPr>
                  </w:pPr>
                  <w:r>
                    <w:rPr>
                      <w:rFonts w:ascii="Times New Roman"/>
                      <w:color w:val="auto"/>
                      <w:sz w:val="21"/>
                      <w:szCs w:val="21"/>
                    </w:rPr>
                    <w:t>合计</w:t>
                  </w:r>
                </w:p>
              </w:tc>
              <w:tc>
                <w:tcPr>
                  <w:tcW w:w="1023" w:type="dxa"/>
                  <w:vAlign w:val="center"/>
                </w:tcPr>
                <w:p w14:paraId="0484CCDF">
                  <w:pPr>
                    <w:snapToGrid w:val="0"/>
                    <w:jc w:val="center"/>
                    <w:rPr>
                      <w:bCs/>
                      <w:snapToGrid w:val="0"/>
                      <w:kern w:val="0"/>
                      <w:szCs w:val="21"/>
                    </w:rPr>
                  </w:pPr>
                  <w:r>
                    <w:rPr>
                      <w:rFonts w:hint="eastAsia"/>
                      <w:bCs/>
                      <w:snapToGrid w:val="0"/>
                      <w:kern w:val="0"/>
                      <w:szCs w:val="21"/>
                    </w:rPr>
                    <w:t>112.88</w:t>
                  </w:r>
                </w:p>
              </w:tc>
              <w:tc>
                <w:tcPr>
                  <w:tcW w:w="992" w:type="dxa"/>
                  <w:vAlign w:val="center"/>
                </w:tcPr>
                <w:p w14:paraId="0E1DD7A2">
                  <w:pPr>
                    <w:snapToGrid w:val="0"/>
                    <w:jc w:val="center"/>
                    <w:rPr>
                      <w:bCs/>
                      <w:snapToGrid w:val="0"/>
                      <w:kern w:val="0"/>
                      <w:szCs w:val="21"/>
                    </w:rPr>
                  </w:pPr>
                  <w:r>
                    <w:rPr>
                      <w:rFonts w:hint="eastAsia"/>
                      <w:bCs/>
                      <w:snapToGrid w:val="0"/>
                      <w:kern w:val="0"/>
                      <w:szCs w:val="21"/>
                    </w:rPr>
                    <w:t>28324</w:t>
                  </w:r>
                </w:p>
              </w:tc>
              <w:tc>
                <w:tcPr>
                  <w:tcW w:w="1276" w:type="dxa"/>
                  <w:vAlign w:val="center"/>
                </w:tcPr>
                <w:p w14:paraId="38698490">
                  <w:pPr>
                    <w:snapToGrid w:val="0"/>
                    <w:jc w:val="center"/>
                    <w:rPr>
                      <w:bCs/>
                      <w:snapToGrid w:val="0"/>
                      <w:kern w:val="0"/>
                      <w:szCs w:val="21"/>
                    </w:rPr>
                  </w:pPr>
                  <w:r>
                    <w:rPr>
                      <w:rFonts w:hint="eastAsia"/>
                      <w:bCs/>
                      <w:snapToGrid w:val="0"/>
                      <w:kern w:val="0"/>
                      <w:szCs w:val="21"/>
                    </w:rPr>
                    <w:t>94.032</w:t>
                  </w:r>
                </w:p>
              </w:tc>
              <w:tc>
                <w:tcPr>
                  <w:tcW w:w="922" w:type="dxa"/>
                  <w:vAlign w:val="center"/>
                </w:tcPr>
                <w:p w14:paraId="0B105488">
                  <w:pPr>
                    <w:snapToGrid w:val="0"/>
                    <w:jc w:val="center"/>
                    <w:rPr>
                      <w:bCs/>
                      <w:snapToGrid w:val="0"/>
                      <w:kern w:val="0"/>
                      <w:szCs w:val="21"/>
                    </w:rPr>
                  </w:pPr>
                  <w:r>
                    <w:rPr>
                      <w:rFonts w:hint="eastAsia"/>
                      <w:bCs/>
                      <w:snapToGrid w:val="0"/>
                      <w:kern w:val="0"/>
                      <w:szCs w:val="21"/>
                    </w:rPr>
                    <w:t>23601.6</w:t>
                  </w:r>
                </w:p>
              </w:tc>
            </w:tr>
          </w:tbl>
          <w:p w14:paraId="3EFD55E8">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193" o:spid="_x0000_s1193" o:spt="202" type="#_x0000_t202" style="position:absolute;left:0pt;margin-left:118pt;margin-top:10.95pt;height:20.8pt;width:49.85pt;z-index:251665408;mso-width-relative:margin;mso-height-relative:margin;mso-height-percent:200;" filled="f" stroked="f" coordsize="21600,21600">
                  <v:path/>
                  <v:fill on="f" focussize="0,0"/>
                  <v:stroke on="f" joinstyle="miter"/>
                  <v:imagedata o:title=""/>
                  <o:lock v:ext="edit"/>
                  <v:textbox style="mso-fit-shape-to-text:t;">
                    <w:txbxContent>
                      <w:p w14:paraId="6CD43A49">
                        <w:pPr>
                          <w:rPr>
                            <w:szCs w:val="21"/>
                          </w:rPr>
                        </w:pPr>
                        <w:r>
                          <w:rPr>
                            <w:rFonts w:hint="eastAsia"/>
                            <w:szCs w:val="21"/>
                          </w:rPr>
                          <w:t>损失5</w:t>
                        </w:r>
                      </w:p>
                    </w:txbxContent>
                  </v:textbox>
                </v:shape>
              </w:pict>
            </w:r>
          </w:p>
          <w:p w14:paraId="1D606455">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190" o:spid="_x0000_s1190" o:spt="32" type="#_x0000_t32" style="position:absolute;left:0pt;flip:y;margin-left:104.5pt;margin-top:4.45pt;height:7.5pt;width:18.75pt;z-index:251662336;mso-width-relative:page;mso-height-relative:page;" o:connectortype="straight" filled="f" coordsize="21600,21600">
                  <v:path arrowok="t"/>
                  <v:fill on="f" focussize="0,0"/>
                  <v:stroke dashstyle="dash" endarrow="block"/>
                  <v:imagedata o:title=""/>
                  <o:lock v:ext="edit"/>
                </v:shape>
              </w:pict>
            </w:r>
            <w:r>
              <w:rPr>
                <w:bCs/>
                <w:sz w:val="24"/>
              </w:rPr>
              <w:pict>
                <v:shape id="_x0000_s1240" o:spid="_x0000_s1240" o:spt="202" type="#_x0000_t202" style="position:absolute;left:0pt;margin-left:197.2pt;margin-top:9.2pt;height:19.25pt;width:42.7pt;z-index:251677696;mso-width-relative:margin;mso-height-relative:margin;mso-height-percent:200;" filled="f" stroked="f" coordsize="21600,21600">
                  <v:path/>
                  <v:fill on="f" focussize="0,0"/>
                  <v:stroke on="f" joinstyle="miter"/>
                  <v:imagedata o:title=""/>
                  <o:lock v:ext="edit"/>
                  <v:textbox style="mso-fit-shape-to-text:t;">
                    <w:txbxContent>
                      <w:p w14:paraId="79B17664">
                        <w:r>
                          <w:rPr>
                            <w:rFonts w:hint="eastAsia"/>
                          </w:rPr>
                          <w:t>45</w:t>
                        </w:r>
                      </w:p>
                    </w:txbxContent>
                  </v:textbox>
                </v:shape>
              </w:pict>
            </w:r>
            <w:r>
              <w:rPr>
                <w:rFonts w:hAnsi="宋体"/>
                <w:kern w:val="0"/>
                <w:szCs w:val="21"/>
              </w:rPr>
              <w:pict>
                <v:shape id="_x0000_s1192" o:spid="_x0000_s1192" o:spt="202" type="#_x0000_t202" style="position:absolute;left:0pt;margin-left:60.25pt;margin-top:9.8pt;height:19.25pt;width:34.7pt;z-index:251664384;mso-width-relative:margin;mso-height-relative:margin;mso-height-percent:200;" filled="f" stroked="f" coordsize="21600,21600">
                  <v:path/>
                  <v:fill on="f" focussize="0,0"/>
                  <v:stroke on="f" joinstyle="miter"/>
                  <v:imagedata o:title=""/>
                  <o:lock v:ext="edit"/>
                  <v:textbox style="mso-fit-shape-to-text:t;">
                    <w:txbxContent>
                      <w:p w14:paraId="40CA477A">
                        <w:r>
                          <w:rPr>
                            <w:rFonts w:hint="eastAsia"/>
                          </w:rPr>
                          <w:t>50</w:t>
                        </w:r>
                      </w:p>
                    </w:txbxContent>
                  </v:textbox>
                </v:shape>
              </w:pict>
            </w:r>
            <w:r>
              <w:rPr>
                <w:rFonts w:hAnsi="宋体"/>
                <w:kern w:val="0"/>
                <w:szCs w:val="21"/>
              </w:rPr>
              <w:pict>
                <v:shape id="_x0000_s1179" o:spid="_x0000_s1179" o:spt="202" type="#_x0000_t202" style="position:absolute;left:0pt;margin-left:92.8pt;margin-top:12.4pt;height:21.55pt;width:88.7pt;z-index:251659264;mso-width-relative:margin;mso-height-relative:margin;mso-height-percent:200;" filled="f" coordsize="21600,21600">
                  <v:path/>
                  <v:fill on="f" focussize="0,0"/>
                  <v:stroke joinstyle="miter"/>
                  <v:imagedata o:title=""/>
                  <o:lock v:ext="edit"/>
                  <v:textbox style="mso-fit-shape-to-text:t;">
                    <w:txbxContent>
                      <w:p w14:paraId="17FF47A4">
                        <w:r>
                          <w:rPr>
                            <w:rFonts w:hint="eastAsia"/>
                          </w:rPr>
                          <w:t>员工生活用水</w:t>
                        </w:r>
                      </w:p>
                    </w:txbxContent>
                  </v:textbox>
                </v:shape>
              </w:pict>
            </w:r>
          </w:p>
          <w:p w14:paraId="3C693404">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264" o:spid="_x0000_s1264" o:spt="32" type="#_x0000_t32" style="position:absolute;left:0pt;margin-left:296.55pt;margin-top:8.55pt;height:130.3pt;width:0pt;z-index:251680768;mso-width-relative:page;mso-height-relative:page;" o:connectortype="straight" filled="f" coordsize="21600,21600">
                  <v:path arrowok="t"/>
                  <v:fill on="f" focussize="0,0"/>
                  <v:stroke/>
                  <v:imagedata o:title=""/>
                  <o:lock v:ext="edit"/>
                </v:shape>
              </w:pict>
            </w:r>
            <w:r>
              <w:rPr>
                <w:rFonts w:hAnsi="宋体"/>
                <w:kern w:val="0"/>
                <w:szCs w:val="21"/>
              </w:rPr>
              <w:pict>
                <v:shape id="_x0000_s1268" o:spid="_x0000_s1268" o:spt="32" type="#_x0000_t32" style="position:absolute;left:0pt;margin-left:60.25pt;margin-top:8.55pt;height:130.3pt;width:0pt;z-index:251681792;mso-width-relative:page;mso-height-relative:page;" o:connectortype="straight" filled="f" coordsize="21600,21600">
                  <v:path arrowok="t"/>
                  <v:fill on="f" focussize="0,0"/>
                  <v:stroke/>
                  <v:imagedata o:title=""/>
                  <o:lock v:ext="edit"/>
                </v:shape>
              </w:pict>
            </w:r>
            <w:r>
              <w:rPr>
                <w:rFonts w:hAnsi="宋体"/>
                <w:kern w:val="0"/>
                <w:szCs w:val="21"/>
              </w:rPr>
              <w:pict>
                <v:shape id="_x0000_s1229" o:spid="_x0000_s1229" o:spt="32" type="#_x0000_t32" style="position:absolute;left:0pt;margin-left:181.95pt;margin-top:8.7pt;height:0pt;width:114.6pt;z-index:251674624;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191" o:spid="_x0000_s1191" o:spt="32" type="#_x0000_t32" style="position:absolute;left:0pt;margin-left:61pt;margin-top:8.7pt;height:0pt;width:32.25pt;z-index:251663360;mso-width-relative:page;mso-height-relative:page;" o:connectortype="straight" filled="f" coordsize="21600,21600">
                  <v:path arrowok="t"/>
                  <v:fill on="f" focussize="0,0"/>
                  <v:stroke endarrow="block"/>
                  <v:imagedata o:title=""/>
                  <o:lock v:ext="edit"/>
                </v:shape>
              </w:pict>
            </w:r>
          </w:p>
          <w:p w14:paraId="7DC04613">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198" o:spid="_x0000_s1198" o:spt="202" type="#_x0000_t202" style="position:absolute;left:0pt;margin-left:118pt;margin-top:4.7pt;height:20.8pt;width:68.3pt;z-index:251669504;mso-width-relative:margin;mso-height-relative:margin;mso-height-percent:200;" filled="f" stroked="f" coordsize="21600,21600">
                  <v:path/>
                  <v:fill on="f" focussize="0,0"/>
                  <v:stroke on="f" joinstyle="miter"/>
                  <v:imagedata o:title=""/>
                  <o:lock v:ext="edit"/>
                  <v:textbox style="mso-fit-shape-to-text:t;">
                    <w:txbxContent>
                      <w:p w14:paraId="7BD891F1">
                        <w:r>
                          <w:rPr>
                            <w:rFonts w:hint="eastAsia"/>
                          </w:rPr>
                          <w:t>损失5</w:t>
                        </w:r>
                      </w:p>
                    </w:txbxContent>
                  </v:textbox>
                </v:shape>
              </w:pict>
            </w:r>
            <w:r>
              <w:rPr>
                <w:rFonts w:hAnsi="宋体"/>
                <w:kern w:val="0"/>
                <w:szCs w:val="21"/>
              </w:rPr>
              <w:pict>
                <v:shape id="_x0000_s1194" o:spid="_x0000_s1194" o:spt="32" type="#_x0000_t32" style="position:absolute;left:0pt;flip:y;margin-left:106.7pt;margin-top:12.2pt;height:9pt;width:18.75pt;z-index:251666432;mso-width-relative:page;mso-height-relative:page;" o:connectortype="straight" filled="f" coordsize="21600,21600">
                  <v:path arrowok="t"/>
                  <v:fill on="f" focussize="0,0"/>
                  <v:stroke dashstyle="dash" endarrow="block"/>
                  <v:imagedata o:title=""/>
                  <o:lock v:ext="edit"/>
                </v:shape>
              </w:pict>
            </w:r>
          </w:p>
          <w:p w14:paraId="6C9C3426">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241" o:spid="_x0000_s1241" o:spt="202" type="#_x0000_t202" style="position:absolute;left:0pt;margin-left:249.2pt;margin-top:0.8pt;height:19.25pt;width:40.15pt;z-index:251678720;mso-width-relative:margin;mso-height-relative:margin;mso-height-percent:200;" filled="f" stroked="f" coordsize="21600,21600">
                  <v:path/>
                  <v:fill on="f" focussize="0,0"/>
                  <v:stroke on="f" joinstyle="miter"/>
                  <v:imagedata o:title=""/>
                  <o:lock v:ext="edit"/>
                  <v:textbox style="mso-fit-shape-to-text:t;">
                    <w:txbxContent>
                      <w:p w14:paraId="7CEADAFC">
                        <w:r>
                          <w:rPr>
                            <w:rFonts w:hint="eastAsia"/>
                          </w:rPr>
                          <w:t>45</w:t>
                        </w:r>
                      </w:p>
                    </w:txbxContent>
                  </v:textbox>
                </v:shape>
              </w:pict>
            </w:r>
            <w:r>
              <w:rPr>
                <w:rFonts w:hAnsi="宋体"/>
                <w:kern w:val="0"/>
                <w:szCs w:val="21"/>
              </w:rPr>
              <w:pict>
                <v:shape id="_x0000_s1317" o:spid="_x0000_s1317" o:spt="202" type="#_x0000_t202" style="position:absolute;left:0pt;margin-left:159.7pt;margin-top:1.45pt;height:19.25pt;width:38.6pt;z-index:251692032;mso-width-relative:margin;mso-height-relative:margin;mso-height-percent:200;" filled="f" stroked="f" coordsize="21600,21600">
                  <v:path/>
                  <v:fill on="f" focussize="0,0"/>
                  <v:stroke on="f" joinstyle="miter"/>
                  <v:imagedata o:title=""/>
                  <o:lock v:ext="edit"/>
                  <v:textbox style="mso-fit-shape-to-text:t;">
                    <w:txbxContent>
                      <w:p w14:paraId="13B96F5F">
                        <w:r>
                          <w:rPr>
                            <w:rFonts w:hint="eastAsia"/>
                          </w:rPr>
                          <w:t>45</w:t>
                        </w:r>
                      </w:p>
                    </w:txbxContent>
                  </v:textbox>
                </v:shape>
              </w:pict>
            </w:r>
            <w:r>
              <w:rPr>
                <w:rFonts w:hAnsi="宋体"/>
                <w:kern w:val="0"/>
                <w:szCs w:val="21"/>
              </w:rPr>
              <w:pict>
                <v:shape id="_x0000_s1314" o:spid="_x0000_s1314" o:spt="202" type="#_x0000_t202" style="position:absolute;left:0pt;margin-left:196.8pt;margin-top:6.45pt;height:21.55pt;width:52pt;z-index:251689984;mso-width-relative:margin;mso-height-relative:margin;mso-height-percent:200;" filled="f" coordsize="21600,21600">
                  <v:path/>
                  <v:fill on="f" focussize="0,0"/>
                  <v:stroke joinstyle="miter"/>
                  <v:imagedata o:title=""/>
                  <o:lock v:ext="edit"/>
                  <v:textbox style="mso-fit-shape-to-text:t;">
                    <w:txbxContent>
                      <w:p w14:paraId="51A288A1">
                        <w:pPr>
                          <w:jc w:val="center"/>
                        </w:pPr>
                        <w:r>
                          <w:rPr>
                            <w:rFonts w:hint="eastAsia"/>
                          </w:rPr>
                          <w:t>隔油池</w:t>
                        </w:r>
                      </w:p>
                    </w:txbxContent>
                  </v:textbox>
                </v:shape>
              </w:pict>
            </w:r>
            <w:r>
              <w:rPr>
                <w:rFonts w:hAnsi="宋体"/>
                <w:kern w:val="0"/>
                <w:szCs w:val="21"/>
              </w:rPr>
              <w:pict>
                <v:shape id="_x0000_s1181" o:spid="_x0000_s1181" o:spt="202" type="#_x0000_t202" style="position:absolute;left:0pt;margin-left:94.1pt;margin-top:5.6pt;height:21.55pt;width:65.3pt;z-index:251660288;mso-width-relative:margin;mso-height-relative:margin;mso-height-percent:200;" filled="f" coordsize="21600,21600">
                  <v:path/>
                  <v:fill on="f" focussize="0,0"/>
                  <v:stroke joinstyle="miter"/>
                  <v:imagedata o:title=""/>
                  <o:lock v:ext="edit"/>
                  <v:textbox style="mso-fit-shape-to-text:t;">
                    <w:txbxContent>
                      <w:p w14:paraId="77065ACE">
                        <w:pPr>
                          <w:jc w:val="center"/>
                        </w:pPr>
                        <w:r>
                          <w:rPr>
                            <w:rFonts w:hint="eastAsia"/>
                          </w:rPr>
                          <w:t>食堂用水</w:t>
                        </w:r>
                      </w:p>
                    </w:txbxContent>
                  </v:textbox>
                </v:shape>
              </w:pict>
            </w:r>
            <w:r>
              <w:rPr>
                <w:rFonts w:hAnsi="宋体"/>
                <w:kern w:val="0"/>
                <w:szCs w:val="21"/>
              </w:rPr>
              <w:pict>
                <v:shape id="_x0000_s1197" o:spid="_x0000_s1197" o:spt="202" type="#_x0000_t202" style="position:absolute;left:0pt;margin-left:60.5pt;margin-top:2.2pt;height:19.25pt;width:35.05pt;z-index:251668480;mso-width-relative:margin;mso-height-relative:margin;mso-height-percent:200;" filled="f" stroked="f" coordsize="21600,21600">
                  <v:path/>
                  <v:fill on="f" focussize="0,0"/>
                  <v:stroke on="f" dashstyle="dash"/>
                  <v:imagedata o:title=""/>
                  <o:lock v:ext="edit"/>
                  <v:textbox style="mso-fit-shape-to-text:t;">
                    <w:txbxContent>
                      <w:p w14:paraId="45F17342">
                        <w:r>
                          <w:rPr>
                            <w:rFonts w:hint="eastAsia"/>
                          </w:rPr>
                          <w:t>50</w:t>
                        </w:r>
                      </w:p>
                    </w:txbxContent>
                  </v:textbox>
                </v:shape>
              </w:pict>
            </w:r>
          </w:p>
          <w:p w14:paraId="1397FFEA">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270" o:spid="_x0000_s1270" o:spt="202" type="#_x0000_t202" style="position:absolute;left:0pt;margin-left:12.4pt;margin-top:6.9pt;height:32.9pt;width:52.25pt;z-index:251683840;mso-width-relative:margin;mso-height-relative:margin;mso-height-percent:200;" filled="f" stroked="f" coordsize="21600,21600">
                  <v:path/>
                  <v:fill on="f" focussize="0,0"/>
                  <v:stroke on="f" joinstyle="miter"/>
                  <v:imagedata o:title=""/>
                  <o:lock v:ext="edit"/>
                  <v:textbox style="mso-fit-shape-to-text:t;">
                    <w:txbxContent>
                      <w:p w14:paraId="7738076E">
                        <w:r>
                          <w:rPr>
                            <w:rFonts w:hint="eastAsia"/>
                          </w:rPr>
                          <w:t>新鲜水</w:t>
                        </w:r>
                      </w:p>
                      <w:p w14:paraId="170806F9">
                        <w:r>
                          <w:rPr>
                            <w:rFonts w:hint="eastAsia"/>
                          </w:rPr>
                          <w:t>112.88</w:t>
                        </w:r>
                      </w:p>
                    </w:txbxContent>
                  </v:textbox>
                </v:shape>
              </w:pict>
            </w:r>
            <w:r>
              <w:rPr>
                <w:rFonts w:hAnsi="宋体"/>
                <w:kern w:val="0"/>
                <w:szCs w:val="21"/>
              </w:rPr>
              <w:pict>
                <v:shape id="_x0000_s1315" o:spid="_x0000_s1315" o:spt="32" type="#_x0000_t32" style="position:absolute;left:0pt;margin-left:249.25pt;margin-top:0.45pt;height:0pt;width:47.3pt;z-index:251691008;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230" o:spid="_x0000_s1230" o:spt="32" type="#_x0000_t32" style="position:absolute;left:0pt;margin-left:159.85pt;margin-top:0.45pt;height:0pt;width:36.95pt;z-index:251675648;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195" o:spid="_x0000_s1195" o:spt="32" type="#_x0000_t32" style="position:absolute;left:0pt;margin-left:61pt;margin-top:0.45pt;height:0pt;width:33.05pt;z-index:251667456;mso-width-relative:page;mso-height-relative:page;" o:connectortype="straight" filled="f" coordsize="21600,21600">
                  <v:path arrowok="t"/>
                  <v:fill on="f" focussize="0,0"/>
                  <v:stroke endarrow="block"/>
                  <v:imagedata o:title=""/>
                  <o:lock v:ext="edit"/>
                </v:shape>
              </w:pict>
            </w:r>
          </w:p>
          <w:p w14:paraId="0522DFF6">
            <w:pPr>
              <w:autoSpaceDE w:val="0"/>
              <w:autoSpaceDN w:val="0"/>
              <w:adjustRightInd w:val="0"/>
              <w:spacing w:line="320" w:lineRule="exact"/>
              <w:ind w:firstLine="482" w:firstLineChars="200"/>
              <w:jc w:val="left"/>
              <w:rPr>
                <w:rFonts w:hAnsi="宋体"/>
                <w:kern w:val="0"/>
                <w:szCs w:val="21"/>
              </w:rPr>
            </w:pPr>
            <w:r>
              <w:rPr>
                <w:b/>
                <w:bCs/>
                <w:sz w:val="24"/>
              </w:rPr>
              <w:pict>
                <v:shape id="_x0000_s1276" o:spid="_x0000_s1276" o:spt="202" type="#_x0000_t202" style="position:absolute;left:0pt;margin-left:289.05pt;margin-top:2.25pt;height:19.25pt;width:60.35pt;z-index:251687936;mso-width-relative:margin;mso-height-relative:margin;mso-height-percent:200;" filled="f" stroked="f" coordsize="21600,21600">
                  <v:path/>
                  <v:fill on="f" focussize="0,0"/>
                  <v:stroke on="f" joinstyle="miter"/>
                  <v:imagedata o:title=""/>
                  <o:lock v:ext="edit"/>
                  <v:textbox style="mso-fit-shape-to-text:t;">
                    <w:txbxContent>
                      <w:p w14:paraId="2BEFD337">
                        <w:r>
                          <w:rPr>
                            <w:rFonts w:hint="eastAsia"/>
                          </w:rPr>
                          <w:t>94.032</w:t>
                        </w:r>
                      </w:p>
                    </w:txbxContent>
                  </v:textbox>
                </v:shape>
              </w:pict>
            </w:r>
            <w:r>
              <w:rPr>
                <w:rFonts w:hAnsi="宋体"/>
                <w:kern w:val="0"/>
                <w:szCs w:val="21"/>
              </w:rPr>
              <w:pict>
                <v:shape id="_x0000_s1242" o:spid="_x0000_s1242" o:spt="202" type="#_x0000_t202" style="position:absolute;left:0pt;margin-left:224.55pt;margin-top:13.95pt;height:19.25pt;width:53.25pt;z-index:251679744;mso-width-relative:margin;mso-height-relative:margin;mso-height-percent:200;" filled="f" stroked="f" coordsize="21600,21600">
                  <v:path/>
                  <v:fill on="f" focussize="0,0"/>
                  <v:stroke on="f" joinstyle="miter"/>
                  <v:imagedata o:title=""/>
                  <o:lock v:ext="edit"/>
                  <v:textbox style="mso-fit-shape-to-text:t;">
                    <w:txbxContent>
                      <w:p w14:paraId="02536BBB">
                        <w:r>
                          <w:rPr>
                            <w:rFonts w:hint="eastAsia"/>
                          </w:rPr>
                          <w:t>1.872</w:t>
                        </w:r>
                      </w:p>
                    </w:txbxContent>
                  </v:textbox>
                </v:shape>
              </w:pict>
            </w:r>
            <w:r>
              <w:rPr>
                <w:rFonts w:hAnsi="宋体"/>
                <w:kern w:val="0"/>
                <w:szCs w:val="21"/>
              </w:rPr>
              <w:pict>
                <v:shape id="_x0000_s1275" o:spid="_x0000_s1275" o:spt="202" type="#_x0000_t202" style="position:absolute;left:0pt;margin-left:324.45pt;margin-top:43.75pt;height:35.2pt;width:74.1pt;z-index:251686912;mso-width-relative:margin;mso-height-relative:margin;mso-height-percent:200;" filled="f" coordsize="21600,21600">
                  <v:path/>
                  <v:fill on="f" focussize="0,0"/>
                  <v:stroke joinstyle="miter"/>
                  <v:imagedata o:title=""/>
                  <o:lock v:ext="edit"/>
                  <v:textbox style="mso-fit-shape-to-text:t;">
                    <w:txbxContent>
                      <w:p w14:paraId="06A5E66A">
                        <w:r>
                          <w:rPr>
                            <w:rFonts w:hint="eastAsia"/>
                          </w:rPr>
                          <w:t>李渡大耍坝污水处理厂</w:t>
                        </w:r>
                      </w:p>
                    </w:txbxContent>
                  </v:textbox>
                </v:shape>
              </w:pict>
            </w:r>
            <w:r>
              <w:rPr>
                <w:rFonts w:hAnsi="宋体"/>
                <w:kern w:val="0"/>
                <w:szCs w:val="21"/>
              </w:rPr>
              <w:pict>
                <v:shape id="_x0000_s1274" o:spid="_x0000_s1274" o:spt="32" type="#_x0000_t32" style="position:absolute;left:0pt;margin-left:361.05pt;margin-top:25.4pt;height:18.4pt;width:0pt;z-index:251685888;mso-width-relative:page;mso-height-relative:page;" o:connectortype="straight" filled="f" coordsize="21600,21600">
                  <v:path arrowok="t"/>
                  <v:fill on="f" focussize="0,0"/>
                  <v:stroke endarrow="block"/>
                  <v:imagedata o:title=""/>
                  <o:lock v:ext="edit"/>
                </v:shape>
              </w:pict>
            </w:r>
            <w:r>
              <w:rPr>
                <w:bCs/>
                <w:sz w:val="24"/>
              </w:rPr>
              <w:pict>
                <v:shape id="_x0000_s1318" o:spid="_x0000_s1318" o:spt="32" type="#_x0000_t32" style="position:absolute;left:0pt;margin-left:361.8pt;margin-top:78.55pt;height:17.75pt;width:0pt;z-index:251693056;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273" o:spid="_x0000_s1273" o:spt="202" type="#_x0000_t202" style="position:absolute;left:0pt;margin-left:336.85pt;margin-top:4.2pt;height:21.55pt;width:49.1pt;z-index:251684864;mso-width-relative:margin;mso-height-relative:margin;mso-height-percent:200;" filled="f" coordsize="21600,21600">
                  <v:path/>
                  <v:fill on="f" focussize="0,0"/>
                  <v:stroke joinstyle="miter"/>
                  <v:imagedata o:title=""/>
                  <o:lock v:ext="edit"/>
                  <v:textbox style="mso-fit-shape-to-text:t;">
                    <w:txbxContent>
                      <w:p w14:paraId="7BC57E9C">
                        <w:pPr>
                          <w:jc w:val="center"/>
                        </w:pPr>
                        <w:r>
                          <w:rPr>
                            <w:rFonts w:hint="eastAsia"/>
                          </w:rPr>
                          <w:t>生化池</w:t>
                        </w:r>
                      </w:p>
                    </w:txbxContent>
                  </v:textbox>
                </v:shape>
              </w:pict>
            </w:r>
            <w:r>
              <w:rPr>
                <w:rFonts w:hAnsi="宋体"/>
                <w:kern w:val="0"/>
                <w:szCs w:val="21"/>
              </w:rPr>
              <w:pict>
                <v:shape id="_x0000_s1201" o:spid="_x0000_s1201" o:spt="202" type="#_x0000_t202" style="position:absolute;left:0pt;margin-left:62.15pt;margin-top:13.95pt;height:19.25pt;width:35.7pt;z-index:251672576;mso-width-relative:margin;mso-height-relative:margin;mso-height-percent:200;" filled="f" stroked="f" coordsize="21600,21600">
                  <v:path/>
                  <v:fill on="f" focussize="0,0"/>
                  <v:stroke on="f" joinstyle="miter"/>
                  <v:imagedata o:title=""/>
                  <o:lock v:ext="edit"/>
                  <v:textbox style="mso-fit-shape-to-text:t;">
                    <w:txbxContent>
                      <w:p w14:paraId="2857724B">
                        <w:r>
                          <w:rPr>
                            <w:rFonts w:hint="eastAsia"/>
                          </w:rPr>
                          <w:t>2.08</w:t>
                        </w:r>
                      </w:p>
                    </w:txbxContent>
                  </v:textbox>
                </v:shape>
              </w:pict>
            </w:r>
            <w:r>
              <w:rPr>
                <w:rFonts w:hAnsi="宋体"/>
                <w:kern w:val="0"/>
                <w:szCs w:val="21"/>
              </w:rPr>
              <w:pict>
                <v:shape id="_x0000_s1269" o:spid="_x0000_s1269" o:spt="32" type="#_x0000_t32" style="position:absolute;left:0pt;margin-left:15.25pt;margin-top:8.45pt;height:0pt;width:45pt;z-index:251682816;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202" o:spid="_x0000_s1202" o:spt="202" type="#_x0000_t202" style="position:absolute;left:0pt;margin-left:129.9pt;margin-top:0pt;height:20.8pt;width:67.3pt;z-index:251673600;mso-width-relative:margin;mso-height-relative:margin;mso-height-percent:200;" filled="f" stroked="f" coordsize="21600,21600">
                  <v:path/>
                  <v:fill on="f" focussize="0,0"/>
                  <v:stroke on="f" joinstyle="miter"/>
                  <v:imagedata o:title=""/>
                  <o:lock v:ext="edit"/>
                  <v:textbox style="mso-fit-shape-to-text:t;">
                    <w:txbxContent>
                      <w:p w14:paraId="1E2EC357">
                        <w:r>
                          <w:rPr>
                            <w:rFonts w:hint="eastAsia"/>
                          </w:rPr>
                          <w:t>损失0.208</w:t>
                        </w:r>
                      </w:p>
                    </w:txbxContent>
                  </v:textbox>
                </v:shape>
              </w:pict>
            </w:r>
            <w:r>
              <w:rPr>
                <w:rFonts w:hAnsi="宋体"/>
                <w:kern w:val="0"/>
                <w:szCs w:val="21"/>
              </w:rPr>
              <w:pict>
                <v:shape id="_x0000_s1200" o:spid="_x0000_s1200" o:spt="32" type="#_x0000_t32" style="position:absolute;left:0pt;flip:y;margin-left:116.45pt;margin-top:8.45pt;height:8.65pt;width:18.75pt;z-index:251671552;mso-width-relative:page;mso-height-relative:page;" o:connectortype="straight" filled="f" coordsize="21600,21600">
                  <v:path arrowok="t"/>
                  <v:fill on="f" focussize="0,0"/>
                  <v:stroke dashstyle="dash" endarrow="block"/>
                  <v:imagedata o:title=""/>
                  <o:lock v:ext="edit"/>
                </v:shape>
              </w:pict>
            </w:r>
          </w:p>
          <w:p w14:paraId="78082879">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272" o:spid="_x0000_s1272" o:spt="32" type="#_x0000_t32" style="position:absolute;left:0pt;margin-left:297.4pt;margin-top:1.5pt;height:0pt;width:39.45pt;z-index:251683840;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231" o:spid="_x0000_s1231" o:spt="32" type="#_x0000_t32" style="position:absolute;left:0pt;margin-left:181.95pt;margin-top:12.75pt;height:0pt;width:114.6pt;z-index:251676672;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182" o:spid="_x0000_s1182" o:spt="202" type="#_x0000_t202" style="position:absolute;left:0pt;margin-left:96pt;margin-top:1.1pt;height:21.55pt;width:85.45pt;z-index:251661312;mso-width-relative:margin;mso-height-relative:margin;mso-height-percent:200;" filled="f" coordsize="21600,21600">
                  <v:path/>
                  <v:fill on="f" focussize="0,0"/>
                  <v:stroke joinstyle="miter"/>
                  <v:imagedata o:title=""/>
                  <o:lock v:ext="edit"/>
                  <v:textbox style="mso-fit-shape-to-text:t;">
                    <w:txbxContent>
                      <w:p w14:paraId="6CD1E42E">
                        <w:pPr>
                          <w:jc w:val="center"/>
                        </w:pPr>
                        <w:r>
                          <w:rPr>
                            <w:rFonts w:hint="eastAsia"/>
                          </w:rPr>
                          <w:t>地面清洁用水</w:t>
                        </w:r>
                      </w:p>
                    </w:txbxContent>
                  </v:textbox>
                </v:shape>
              </w:pict>
            </w:r>
            <w:r>
              <w:rPr>
                <w:rFonts w:hAnsi="宋体"/>
                <w:kern w:val="0"/>
                <w:szCs w:val="21"/>
              </w:rPr>
              <w:pict>
                <v:shape id="_x0000_s1199" o:spid="_x0000_s1199" o:spt="32" type="#_x0000_t32" style="position:absolute;left:0pt;margin-left:61pt;margin-top:12.7pt;height:0.05pt;width:34.55pt;z-index:251670528;mso-width-relative:page;mso-height-relative:page;" o:connectortype="straight" filled="f" coordsize="21600,21600">
                  <v:path arrowok="t"/>
                  <v:fill on="f" focussize="0,0"/>
                  <v:stroke endarrow="block"/>
                  <v:imagedata o:title=""/>
                  <o:lock v:ext="edit"/>
                </v:shape>
              </w:pict>
            </w:r>
          </w:p>
          <w:p w14:paraId="2B8CB984">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431" o:spid="_x0000_s1431" o:spt="202" type="#_x0000_t202" style="position:absolute;left:0pt;margin-left:190.8pt;margin-top:14.6pt;height:19.25pt;width:42.05pt;z-index:251735040;mso-width-relative:margin;mso-height-relative:margin;mso-height-percent:200;" filled="f" stroked="f" coordsize="21600,21600">
                  <v:path/>
                  <v:fill on="f" focussize="0,0"/>
                  <v:stroke on="f" joinstyle="miter"/>
                  <v:imagedata o:title=""/>
                  <o:lock v:ext="edit"/>
                  <v:textbox style="mso-fit-shape-to-text:t;">
                    <w:txbxContent>
                      <w:p w14:paraId="3A86E2FE">
                        <w:r>
                          <w:rPr>
                            <w:rFonts w:hint="eastAsia"/>
                          </w:rPr>
                          <w:t>1080</w:t>
                        </w:r>
                      </w:p>
                    </w:txbxContent>
                  </v:textbox>
                </v:shape>
              </w:pict>
            </w:r>
            <w:r>
              <w:rPr>
                <w:rFonts w:hAnsi="宋体"/>
                <w:kern w:val="0"/>
                <w:szCs w:val="21"/>
              </w:rPr>
              <w:pict>
                <v:shape id="_x0000_s1428" o:spid="_x0000_s1428" o:spt="202" type="#_x0000_t202" style="position:absolute;left:0pt;margin-left:120.25pt;margin-top:13.05pt;height:20.8pt;width:66.8pt;z-index:251731968;mso-width-relative:margin;mso-height-relative:margin;mso-height-percent:200;" filled="f" stroked="f" coordsize="21600,21600">
                  <v:path/>
                  <v:fill on="f" focussize="0,0"/>
                  <v:stroke on="f" joinstyle="miter"/>
                  <v:imagedata o:title=""/>
                  <o:lock v:ext="edit"/>
                  <v:textbox style="mso-fit-shape-to-text:t;">
                    <w:txbxContent>
                      <w:p w14:paraId="1DEA316C">
                        <w:r>
                          <w:rPr>
                            <w:rFonts w:hint="eastAsia"/>
                          </w:rPr>
                          <w:t>消耗8.64</w:t>
                        </w:r>
                      </w:p>
                    </w:txbxContent>
                  </v:textbox>
                </v:shape>
              </w:pict>
            </w:r>
          </w:p>
          <w:p w14:paraId="6B7E516D">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430" o:spid="_x0000_s1430" o:spt="202" type="#_x0000_t202" style="position:absolute;left:0pt;margin-left:249.25pt;margin-top:11.15pt;height:19.25pt;width:34.65pt;z-index:251734016;mso-width-relative:margin;mso-height-relative:margin;mso-height-percent:200;" filled="f" stroked="f" coordsize="21600,21600">
                  <v:path/>
                  <v:fill on="f" focussize="0,0"/>
                  <v:stroke on="f" joinstyle="miter"/>
                  <v:imagedata o:title=""/>
                  <o:lock v:ext="edit"/>
                  <v:textbox style="mso-fit-shape-to-text:t;">
                    <w:txbxContent>
                      <w:p w14:paraId="3365EDA1">
                        <w:r>
                          <w:rPr>
                            <w:rFonts w:hint="eastAsia"/>
                          </w:rPr>
                          <w:t>2.16</w:t>
                        </w:r>
                      </w:p>
                    </w:txbxContent>
                  </v:textbox>
                </v:shape>
              </w:pict>
            </w:r>
            <w:r>
              <w:rPr>
                <w:rFonts w:hAnsi="宋体"/>
                <w:kern w:val="0"/>
                <w:szCs w:val="21"/>
              </w:rPr>
              <w:pict>
                <v:shape id="_x0000_s1429" o:spid="_x0000_s1429" o:spt="202" type="#_x0000_t202" style="position:absolute;left:0pt;margin-left:59.4pt;margin-top:11.15pt;height:19.25pt;width:34.65pt;z-index:251732992;mso-width-relative:margin;mso-height-relative:margin;mso-height-percent:200;" filled="f" stroked="f" coordsize="21600,21600">
                  <v:path/>
                  <v:fill on="f" focussize="0,0"/>
                  <v:stroke on="f" joinstyle="miter"/>
                  <v:imagedata o:title=""/>
                  <o:lock v:ext="edit"/>
                  <v:textbox style="mso-fit-shape-to-text:t;">
                    <w:txbxContent>
                      <w:p w14:paraId="640C37BE">
                        <w:r>
                          <w:rPr>
                            <w:rFonts w:hint="eastAsia"/>
                          </w:rPr>
                          <w:t>10.8</w:t>
                        </w:r>
                      </w:p>
                    </w:txbxContent>
                  </v:textbox>
                </v:shape>
              </w:pict>
            </w:r>
            <w:r>
              <w:rPr>
                <w:bCs/>
                <w:sz w:val="24"/>
              </w:rPr>
              <w:pict>
                <v:shape id="_x0000_s1427" o:spid="_x0000_s1427" o:spt="32" type="#_x0000_t32" style="position:absolute;left:0pt;flip:y;margin-left:105.3pt;margin-top:5.45pt;height:12.1pt;width:21.6pt;z-index:251730944;mso-width-relative:page;mso-height-relative:page;" o:connectortype="straight" filled="f" coordsize="21600,21600">
                  <v:path arrowok="t"/>
                  <v:fill on="f" focussize="0,0"/>
                  <v:stroke dashstyle="dash" endarrow="block"/>
                  <v:imagedata o:title=""/>
                  <o:lock v:ext="edit"/>
                </v:shape>
              </w:pict>
            </w:r>
            <w:r>
              <w:rPr>
                <w:bCs/>
                <w:sz w:val="24"/>
              </w:rPr>
              <w:pict>
                <v:shape id="_x0000_s1426" o:spid="_x0000_s1426" o:spt="32" type="#_x0000_t32" style="position:absolute;left:0pt;margin-left:178.05pt;margin-top:2.1pt;height:14.7pt;width:0.05pt;z-index:251729920;mso-width-relative:page;mso-height-relative:page;" o:connectortype="straight" filled="f" coordsize="21600,21600">
                  <v:path arrowok="t"/>
                  <v:fill on="f" focussize="0,0"/>
                  <v:stroke endarrow="block"/>
                  <v:imagedata o:title=""/>
                  <o:lock v:ext="edit"/>
                </v:shape>
              </w:pict>
            </w:r>
            <w:r>
              <w:rPr>
                <w:bCs/>
                <w:sz w:val="24"/>
              </w:rPr>
              <w:pict>
                <v:shape id="_x0000_s1424" o:spid="_x0000_s1424" o:spt="32" type="#_x0000_t32" style="position:absolute;left:0pt;flip:y;margin-left:239.9pt;margin-top:2.1pt;height:24.75pt;width:0pt;z-index:251727872;mso-width-relative:page;mso-height-relative:page;" o:connectortype="straight" filled="f" coordsize="21600,21600">
                  <v:path arrowok="t"/>
                  <v:fill on="f" focussize="0,0"/>
                  <v:stroke/>
                  <v:imagedata o:title=""/>
                  <o:lock v:ext="edit"/>
                </v:shape>
              </w:pict>
            </w:r>
            <w:r>
              <w:rPr>
                <w:bCs/>
                <w:sz w:val="24"/>
              </w:rPr>
              <w:pict>
                <v:shape id="_x0000_s1425" o:spid="_x0000_s1425" o:spt="32" type="#_x0000_t32" style="position:absolute;left:0pt;flip:x;margin-left:178.05pt;margin-top:2.1pt;height:0pt;width:61.85pt;z-index:251728896;mso-width-relative:page;mso-height-relative:page;" o:connectortype="straight" filled="f" coordsize="21600,21600">
                  <v:path arrowok="t"/>
                  <v:fill on="f" focussize="0,0"/>
                  <v:stroke/>
                  <v:imagedata o:title=""/>
                  <o:lock v:ext="edit"/>
                </v:shape>
              </w:pict>
            </w:r>
          </w:p>
          <w:p w14:paraId="52329645">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423" o:spid="_x0000_s1423" o:spt="32" type="#_x0000_t32" style="position:absolute;left:0pt;margin-left:217.85pt;margin-top:10.85pt;height:0pt;width:79.1pt;z-index:251726848;mso-width-relative:page;mso-height-relative:page;" o:connectortype="straight" filled="f" coordsize="21600,21600">
                  <v:path arrowok="t"/>
                  <v:fill on="f" focussize="0,0"/>
                  <v:stroke endarrow="block"/>
                  <v:imagedata o:title=""/>
                  <o:lock v:ext="edit"/>
                </v:shape>
              </w:pict>
            </w:r>
            <w:r>
              <w:rPr>
                <w:rFonts w:hAnsi="宋体"/>
                <w:kern w:val="0"/>
                <w:szCs w:val="21"/>
              </w:rPr>
              <w:pict>
                <v:shape id="_x0000_s1422" o:spid="_x0000_s1422" o:spt="202" type="#_x0000_t202" style="position:absolute;left:0pt;margin-left:97.45pt;margin-top:0.4pt;height:21.55pt;width:120.4pt;z-index:251725824;mso-width-relative:margin;mso-height-relative:margin;mso-height-percent:200;" filled="f" coordsize="21600,21600">
                  <v:path/>
                  <v:fill on="f" focussize="0,0"/>
                  <v:stroke joinstyle="miter"/>
                  <v:imagedata o:title=""/>
                  <o:lock v:ext="edit"/>
                  <v:textbox style="mso-fit-shape-to-text:t;">
                    <w:txbxContent>
                      <w:p w14:paraId="3480CD7E">
                        <w:pPr>
                          <w:jc w:val="center"/>
                        </w:pPr>
                        <w:r>
                          <w:rPr>
                            <w:rFonts w:hint="eastAsia"/>
                          </w:rPr>
                          <w:t>循环冷却水系统</w:t>
                        </w:r>
                      </w:p>
                    </w:txbxContent>
                  </v:textbox>
                </v:shape>
              </w:pict>
            </w:r>
            <w:r>
              <w:rPr>
                <w:rFonts w:hAnsi="宋体"/>
                <w:kern w:val="0"/>
                <w:szCs w:val="21"/>
              </w:rPr>
              <w:pict>
                <v:shape id="_x0000_s1421" o:spid="_x0000_s1421" o:spt="32" type="#_x0000_t32" style="position:absolute;left:0pt;margin-left:60.25pt;margin-top:10.85pt;height:0pt;width:36.15pt;z-index:251724800;mso-width-relative:page;mso-height-relative:page;" o:connectortype="straight" filled="f" coordsize="21600,21600">
                  <v:path arrowok="t"/>
                  <v:fill on="f" focussize="0,0"/>
                  <v:stroke endarrow="block"/>
                  <v:imagedata o:title=""/>
                  <o:lock v:ext="edit"/>
                </v:shape>
              </w:pict>
            </w:r>
          </w:p>
          <w:p w14:paraId="6E40663D">
            <w:pPr>
              <w:autoSpaceDE w:val="0"/>
              <w:autoSpaceDN w:val="0"/>
              <w:adjustRightInd w:val="0"/>
              <w:spacing w:line="320" w:lineRule="exact"/>
              <w:ind w:firstLine="420" w:firstLineChars="200"/>
              <w:jc w:val="left"/>
              <w:rPr>
                <w:rFonts w:hAnsi="宋体"/>
                <w:kern w:val="0"/>
                <w:szCs w:val="21"/>
              </w:rPr>
            </w:pPr>
            <w:r>
              <w:rPr>
                <w:rFonts w:hAnsi="宋体"/>
                <w:kern w:val="0"/>
                <w:szCs w:val="21"/>
              </w:rPr>
              <w:pict>
                <v:shape id="_x0000_s1319" o:spid="_x0000_s1319" o:spt="202" type="#_x0000_t202" style="position:absolute;left:0pt;margin-left:346.15pt;margin-top:10.6pt;height:20.8pt;width:40.2pt;z-index:251694080;mso-width-relative:margin;mso-height-relative:margin;mso-height-percent:200;" filled="f" stroked="f" coordsize="21600,21600">
                  <v:path/>
                  <v:fill on="f" focussize="0,0"/>
                  <v:stroke on="f" joinstyle="miter"/>
                  <v:imagedata o:title=""/>
                  <o:lock v:ext="edit"/>
                  <v:textbox style="mso-fit-shape-to-text:t;">
                    <w:txbxContent>
                      <w:p w14:paraId="2AB602CA">
                        <w:r>
                          <w:rPr>
                            <w:rFonts w:hint="eastAsia"/>
                          </w:rPr>
                          <w:t>长江</w:t>
                        </w:r>
                      </w:p>
                    </w:txbxContent>
                  </v:textbox>
                </v:shape>
              </w:pict>
            </w:r>
          </w:p>
          <w:p w14:paraId="30124F3F">
            <w:pPr>
              <w:autoSpaceDE w:val="0"/>
              <w:autoSpaceDN w:val="0"/>
              <w:adjustRightInd w:val="0"/>
              <w:spacing w:line="320" w:lineRule="exact"/>
              <w:ind w:firstLine="420" w:firstLineChars="200"/>
              <w:jc w:val="left"/>
              <w:rPr>
                <w:rFonts w:hAnsi="宋体"/>
                <w:kern w:val="0"/>
                <w:szCs w:val="21"/>
              </w:rPr>
            </w:pPr>
          </w:p>
          <w:p w14:paraId="2299F3D2">
            <w:pPr>
              <w:snapToGrid w:val="0"/>
              <w:spacing w:line="440" w:lineRule="exact"/>
              <w:ind w:firstLine="422" w:firstLineChars="200"/>
              <w:jc w:val="center"/>
              <w:rPr>
                <w:b/>
                <w:bCs/>
                <w:szCs w:val="21"/>
              </w:rPr>
            </w:pPr>
            <w:r>
              <w:rPr>
                <w:rFonts w:hAnsi="宋体"/>
                <w:b/>
                <w:bCs/>
                <w:szCs w:val="21"/>
              </w:rPr>
              <w:t>图</w:t>
            </w:r>
            <w:r>
              <w:rPr>
                <w:b/>
                <w:bCs/>
                <w:szCs w:val="21"/>
              </w:rPr>
              <w:t xml:space="preserve">2.1-1  </w:t>
            </w:r>
            <w:r>
              <w:rPr>
                <w:rFonts w:hAnsi="宋体"/>
                <w:b/>
                <w:bCs/>
                <w:szCs w:val="21"/>
              </w:rPr>
              <w:t>项目水平图</w:t>
            </w:r>
            <w:r>
              <w:rPr>
                <w:b/>
                <w:bCs/>
                <w:szCs w:val="21"/>
              </w:rPr>
              <w:t xml:space="preserve">    </w:t>
            </w:r>
            <w:r>
              <w:rPr>
                <w:rFonts w:hAnsi="宋体"/>
                <w:b/>
                <w:bCs/>
                <w:szCs w:val="21"/>
              </w:rPr>
              <w:t>单位：</w:t>
            </w:r>
            <w:r>
              <w:rPr>
                <w:b/>
                <w:bCs/>
                <w:szCs w:val="21"/>
              </w:rPr>
              <w:t>m</w:t>
            </w:r>
            <w:r>
              <w:rPr>
                <w:b/>
                <w:bCs/>
                <w:szCs w:val="21"/>
                <w:vertAlign w:val="superscript"/>
              </w:rPr>
              <w:t>3</w:t>
            </w:r>
            <w:r>
              <w:rPr>
                <w:b/>
                <w:bCs/>
                <w:szCs w:val="21"/>
              </w:rPr>
              <w:t>/d</w:t>
            </w:r>
          </w:p>
          <w:p w14:paraId="1F398337">
            <w:pPr>
              <w:snapToGrid w:val="0"/>
              <w:spacing w:line="480" w:lineRule="exact"/>
              <w:rPr>
                <w:b/>
                <w:sz w:val="24"/>
              </w:rPr>
            </w:pPr>
            <w:r>
              <w:rPr>
                <w:rFonts w:hint="eastAsia"/>
                <w:b/>
                <w:bCs/>
                <w:sz w:val="24"/>
              </w:rPr>
              <w:t>2.1.7</w:t>
            </w:r>
            <w:r>
              <w:rPr>
                <w:b/>
                <w:sz w:val="24"/>
              </w:rPr>
              <w:t>主要原辅材料名称及年消耗量</w:t>
            </w:r>
          </w:p>
          <w:p w14:paraId="4030427C">
            <w:pPr>
              <w:snapToGrid w:val="0"/>
              <w:spacing w:line="480" w:lineRule="exact"/>
              <w:ind w:firstLine="480" w:firstLineChars="200"/>
              <w:rPr>
                <w:b/>
                <w:sz w:val="24"/>
              </w:rPr>
            </w:pPr>
            <w:r>
              <w:rPr>
                <w:sz w:val="24"/>
              </w:rPr>
              <w:t>本项目主要原辅材料消耗量见表2.</w:t>
            </w:r>
            <w:r>
              <w:rPr>
                <w:rFonts w:hint="eastAsia"/>
                <w:sz w:val="24"/>
              </w:rPr>
              <w:t>1-4</w:t>
            </w:r>
            <w:r>
              <w:rPr>
                <w:sz w:val="24"/>
              </w:rPr>
              <w:t>。</w:t>
            </w:r>
          </w:p>
          <w:p w14:paraId="43C4B546">
            <w:pPr>
              <w:adjustRightInd w:val="0"/>
              <w:snapToGrid w:val="0"/>
              <w:spacing w:line="480" w:lineRule="exact"/>
              <w:jc w:val="center"/>
              <w:rPr>
                <w:b/>
                <w:bCs/>
                <w:snapToGrid w:val="0"/>
                <w:kern w:val="0"/>
                <w:szCs w:val="21"/>
              </w:rPr>
            </w:pPr>
            <w:r>
              <w:rPr>
                <w:b/>
                <w:bCs/>
                <w:snapToGrid w:val="0"/>
                <w:kern w:val="0"/>
                <w:szCs w:val="21"/>
              </w:rPr>
              <w:t>表2.</w:t>
            </w:r>
            <w:r>
              <w:rPr>
                <w:rFonts w:hint="eastAsia"/>
                <w:b/>
                <w:bCs/>
                <w:snapToGrid w:val="0"/>
                <w:kern w:val="0"/>
                <w:szCs w:val="21"/>
              </w:rPr>
              <w:t>1-4</w:t>
            </w:r>
            <w:r>
              <w:rPr>
                <w:b/>
                <w:bCs/>
                <w:snapToGrid w:val="0"/>
                <w:kern w:val="0"/>
                <w:szCs w:val="21"/>
              </w:rPr>
              <w:t xml:space="preserve"> 项目主要原辅料及能源消耗情况表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849"/>
              <w:gridCol w:w="991"/>
              <w:gridCol w:w="1078"/>
              <w:gridCol w:w="848"/>
              <w:gridCol w:w="1272"/>
              <w:gridCol w:w="1790"/>
            </w:tblGrid>
            <w:tr w14:paraId="40A6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53D83C41">
                  <w:pPr>
                    <w:jc w:val="center"/>
                    <w:rPr>
                      <w:szCs w:val="21"/>
                    </w:rPr>
                  </w:pPr>
                  <w:r>
                    <w:rPr>
                      <w:rFonts w:hAnsi="宋体"/>
                      <w:szCs w:val="21"/>
                    </w:rPr>
                    <w:t>原料名称</w:t>
                  </w:r>
                </w:p>
              </w:tc>
              <w:tc>
                <w:tcPr>
                  <w:tcW w:w="849" w:type="dxa"/>
                  <w:vAlign w:val="center"/>
                </w:tcPr>
                <w:p w14:paraId="27EBC968">
                  <w:pPr>
                    <w:jc w:val="center"/>
                    <w:rPr>
                      <w:szCs w:val="21"/>
                    </w:rPr>
                  </w:pPr>
                  <w:r>
                    <w:rPr>
                      <w:rFonts w:hAnsi="宋体"/>
                      <w:szCs w:val="21"/>
                    </w:rPr>
                    <w:t>单位</w:t>
                  </w:r>
                </w:p>
              </w:tc>
              <w:tc>
                <w:tcPr>
                  <w:tcW w:w="991" w:type="dxa"/>
                  <w:vAlign w:val="center"/>
                </w:tcPr>
                <w:p w14:paraId="7253F9F3">
                  <w:pPr>
                    <w:jc w:val="center"/>
                    <w:rPr>
                      <w:szCs w:val="21"/>
                    </w:rPr>
                  </w:pPr>
                  <w:r>
                    <w:rPr>
                      <w:rFonts w:hAnsi="宋体"/>
                      <w:szCs w:val="21"/>
                    </w:rPr>
                    <w:t>使用量</w:t>
                  </w:r>
                </w:p>
              </w:tc>
              <w:tc>
                <w:tcPr>
                  <w:tcW w:w="1078" w:type="dxa"/>
                  <w:vAlign w:val="center"/>
                </w:tcPr>
                <w:p w14:paraId="0B640326">
                  <w:pPr>
                    <w:jc w:val="center"/>
                    <w:rPr>
                      <w:szCs w:val="21"/>
                    </w:rPr>
                  </w:pPr>
                  <w:r>
                    <w:rPr>
                      <w:rFonts w:hAnsi="宋体"/>
                      <w:szCs w:val="21"/>
                    </w:rPr>
                    <w:t>包装规格</w:t>
                  </w:r>
                </w:p>
              </w:tc>
              <w:tc>
                <w:tcPr>
                  <w:tcW w:w="848" w:type="dxa"/>
                  <w:vAlign w:val="center"/>
                </w:tcPr>
                <w:p w14:paraId="6204906A">
                  <w:pPr>
                    <w:jc w:val="center"/>
                    <w:rPr>
                      <w:szCs w:val="21"/>
                    </w:rPr>
                  </w:pPr>
                  <w:r>
                    <w:rPr>
                      <w:rFonts w:hAnsi="宋体"/>
                      <w:szCs w:val="21"/>
                    </w:rPr>
                    <w:t>形态</w:t>
                  </w:r>
                </w:p>
              </w:tc>
              <w:tc>
                <w:tcPr>
                  <w:tcW w:w="1272" w:type="dxa"/>
                  <w:vAlign w:val="center"/>
                </w:tcPr>
                <w:p w14:paraId="0311D44B">
                  <w:pPr>
                    <w:jc w:val="center"/>
                    <w:rPr>
                      <w:szCs w:val="21"/>
                    </w:rPr>
                  </w:pPr>
                  <w:r>
                    <w:rPr>
                      <w:rFonts w:hAnsi="宋体"/>
                      <w:szCs w:val="21"/>
                    </w:rPr>
                    <w:t>最大储存量</w:t>
                  </w:r>
                </w:p>
              </w:tc>
              <w:tc>
                <w:tcPr>
                  <w:tcW w:w="1790" w:type="dxa"/>
                  <w:vAlign w:val="center"/>
                </w:tcPr>
                <w:p w14:paraId="06055899">
                  <w:pPr>
                    <w:jc w:val="center"/>
                    <w:rPr>
                      <w:szCs w:val="21"/>
                    </w:rPr>
                  </w:pPr>
                  <w:r>
                    <w:rPr>
                      <w:rFonts w:hAnsi="宋体"/>
                      <w:szCs w:val="21"/>
                    </w:rPr>
                    <w:t>备注</w:t>
                  </w:r>
                </w:p>
              </w:tc>
            </w:tr>
            <w:tr w14:paraId="2539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2591DCBE">
                  <w:pPr>
                    <w:jc w:val="center"/>
                    <w:rPr>
                      <w:szCs w:val="21"/>
                    </w:rPr>
                  </w:pPr>
                  <w:r>
                    <w:rPr>
                      <w:rFonts w:hint="eastAsia" w:hAnsi="宋体"/>
                      <w:szCs w:val="21"/>
                    </w:rPr>
                    <w:t>书纸</w:t>
                  </w:r>
                </w:p>
              </w:tc>
              <w:tc>
                <w:tcPr>
                  <w:tcW w:w="849" w:type="dxa"/>
                  <w:vAlign w:val="center"/>
                </w:tcPr>
                <w:p w14:paraId="11E713D3">
                  <w:pPr>
                    <w:jc w:val="center"/>
                    <w:rPr>
                      <w:szCs w:val="21"/>
                    </w:rPr>
                  </w:pPr>
                  <w:r>
                    <w:rPr>
                      <w:szCs w:val="21"/>
                    </w:rPr>
                    <w:t>t/a</w:t>
                  </w:r>
                </w:p>
              </w:tc>
              <w:tc>
                <w:tcPr>
                  <w:tcW w:w="991" w:type="dxa"/>
                  <w:vAlign w:val="center"/>
                </w:tcPr>
                <w:p w14:paraId="3E98C6E9">
                  <w:pPr>
                    <w:jc w:val="center"/>
                    <w:rPr>
                      <w:szCs w:val="21"/>
                    </w:rPr>
                  </w:pPr>
                  <w:r>
                    <w:rPr>
                      <w:szCs w:val="21"/>
                    </w:rPr>
                    <w:t>100</w:t>
                  </w:r>
                  <w:r>
                    <w:rPr>
                      <w:rFonts w:hint="eastAsia"/>
                      <w:szCs w:val="21"/>
                    </w:rPr>
                    <w:t>0</w:t>
                  </w:r>
                </w:p>
              </w:tc>
              <w:tc>
                <w:tcPr>
                  <w:tcW w:w="1078" w:type="dxa"/>
                  <w:vAlign w:val="center"/>
                </w:tcPr>
                <w:p w14:paraId="372DAEBA">
                  <w:pPr>
                    <w:jc w:val="center"/>
                    <w:rPr>
                      <w:szCs w:val="21"/>
                    </w:rPr>
                  </w:pPr>
                  <w:r>
                    <w:rPr>
                      <w:szCs w:val="21"/>
                    </w:rPr>
                    <w:t>/</w:t>
                  </w:r>
                </w:p>
              </w:tc>
              <w:tc>
                <w:tcPr>
                  <w:tcW w:w="848" w:type="dxa"/>
                  <w:vAlign w:val="center"/>
                </w:tcPr>
                <w:p w14:paraId="76CE5230">
                  <w:pPr>
                    <w:jc w:val="center"/>
                    <w:rPr>
                      <w:szCs w:val="21"/>
                    </w:rPr>
                  </w:pPr>
                  <w:r>
                    <w:rPr>
                      <w:rFonts w:hAnsi="宋体"/>
                      <w:szCs w:val="21"/>
                    </w:rPr>
                    <w:t>固态</w:t>
                  </w:r>
                </w:p>
              </w:tc>
              <w:tc>
                <w:tcPr>
                  <w:tcW w:w="1272" w:type="dxa"/>
                  <w:vAlign w:val="center"/>
                </w:tcPr>
                <w:p w14:paraId="2EC0B134">
                  <w:pPr>
                    <w:jc w:val="center"/>
                    <w:rPr>
                      <w:szCs w:val="21"/>
                    </w:rPr>
                  </w:pPr>
                  <w:r>
                    <w:rPr>
                      <w:rFonts w:hint="eastAsia"/>
                      <w:szCs w:val="21"/>
                    </w:rPr>
                    <w:t>80</w:t>
                  </w:r>
                </w:p>
              </w:tc>
              <w:tc>
                <w:tcPr>
                  <w:tcW w:w="1790" w:type="dxa"/>
                  <w:vMerge w:val="restart"/>
                  <w:vAlign w:val="center"/>
                </w:tcPr>
                <w:p w14:paraId="1FF303A0">
                  <w:pPr>
                    <w:jc w:val="center"/>
                    <w:rPr>
                      <w:szCs w:val="21"/>
                    </w:rPr>
                  </w:pPr>
                  <w:r>
                    <w:rPr>
                      <w:rFonts w:hint="eastAsia"/>
                      <w:szCs w:val="21"/>
                    </w:rPr>
                    <w:t>原材料</w:t>
                  </w:r>
                </w:p>
              </w:tc>
            </w:tr>
            <w:tr w14:paraId="1A3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517D7C7F">
                  <w:pPr>
                    <w:jc w:val="center"/>
                    <w:rPr>
                      <w:rFonts w:hAnsi="宋体"/>
                      <w:szCs w:val="21"/>
                    </w:rPr>
                  </w:pPr>
                  <w:r>
                    <w:rPr>
                      <w:rFonts w:hint="eastAsia" w:hAnsi="宋体"/>
                      <w:szCs w:val="21"/>
                    </w:rPr>
                    <w:t>铜版纸</w:t>
                  </w:r>
                </w:p>
              </w:tc>
              <w:tc>
                <w:tcPr>
                  <w:tcW w:w="849" w:type="dxa"/>
                  <w:vAlign w:val="center"/>
                </w:tcPr>
                <w:p w14:paraId="07B52C9F">
                  <w:pPr>
                    <w:jc w:val="center"/>
                    <w:rPr>
                      <w:szCs w:val="21"/>
                    </w:rPr>
                  </w:pPr>
                  <w:r>
                    <w:rPr>
                      <w:szCs w:val="21"/>
                    </w:rPr>
                    <w:t>t/a</w:t>
                  </w:r>
                </w:p>
              </w:tc>
              <w:tc>
                <w:tcPr>
                  <w:tcW w:w="991" w:type="dxa"/>
                  <w:vAlign w:val="center"/>
                </w:tcPr>
                <w:p w14:paraId="23C92DCA">
                  <w:pPr>
                    <w:jc w:val="center"/>
                    <w:rPr>
                      <w:szCs w:val="21"/>
                    </w:rPr>
                  </w:pPr>
                  <w:r>
                    <w:rPr>
                      <w:rFonts w:hint="eastAsia"/>
                      <w:szCs w:val="21"/>
                    </w:rPr>
                    <w:t>6000</w:t>
                  </w:r>
                </w:p>
              </w:tc>
              <w:tc>
                <w:tcPr>
                  <w:tcW w:w="1078" w:type="dxa"/>
                  <w:vAlign w:val="center"/>
                </w:tcPr>
                <w:p w14:paraId="39D654CB">
                  <w:pPr>
                    <w:jc w:val="center"/>
                    <w:rPr>
                      <w:szCs w:val="21"/>
                    </w:rPr>
                  </w:pPr>
                  <w:r>
                    <w:rPr>
                      <w:rFonts w:hint="eastAsia"/>
                      <w:szCs w:val="21"/>
                    </w:rPr>
                    <w:t>/</w:t>
                  </w:r>
                </w:p>
              </w:tc>
              <w:tc>
                <w:tcPr>
                  <w:tcW w:w="848" w:type="dxa"/>
                  <w:vAlign w:val="center"/>
                </w:tcPr>
                <w:p w14:paraId="68183959">
                  <w:pPr>
                    <w:jc w:val="center"/>
                    <w:rPr>
                      <w:rFonts w:hAnsi="宋体"/>
                      <w:szCs w:val="21"/>
                    </w:rPr>
                  </w:pPr>
                  <w:r>
                    <w:rPr>
                      <w:rFonts w:hAnsi="宋体"/>
                      <w:szCs w:val="21"/>
                    </w:rPr>
                    <w:t>固态</w:t>
                  </w:r>
                </w:p>
              </w:tc>
              <w:tc>
                <w:tcPr>
                  <w:tcW w:w="1272" w:type="dxa"/>
                  <w:vAlign w:val="center"/>
                </w:tcPr>
                <w:p w14:paraId="2069E89D">
                  <w:pPr>
                    <w:jc w:val="center"/>
                    <w:rPr>
                      <w:szCs w:val="21"/>
                    </w:rPr>
                  </w:pPr>
                  <w:r>
                    <w:rPr>
                      <w:rFonts w:hint="eastAsia"/>
                      <w:szCs w:val="21"/>
                    </w:rPr>
                    <w:t>500</w:t>
                  </w:r>
                </w:p>
              </w:tc>
              <w:tc>
                <w:tcPr>
                  <w:tcW w:w="1790" w:type="dxa"/>
                  <w:vMerge w:val="continue"/>
                  <w:vAlign w:val="center"/>
                </w:tcPr>
                <w:p w14:paraId="3840C87D">
                  <w:pPr>
                    <w:jc w:val="center"/>
                    <w:rPr>
                      <w:rFonts w:hAnsi="宋体"/>
                      <w:szCs w:val="21"/>
                    </w:rPr>
                  </w:pPr>
                </w:p>
              </w:tc>
            </w:tr>
            <w:tr w14:paraId="247C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2067E62F">
                  <w:pPr>
                    <w:jc w:val="center"/>
                    <w:rPr>
                      <w:rFonts w:hAnsi="宋体"/>
                      <w:szCs w:val="21"/>
                    </w:rPr>
                  </w:pPr>
                  <w:r>
                    <w:rPr>
                      <w:rFonts w:hint="eastAsia" w:hAnsi="宋体"/>
                      <w:szCs w:val="21"/>
                    </w:rPr>
                    <w:t>粉灰纸</w:t>
                  </w:r>
                </w:p>
              </w:tc>
              <w:tc>
                <w:tcPr>
                  <w:tcW w:w="849" w:type="dxa"/>
                  <w:vAlign w:val="center"/>
                </w:tcPr>
                <w:p w14:paraId="190FECBB">
                  <w:pPr>
                    <w:jc w:val="center"/>
                    <w:rPr>
                      <w:szCs w:val="21"/>
                    </w:rPr>
                  </w:pPr>
                  <w:r>
                    <w:rPr>
                      <w:szCs w:val="21"/>
                    </w:rPr>
                    <w:t>t/a</w:t>
                  </w:r>
                </w:p>
              </w:tc>
              <w:tc>
                <w:tcPr>
                  <w:tcW w:w="991" w:type="dxa"/>
                  <w:vAlign w:val="center"/>
                </w:tcPr>
                <w:p w14:paraId="28F516A9">
                  <w:pPr>
                    <w:jc w:val="center"/>
                    <w:rPr>
                      <w:szCs w:val="21"/>
                    </w:rPr>
                  </w:pPr>
                  <w:r>
                    <w:rPr>
                      <w:rFonts w:hint="eastAsia"/>
                      <w:szCs w:val="21"/>
                    </w:rPr>
                    <w:t>3000</w:t>
                  </w:r>
                </w:p>
              </w:tc>
              <w:tc>
                <w:tcPr>
                  <w:tcW w:w="1078" w:type="dxa"/>
                  <w:vAlign w:val="center"/>
                </w:tcPr>
                <w:p w14:paraId="72ED1A23">
                  <w:pPr>
                    <w:jc w:val="center"/>
                    <w:rPr>
                      <w:szCs w:val="21"/>
                    </w:rPr>
                  </w:pPr>
                  <w:r>
                    <w:rPr>
                      <w:rFonts w:hint="eastAsia"/>
                      <w:szCs w:val="21"/>
                    </w:rPr>
                    <w:t>/</w:t>
                  </w:r>
                </w:p>
              </w:tc>
              <w:tc>
                <w:tcPr>
                  <w:tcW w:w="848" w:type="dxa"/>
                  <w:vAlign w:val="center"/>
                </w:tcPr>
                <w:p w14:paraId="0226C66C">
                  <w:pPr>
                    <w:jc w:val="center"/>
                    <w:rPr>
                      <w:rFonts w:hAnsi="宋体"/>
                      <w:szCs w:val="21"/>
                    </w:rPr>
                  </w:pPr>
                  <w:r>
                    <w:rPr>
                      <w:rFonts w:hAnsi="宋体"/>
                      <w:szCs w:val="21"/>
                    </w:rPr>
                    <w:t>固态</w:t>
                  </w:r>
                </w:p>
              </w:tc>
              <w:tc>
                <w:tcPr>
                  <w:tcW w:w="1272" w:type="dxa"/>
                  <w:vAlign w:val="center"/>
                </w:tcPr>
                <w:p w14:paraId="2642E2F3">
                  <w:pPr>
                    <w:jc w:val="center"/>
                    <w:rPr>
                      <w:szCs w:val="21"/>
                    </w:rPr>
                  </w:pPr>
                  <w:r>
                    <w:rPr>
                      <w:rFonts w:hint="eastAsia"/>
                      <w:szCs w:val="21"/>
                    </w:rPr>
                    <w:t>250</w:t>
                  </w:r>
                </w:p>
              </w:tc>
              <w:tc>
                <w:tcPr>
                  <w:tcW w:w="1790" w:type="dxa"/>
                  <w:vMerge w:val="continue"/>
                  <w:vAlign w:val="center"/>
                </w:tcPr>
                <w:p w14:paraId="6E0228EA">
                  <w:pPr>
                    <w:jc w:val="center"/>
                    <w:rPr>
                      <w:rFonts w:hAnsi="宋体"/>
                      <w:szCs w:val="21"/>
                    </w:rPr>
                  </w:pPr>
                </w:p>
              </w:tc>
            </w:tr>
            <w:tr w14:paraId="1B28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3E016CBB">
                  <w:pPr>
                    <w:jc w:val="center"/>
                    <w:rPr>
                      <w:rFonts w:hAnsi="宋体"/>
                      <w:szCs w:val="21"/>
                    </w:rPr>
                  </w:pPr>
                  <w:r>
                    <w:rPr>
                      <w:rFonts w:hint="eastAsia" w:hAnsi="宋体"/>
                      <w:szCs w:val="21"/>
                    </w:rPr>
                    <w:t>免冲洗CTP板材</w:t>
                  </w:r>
                </w:p>
              </w:tc>
              <w:tc>
                <w:tcPr>
                  <w:tcW w:w="849" w:type="dxa"/>
                  <w:vAlign w:val="center"/>
                </w:tcPr>
                <w:p w14:paraId="18F849AB">
                  <w:pPr>
                    <w:jc w:val="center"/>
                    <w:rPr>
                      <w:szCs w:val="21"/>
                    </w:rPr>
                  </w:pPr>
                  <w:r>
                    <w:rPr>
                      <w:rFonts w:hint="eastAsia"/>
                      <w:szCs w:val="21"/>
                    </w:rPr>
                    <w:t>张</w:t>
                  </w:r>
                </w:p>
              </w:tc>
              <w:tc>
                <w:tcPr>
                  <w:tcW w:w="991" w:type="dxa"/>
                  <w:vAlign w:val="center"/>
                </w:tcPr>
                <w:p w14:paraId="14A58A97">
                  <w:pPr>
                    <w:jc w:val="center"/>
                    <w:rPr>
                      <w:szCs w:val="21"/>
                    </w:rPr>
                  </w:pPr>
                  <w:r>
                    <w:rPr>
                      <w:rFonts w:hint="eastAsia"/>
                      <w:szCs w:val="21"/>
                    </w:rPr>
                    <w:t>4000</w:t>
                  </w:r>
                </w:p>
              </w:tc>
              <w:tc>
                <w:tcPr>
                  <w:tcW w:w="1078" w:type="dxa"/>
                  <w:vAlign w:val="center"/>
                </w:tcPr>
                <w:p w14:paraId="3BE9669B">
                  <w:pPr>
                    <w:jc w:val="center"/>
                    <w:rPr>
                      <w:szCs w:val="21"/>
                    </w:rPr>
                  </w:pPr>
                  <w:r>
                    <w:rPr>
                      <w:rFonts w:hint="eastAsia"/>
                      <w:szCs w:val="21"/>
                    </w:rPr>
                    <w:t>/</w:t>
                  </w:r>
                </w:p>
              </w:tc>
              <w:tc>
                <w:tcPr>
                  <w:tcW w:w="848" w:type="dxa"/>
                  <w:vAlign w:val="center"/>
                </w:tcPr>
                <w:p w14:paraId="1A1965EB">
                  <w:pPr>
                    <w:jc w:val="center"/>
                    <w:rPr>
                      <w:rFonts w:hAnsi="宋体"/>
                      <w:szCs w:val="21"/>
                    </w:rPr>
                  </w:pPr>
                  <w:r>
                    <w:rPr>
                      <w:rFonts w:hint="eastAsia"/>
                      <w:szCs w:val="21"/>
                    </w:rPr>
                    <w:t>固态</w:t>
                  </w:r>
                </w:p>
              </w:tc>
              <w:tc>
                <w:tcPr>
                  <w:tcW w:w="1272" w:type="dxa"/>
                  <w:vAlign w:val="center"/>
                </w:tcPr>
                <w:p w14:paraId="7F529EE4">
                  <w:pPr>
                    <w:jc w:val="center"/>
                    <w:rPr>
                      <w:szCs w:val="21"/>
                    </w:rPr>
                  </w:pPr>
                  <w:r>
                    <w:rPr>
                      <w:rFonts w:hint="eastAsia"/>
                      <w:szCs w:val="21"/>
                    </w:rPr>
                    <w:t>300</w:t>
                  </w:r>
                </w:p>
              </w:tc>
              <w:tc>
                <w:tcPr>
                  <w:tcW w:w="1790" w:type="dxa"/>
                  <w:vAlign w:val="center"/>
                </w:tcPr>
                <w:p w14:paraId="2C934BCF">
                  <w:pPr>
                    <w:jc w:val="center"/>
                    <w:rPr>
                      <w:rFonts w:hAnsi="宋体"/>
                      <w:szCs w:val="21"/>
                    </w:rPr>
                  </w:pPr>
                  <w:r>
                    <w:rPr>
                      <w:rFonts w:hint="eastAsia" w:hAnsi="宋体"/>
                      <w:szCs w:val="21"/>
                    </w:rPr>
                    <w:t>制版原料</w:t>
                  </w:r>
                </w:p>
              </w:tc>
            </w:tr>
            <w:tr w14:paraId="1F67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27A3251E">
                  <w:pPr>
                    <w:jc w:val="center"/>
                    <w:rPr>
                      <w:szCs w:val="21"/>
                    </w:rPr>
                  </w:pPr>
                  <w:r>
                    <w:rPr>
                      <w:rFonts w:hAnsi="宋体"/>
                      <w:szCs w:val="21"/>
                    </w:rPr>
                    <w:t>油墨</w:t>
                  </w:r>
                </w:p>
              </w:tc>
              <w:tc>
                <w:tcPr>
                  <w:tcW w:w="849" w:type="dxa"/>
                  <w:vAlign w:val="center"/>
                </w:tcPr>
                <w:p w14:paraId="15757A10">
                  <w:pPr>
                    <w:jc w:val="center"/>
                    <w:rPr>
                      <w:szCs w:val="21"/>
                    </w:rPr>
                  </w:pPr>
                  <w:r>
                    <w:rPr>
                      <w:szCs w:val="21"/>
                    </w:rPr>
                    <w:t>t/a</w:t>
                  </w:r>
                </w:p>
              </w:tc>
              <w:tc>
                <w:tcPr>
                  <w:tcW w:w="991" w:type="dxa"/>
                  <w:vAlign w:val="center"/>
                </w:tcPr>
                <w:p w14:paraId="6E9C20C5">
                  <w:pPr>
                    <w:jc w:val="center"/>
                    <w:rPr>
                      <w:szCs w:val="21"/>
                    </w:rPr>
                  </w:pPr>
                  <w:r>
                    <w:rPr>
                      <w:szCs w:val="21"/>
                    </w:rPr>
                    <w:t>20</w:t>
                  </w:r>
                </w:p>
              </w:tc>
              <w:tc>
                <w:tcPr>
                  <w:tcW w:w="1078" w:type="dxa"/>
                  <w:vAlign w:val="center"/>
                </w:tcPr>
                <w:p w14:paraId="2B876702">
                  <w:pPr>
                    <w:jc w:val="center"/>
                    <w:rPr>
                      <w:szCs w:val="21"/>
                    </w:rPr>
                  </w:pPr>
                  <w:r>
                    <w:rPr>
                      <w:szCs w:val="21"/>
                    </w:rPr>
                    <w:t>25kg/</w:t>
                  </w:r>
                  <w:r>
                    <w:rPr>
                      <w:rFonts w:hAnsi="宋体"/>
                      <w:szCs w:val="21"/>
                    </w:rPr>
                    <w:t>桶</w:t>
                  </w:r>
                </w:p>
              </w:tc>
              <w:tc>
                <w:tcPr>
                  <w:tcW w:w="848" w:type="dxa"/>
                  <w:vAlign w:val="center"/>
                </w:tcPr>
                <w:p w14:paraId="32AD0663">
                  <w:pPr>
                    <w:jc w:val="center"/>
                    <w:rPr>
                      <w:szCs w:val="21"/>
                    </w:rPr>
                  </w:pPr>
                  <w:r>
                    <w:rPr>
                      <w:rFonts w:hAnsi="宋体"/>
                      <w:szCs w:val="21"/>
                    </w:rPr>
                    <w:t>液态</w:t>
                  </w:r>
                </w:p>
              </w:tc>
              <w:tc>
                <w:tcPr>
                  <w:tcW w:w="1272" w:type="dxa"/>
                  <w:vAlign w:val="center"/>
                </w:tcPr>
                <w:p w14:paraId="510F0453">
                  <w:pPr>
                    <w:jc w:val="center"/>
                    <w:rPr>
                      <w:szCs w:val="21"/>
                    </w:rPr>
                  </w:pPr>
                  <w:r>
                    <w:rPr>
                      <w:rFonts w:hint="eastAsia"/>
                      <w:szCs w:val="21"/>
                    </w:rPr>
                    <w:t>2</w:t>
                  </w:r>
                </w:p>
              </w:tc>
              <w:tc>
                <w:tcPr>
                  <w:tcW w:w="1790" w:type="dxa"/>
                  <w:vAlign w:val="center"/>
                </w:tcPr>
                <w:p w14:paraId="65918B3A">
                  <w:pPr>
                    <w:jc w:val="center"/>
                    <w:rPr>
                      <w:szCs w:val="21"/>
                    </w:rPr>
                  </w:pPr>
                  <w:r>
                    <w:rPr>
                      <w:rFonts w:hAnsi="宋体"/>
                      <w:szCs w:val="21"/>
                    </w:rPr>
                    <w:t>印刷工序</w:t>
                  </w:r>
                </w:p>
              </w:tc>
            </w:tr>
            <w:tr w14:paraId="79B5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1AB83F42">
                  <w:pPr>
                    <w:jc w:val="center"/>
                    <w:rPr>
                      <w:szCs w:val="21"/>
                    </w:rPr>
                  </w:pPr>
                  <w:r>
                    <w:rPr>
                      <w:rFonts w:hAnsi="宋体"/>
                      <w:szCs w:val="21"/>
                    </w:rPr>
                    <w:t>水性上光油</w:t>
                  </w:r>
                </w:p>
              </w:tc>
              <w:tc>
                <w:tcPr>
                  <w:tcW w:w="849" w:type="dxa"/>
                  <w:vAlign w:val="center"/>
                </w:tcPr>
                <w:p w14:paraId="0EBC9293">
                  <w:pPr>
                    <w:jc w:val="center"/>
                    <w:rPr>
                      <w:szCs w:val="21"/>
                    </w:rPr>
                  </w:pPr>
                  <w:r>
                    <w:rPr>
                      <w:szCs w:val="21"/>
                    </w:rPr>
                    <w:t>t/a</w:t>
                  </w:r>
                </w:p>
              </w:tc>
              <w:tc>
                <w:tcPr>
                  <w:tcW w:w="991" w:type="dxa"/>
                  <w:vAlign w:val="center"/>
                </w:tcPr>
                <w:p w14:paraId="4791BA47">
                  <w:pPr>
                    <w:jc w:val="center"/>
                    <w:rPr>
                      <w:szCs w:val="21"/>
                    </w:rPr>
                  </w:pPr>
                  <w:r>
                    <w:rPr>
                      <w:rFonts w:hint="eastAsia"/>
                      <w:szCs w:val="21"/>
                    </w:rPr>
                    <w:t>5</w:t>
                  </w:r>
                </w:p>
              </w:tc>
              <w:tc>
                <w:tcPr>
                  <w:tcW w:w="1078" w:type="dxa"/>
                  <w:vAlign w:val="center"/>
                </w:tcPr>
                <w:p w14:paraId="397C8FE4">
                  <w:pPr>
                    <w:jc w:val="center"/>
                    <w:rPr>
                      <w:szCs w:val="21"/>
                    </w:rPr>
                  </w:pPr>
                  <w:r>
                    <w:rPr>
                      <w:szCs w:val="21"/>
                    </w:rPr>
                    <w:t>20kg/</w:t>
                  </w:r>
                  <w:r>
                    <w:rPr>
                      <w:rFonts w:hAnsi="宋体"/>
                      <w:szCs w:val="21"/>
                    </w:rPr>
                    <w:t>桶</w:t>
                  </w:r>
                </w:p>
              </w:tc>
              <w:tc>
                <w:tcPr>
                  <w:tcW w:w="848" w:type="dxa"/>
                  <w:vAlign w:val="center"/>
                </w:tcPr>
                <w:p w14:paraId="5C3E97CC">
                  <w:pPr>
                    <w:jc w:val="center"/>
                    <w:rPr>
                      <w:szCs w:val="21"/>
                    </w:rPr>
                  </w:pPr>
                  <w:r>
                    <w:rPr>
                      <w:rFonts w:hAnsi="宋体"/>
                      <w:szCs w:val="21"/>
                    </w:rPr>
                    <w:t>液态</w:t>
                  </w:r>
                </w:p>
              </w:tc>
              <w:tc>
                <w:tcPr>
                  <w:tcW w:w="1272" w:type="dxa"/>
                  <w:vAlign w:val="center"/>
                </w:tcPr>
                <w:p w14:paraId="26E772E2">
                  <w:pPr>
                    <w:jc w:val="center"/>
                    <w:rPr>
                      <w:szCs w:val="21"/>
                    </w:rPr>
                  </w:pPr>
                  <w:r>
                    <w:rPr>
                      <w:rFonts w:hint="eastAsia"/>
                      <w:szCs w:val="21"/>
                    </w:rPr>
                    <w:t>0.4</w:t>
                  </w:r>
                </w:p>
              </w:tc>
              <w:tc>
                <w:tcPr>
                  <w:tcW w:w="1790" w:type="dxa"/>
                  <w:vAlign w:val="center"/>
                </w:tcPr>
                <w:p w14:paraId="5CDA8796">
                  <w:pPr>
                    <w:jc w:val="center"/>
                    <w:rPr>
                      <w:szCs w:val="21"/>
                    </w:rPr>
                  </w:pPr>
                  <w:r>
                    <w:rPr>
                      <w:rFonts w:hAnsi="宋体"/>
                      <w:szCs w:val="21"/>
                    </w:rPr>
                    <w:t>过油工序</w:t>
                  </w:r>
                </w:p>
              </w:tc>
            </w:tr>
            <w:tr w14:paraId="3318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648DB8B0">
                  <w:pPr>
                    <w:jc w:val="center"/>
                    <w:rPr>
                      <w:szCs w:val="21"/>
                    </w:rPr>
                  </w:pPr>
                  <w:r>
                    <w:rPr>
                      <w:rFonts w:hAnsi="宋体"/>
                      <w:szCs w:val="21"/>
                    </w:rPr>
                    <w:t>水基性胶粘剂（</w:t>
                  </w:r>
                  <w:r>
                    <w:rPr>
                      <w:szCs w:val="21"/>
                    </w:rPr>
                    <w:t>MA-7033</w:t>
                  </w:r>
                  <w:r>
                    <w:rPr>
                      <w:rFonts w:hAnsi="宋体"/>
                      <w:szCs w:val="21"/>
                    </w:rPr>
                    <w:t>）</w:t>
                  </w:r>
                </w:p>
              </w:tc>
              <w:tc>
                <w:tcPr>
                  <w:tcW w:w="849" w:type="dxa"/>
                  <w:vAlign w:val="center"/>
                </w:tcPr>
                <w:p w14:paraId="1CBA4FC4">
                  <w:pPr>
                    <w:jc w:val="center"/>
                    <w:rPr>
                      <w:szCs w:val="21"/>
                    </w:rPr>
                  </w:pPr>
                  <w:r>
                    <w:rPr>
                      <w:szCs w:val="21"/>
                    </w:rPr>
                    <w:t>t/a</w:t>
                  </w:r>
                </w:p>
              </w:tc>
              <w:tc>
                <w:tcPr>
                  <w:tcW w:w="991" w:type="dxa"/>
                  <w:vAlign w:val="center"/>
                </w:tcPr>
                <w:p w14:paraId="7ED9E0BA">
                  <w:pPr>
                    <w:jc w:val="center"/>
                    <w:rPr>
                      <w:szCs w:val="21"/>
                    </w:rPr>
                  </w:pPr>
                  <w:r>
                    <w:rPr>
                      <w:szCs w:val="21"/>
                    </w:rPr>
                    <w:t>300</w:t>
                  </w:r>
                </w:p>
              </w:tc>
              <w:tc>
                <w:tcPr>
                  <w:tcW w:w="1078" w:type="dxa"/>
                  <w:vAlign w:val="center"/>
                </w:tcPr>
                <w:p w14:paraId="5170481E">
                  <w:pPr>
                    <w:jc w:val="center"/>
                    <w:rPr>
                      <w:szCs w:val="21"/>
                    </w:rPr>
                  </w:pPr>
                  <w:r>
                    <w:rPr>
                      <w:szCs w:val="21"/>
                    </w:rPr>
                    <w:t>50kg/</w:t>
                  </w:r>
                  <w:r>
                    <w:rPr>
                      <w:rFonts w:hAnsi="宋体"/>
                      <w:szCs w:val="21"/>
                    </w:rPr>
                    <w:t>桶</w:t>
                  </w:r>
                </w:p>
              </w:tc>
              <w:tc>
                <w:tcPr>
                  <w:tcW w:w="848" w:type="dxa"/>
                  <w:vAlign w:val="center"/>
                </w:tcPr>
                <w:p w14:paraId="1AD404C1">
                  <w:pPr>
                    <w:jc w:val="center"/>
                    <w:rPr>
                      <w:szCs w:val="21"/>
                    </w:rPr>
                  </w:pPr>
                  <w:r>
                    <w:rPr>
                      <w:rFonts w:hAnsi="宋体"/>
                      <w:szCs w:val="21"/>
                    </w:rPr>
                    <w:t>液态</w:t>
                  </w:r>
                </w:p>
              </w:tc>
              <w:tc>
                <w:tcPr>
                  <w:tcW w:w="1272" w:type="dxa"/>
                  <w:vAlign w:val="center"/>
                </w:tcPr>
                <w:p w14:paraId="6DD9DDCF">
                  <w:pPr>
                    <w:jc w:val="center"/>
                    <w:rPr>
                      <w:szCs w:val="21"/>
                    </w:rPr>
                  </w:pPr>
                  <w:r>
                    <w:rPr>
                      <w:rFonts w:hint="eastAsia"/>
                      <w:szCs w:val="21"/>
                    </w:rPr>
                    <w:t>25</w:t>
                  </w:r>
                </w:p>
              </w:tc>
              <w:tc>
                <w:tcPr>
                  <w:tcW w:w="1790" w:type="dxa"/>
                  <w:vAlign w:val="center"/>
                </w:tcPr>
                <w:p w14:paraId="00CEF1E8">
                  <w:pPr>
                    <w:jc w:val="center"/>
                    <w:rPr>
                      <w:szCs w:val="21"/>
                    </w:rPr>
                  </w:pPr>
                  <w:r>
                    <w:rPr>
                      <w:rFonts w:hAnsi="宋体"/>
                      <w:szCs w:val="21"/>
                    </w:rPr>
                    <w:t>裱纸</w:t>
                  </w:r>
                  <w:r>
                    <w:rPr>
                      <w:szCs w:val="21"/>
                    </w:rPr>
                    <w:t>/</w:t>
                  </w:r>
                  <w:r>
                    <w:rPr>
                      <w:rFonts w:hAnsi="宋体"/>
                      <w:szCs w:val="21"/>
                    </w:rPr>
                    <w:t>糊折盒工序</w:t>
                  </w:r>
                </w:p>
              </w:tc>
            </w:tr>
            <w:tr w14:paraId="1841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0CD72921">
                  <w:pPr>
                    <w:jc w:val="center"/>
                    <w:rPr>
                      <w:szCs w:val="21"/>
                    </w:rPr>
                  </w:pPr>
                  <w:r>
                    <w:rPr>
                      <w:rFonts w:hAnsi="宋体"/>
                      <w:szCs w:val="21"/>
                    </w:rPr>
                    <w:t>洗车水</w:t>
                  </w:r>
                </w:p>
              </w:tc>
              <w:tc>
                <w:tcPr>
                  <w:tcW w:w="849" w:type="dxa"/>
                  <w:vAlign w:val="center"/>
                </w:tcPr>
                <w:p w14:paraId="3858837F">
                  <w:pPr>
                    <w:jc w:val="center"/>
                    <w:rPr>
                      <w:szCs w:val="21"/>
                    </w:rPr>
                  </w:pPr>
                  <w:r>
                    <w:rPr>
                      <w:szCs w:val="21"/>
                    </w:rPr>
                    <w:t>t/a</w:t>
                  </w:r>
                </w:p>
              </w:tc>
              <w:tc>
                <w:tcPr>
                  <w:tcW w:w="991" w:type="dxa"/>
                  <w:vAlign w:val="center"/>
                </w:tcPr>
                <w:p w14:paraId="49B80339">
                  <w:pPr>
                    <w:jc w:val="center"/>
                    <w:rPr>
                      <w:szCs w:val="21"/>
                    </w:rPr>
                  </w:pPr>
                  <w:r>
                    <w:rPr>
                      <w:rFonts w:hint="eastAsia"/>
                      <w:szCs w:val="21"/>
                    </w:rPr>
                    <w:t>3</w:t>
                  </w:r>
                </w:p>
              </w:tc>
              <w:tc>
                <w:tcPr>
                  <w:tcW w:w="1078" w:type="dxa"/>
                  <w:vAlign w:val="center"/>
                </w:tcPr>
                <w:p w14:paraId="77BF89DE">
                  <w:pPr>
                    <w:jc w:val="center"/>
                    <w:rPr>
                      <w:szCs w:val="21"/>
                    </w:rPr>
                  </w:pPr>
                  <w:r>
                    <w:rPr>
                      <w:szCs w:val="21"/>
                    </w:rPr>
                    <w:t>12kg/</w:t>
                  </w:r>
                  <w:r>
                    <w:rPr>
                      <w:rFonts w:hAnsi="宋体"/>
                      <w:szCs w:val="21"/>
                    </w:rPr>
                    <w:t>桶</w:t>
                  </w:r>
                </w:p>
              </w:tc>
              <w:tc>
                <w:tcPr>
                  <w:tcW w:w="848" w:type="dxa"/>
                  <w:vAlign w:val="center"/>
                </w:tcPr>
                <w:p w14:paraId="7C6C1193">
                  <w:pPr>
                    <w:jc w:val="center"/>
                    <w:rPr>
                      <w:szCs w:val="21"/>
                    </w:rPr>
                  </w:pPr>
                  <w:r>
                    <w:rPr>
                      <w:rFonts w:hAnsi="宋体"/>
                      <w:szCs w:val="21"/>
                    </w:rPr>
                    <w:t>液态</w:t>
                  </w:r>
                </w:p>
              </w:tc>
              <w:tc>
                <w:tcPr>
                  <w:tcW w:w="1272" w:type="dxa"/>
                  <w:vAlign w:val="center"/>
                </w:tcPr>
                <w:p w14:paraId="6AD86230">
                  <w:pPr>
                    <w:jc w:val="center"/>
                    <w:rPr>
                      <w:szCs w:val="21"/>
                    </w:rPr>
                  </w:pPr>
                  <w:r>
                    <w:rPr>
                      <w:rFonts w:hint="eastAsia"/>
                      <w:szCs w:val="21"/>
                    </w:rPr>
                    <w:t>0.25</w:t>
                  </w:r>
                </w:p>
              </w:tc>
              <w:tc>
                <w:tcPr>
                  <w:tcW w:w="1790" w:type="dxa"/>
                  <w:vAlign w:val="center"/>
                </w:tcPr>
                <w:p w14:paraId="49D3AAAC">
                  <w:pPr>
                    <w:jc w:val="center"/>
                    <w:rPr>
                      <w:szCs w:val="21"/>
                    </w:rPr>
                  </w:pPr>
                  <w:r>
                    <w:rPr>
                      <w:rFonts w:hAnsi="宋体"/>
                      <w:szCs w:val="21"/>
                    </w:rPr>
                    <w:t>印刷机擦拭</w:t>
                  </w:r>
                </w:p>
              </w:tc>
            </w:tr>
            <w:tr w14:paraId="626F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526F573D">
                  <w:pPr>
                    <w:jc w:val="center"/>
                    <w:rPr>
                      <w:szCs w:val="21"/>
                    </w:rPr>
                  </w:pPr>
                  <w:r>
                    <w:rPr>
                      <w:rFonts w:hAnsi="宋体"/>
                      <w:szCs w:val="21"/>
                    </w:rPr>
                    <w:t>润版液</w:t>
                  </w:r>
                </w:p>
              </w:tc>
              <w:tc>
                <w:tcPr>
                  <w:tcW w:w="849" w:type="dxa"/>
                  <w:vAlign w:val="center"/>
                </w:tcPr>
                <w:p w14:paraId="7CF28AAA">
                  <w:pPr>
                    <w:jc w:val="center"/>
                    <w:rPr>
                      <w:szCs w:val="21"/>
                    </w:rPr>
                  </w:pPr>
                  <w:r>
                    <w:rPr>
                      <w:szCs w:val="21"/>
                    </w:rPr>
                    <w:t>t/a</w:t>
                  </w:r>
                </w:p>
              </w:tc>
              <w:tc>
                <w:tcPr>
                  <w:tcW w:w="991" w:type="dxa"/>
                  <w:vAlign w:val="center"/>
                </w:tcPr>
                <w:p w14:paraId="75AB9605">
                  <w:pPr>
                    <w:jc w:val="center"/>
                    <w:rPr>
                      <w:szCs w:val="21"/>
                    </w:rPr>
                  </w:pPr>
                  <w:r>
                    <w:rPr>
                      <w:szCs w:val="21"/>
                    </w:rPr>
                    <w:t>2</w:t>
                  </w:r>
                </w:p>
              </w:tc>
              <w:tc>
                <w:tcPr>
                  <w:tcW w:w="1078" w:type="dxa"/>
                  <w:vAlign w:val="center"/>
                </w:tcPr>
                <w:p w14:paraId="0F71D9BA">
                  <w:pPr>
                    <w:jc w:val="center"/>
                    <w:rPr>
                      <w:szCs w:val="21"/>
                    </w:rPr>
                  </w:pPr>
                  <w:r>
                    <w:rPr>
                      <w:szCs w:val="21"/>
                    </w:rPr>
                    <w:t>25kg/</w:t>
                  </w:r>
                  <w:r>
                    <w:rPr>
                      <w:rFonts w:hAnsi="宋体"/>
                      <w:szCs w:val="21"/>
                    </w:rPr>
                    <w:t>桶</w:t>
                  </w:r>
                </w:p>
              </w:tc>
              <w:tc>
                <w:tcPr>
                  <w:tcW w:w="848" w:type="dxa"/>
                  <w:vAlign w:val="center"/>
                </w:tcPr>
                <w:p w14:paraId="056F4F0D">
                  <w:pPr>
                    <w:jc w:val="center"/>
                    <w:rPr>
                      <w:szCs w:val="21"/>
                    </w:rPr>
                  </w:pPr>
                  <w:r>
                    <w:rPr>
                      <w:rFonts w:hAnsi="宋体"/>
                      <w:szCs w:val="21"/>
                    </w:rPr>
                    <w:t>液态</w:t>
                  </w:r>
                </w:p>
              </w:tc>
              <w:tc>
                <w:tcPr>
                  <w:tcW w:w="1272" w:type="dxa"/>
                  <w:vAlign w:val="center"/>
                </w:tcPr>
                <w:p w14:paraId="4801A38A">
                  <w:pPr>
                    <w:jc w:val="center"/>
                    <w:rPr>
                      <w:szCs w:val="21"/>
                    </w:rPr>
                  </w:pPr>
                  <w:r>
                    <w:rPr>
                      <w:rFonts w:hint="eastAsia"/>
                      <w:szCs w:val="21"/>
                    </w:rPr>
                    <w:t>0.2</w:t>
                  </w:r>
                </w:p>
              </w:tc>
              <w:tc>
                <w:tcPr>
                  <w:tcW w:w="1790" w:type="dxa"/>
                  <w:vAlign w:val="center"/>
                </w:tcPr>
                <w:p w14:paraId="41AFCC0B">
                  <w:pPr>
                    <w:jc w:val="center"/>
                    <w:rPr>
                      <w:szCs w:val="21"/>
                    </w:rPr>
                  </w:pPr>
                  <w:r>
                    <w:rPr>
                      <w:rFonts w:hAnsi="宋体"/>
                      <w:szCs w:val="21"/>
                    </w:rPr>
                    <w:t>润版</w:t>
                  </w:r>
                </w:p>
              </w:tc>
            </w:tr>
            <w:tr w14:paraId="000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2FE133FE">
                  <w:pPr>
                    <w:jc w:val="center"/>
                    <w:rPr>
                      <w:rFonts w:hAnsi="宋体"/>
                      <w:szCs w:val="21"/>
                    </w:rPr>
                  </w:pPr>
                  <w:r>
                    <w:rPr>
                      <w:rFonts w:hint="eastAsia" w:hAnsi="宋体"/>
                      <w:szCs w:val="21"/>
                    </w:rPr>
                    <w:t>木薯粉</w:t>
                  </w:r>
                </w:p>
              </w:tc>
              <w:tc>
                <w:tcPr>
                  <w:tcW w:w="849" w:type="dxa"/>
                  <w:vAlign w:val="center"/>
                </w:tcPr>
                <w:p w14:paraId="403BE980">
                  <w:pPr>
                    <w:jc w:val="center"/>
                    <w:rPr>
                      <w:szCs w:val="21"/>
                    </w:rPr>
                  </w:pPr>
                  <w:r>
                    <w:rPr>
                      <w:szCs w:val="21"/>
                    </w:rPr>
                    <w:t>t/a</w:t>
                  </w:r>
                </w:p>
              </w:tc>
              <w:tc>
                <w:tcPr>
                  <w:tcW w:w="991" w:type="dxa"/>
                  <w:vAlign w:val="center"/>
                </w:tcPr>
                <w:p w14:paraId="09BABBF1">
                  <w:pPr>
                    <w:jc w:val="center"/>
                    <w:rPr>
                      <w:szCs w:val="21"/>
                    </w:rPr>
                  </w:pPr>
                  <w:r>
                    <w:rPr>
                      <w:rFonts w:hint="eastAsia"/>
                      <w:szCs w:val="21"/>
                    </w:rPr>
                    <w:t>3</w:t>
                  </w:r>
                </w:p>
              </w:tc>
              <w:tc>
                <w:tcPr>
                  <w:tcW w:w="1078" w:type="dxa"/>
                  <w:vAlign w:val="center"/>
                </w:tcPr>
                <w:p w14:paraId="41DC517C">
                  <w:pPr>
                    <w:jc w:val="center"/>
                    <w:rPr>
                      <w:szCs w:val="21"/>
                    </w:rPr>
                  </w:pPr>
                  <w:r>
                    <w:rPr>
                      <w:rFonts w:hint="eastAsia"/>
                      <w:szCs w:val="21"/>
                    </w:rPr>
                    <w:t>1</w:t>
                  </w:r>
                  <w:r>
                    <w:rPr>
                      <w:szCs w:val="21"/>
                    </w:rPr>
                    <w:t>kg/</w:t>
                  </w:r>
                  <w:r>
                    <w:rPr>
                      <w:rFonts w:hint="eastAsia" w:hAnsi="宋体"/>
                      <w:szCs w:val="21"/>
                    </w:rPr>
                    <w:t>袋</w:t>
                  </w:r>
                </w:p>
              </w:tc>
              <w:tc>
                <w:tcPr>
                  <w:tcW w:w="848" w:type="dxa"/>
                  <w:vAlign w:val="center"/>
                </w:tcPr>
                <w:p w14:paraId="5C5F40C8">
                  <w:pPr>
                    <w:jc w:val="center"/>
                    <w:rPr>
                      <w:rFonts w:hAnsi="宋体"/>
                      <w:szCs w:val="21"/>
                    </w:rPr>
                  </w:pPr>
                  <w:r>
                    <w:rPr>
                      <w:rFonts w:hAnsi="宋体"/>
                      <w:szCs w:val="21"/>
                    </w:rPr>
                    <w:t>固态</w:t>
                  </w:r>
                </w:p>
              </w:tc>
              <w:tc>
                <w:tcPr>
                  <w:tcW w:w="1272" w:type="dxa"/>
                  <w:vAlign w:val="center"/>
                </w:tcPr>
                <w:p w14:paraId="72C444E8">
                  <w:pPr>
                    <w:jc w:val="center"/>
                    <w:rPr>
                      <w:szCs w:val="21"/>
                    </w:rPr>
                  </w:pPr>
                  <w:r>
                    <w:rPr>
                      <w:rFonts w:hint="eastAsia"/>
                      <w:szCs w:val="21"/>
                    </w:rPr>
                    <w:t>0.25</w:t>
                  </w:r>
                </w:p>
              </w:tc>
              <w:tc>
                <w:tcPr>
                  <w:tcW w:w="1790" w:type="dxa"/>
                  <w:vAlign w:val="center"/>
                </w:tcPr>
                <w:p w14:paraId="76802417">
                  <w:pPr>
                    <w:jc w:val="center"/>
                    <w:rPr>
                      <w:rFonts w:hAnsi="宋体"/>
                      <w:szCs w:val="21"/>
                    </w:rPr>
                  </w:pPr>
                  <w:r>
                    <w:rPr>
                      <w:rFonts w:hint="eastAsia" w:hAnsi="宋体"/>
                      <w:szCs w:val="21"/>
                    </w:rPr>
                    <w:t>印刷喷粉</w:t>
                  </w:r>
                </w:p>
              </w:tc>
            </w:tr>
            <w:tr w14:paraId="103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30F51B31">
                  <w:pPr>
                    <w:jc w:val="center"/>
                    <w:rPr>
                      <w:szCs w:val="21"/>
                    </w:rPr>
                  </w:pPr>
                  <w:r>
                    <w:rPr>
                      <w:rFonts w:hAnsi="宋体"/>
                      <w:szCs w:val="21"/>
                    </w:rPr>
                    <w:t>棉纱布</w:t>
                  </w:r>
                </w:p>
              </w:tc>
              <w:tc>
                <w:tcPr>
                  <w:tcW w:w="849" w:type="dxa"/>
                  <w:vAlign w:val="center"/>
                </w:tcPr>
                <w:p w14:paraId="4D51AC14">
                  <w:pPr>
                    <w:jc w:val="center"/>
                    <w:rPr>
                      <w:szCs w:val="21"/>
                    </w:rPr>
                  </w:pPr>
                  <w:r>
                    <w:rPr>
                      <w:szCs w:val="21"/>
                    </w:rPr>
                    <w:t>t/a</w:t>
                  </w:r>
                </w:p>
              </w:tc>
              <w:tc>
                <w:tcPr>
                  <w:tcW w:w="991" w:type="dxa"/>
                  <w:vAlign w:val="center"/>
                </w:tcPr>
                <w:p w14:paraId="73F9B6F9">
                  <w:pPr>
                    <w:jc w:val="center"/>
                    <w:rPr>
                      <w:szCs w:val="21"/>
                    </w:rPr>
                  </w:pPr>
                  <w:r>
                    <w:rPr>
                      <w:szCs w:val="21"/>
                    </w:rPr>
                    <w:t>0.1</w:t>
                  </w:r>
                </w:p>
              </w:tc>
              <w:tc>
                <w:tcPr>
                  <w:tcW w:w="1078" w:type="dxa"/>
                  <w:vAlign w:val="center"/>
                </w:tcPr>
                <w:p w14:paraId="59A7BED0">
                  <w:pPr>
                    <w:jc w:val="center"/>
                    <w:rPr>
                      <w:szCs w:val="21"/>
                    </w:rPr>
                  </w:pPr>
                  <w:r>
                    <w:rPr>
                      <w:szCs w:val="21"/>
                    </w:rPr>
                    <w:t>/</w:t>
                  </w:r>
                </w:p>
              </w:tc>
              <w:tc>
                <w:tcPr>
                  <w:tcW w:w="848" w:type="dxa"/>
                  <w:vAlign w:val="center"/>
                </w:tcPr>
                <w:p w14:paraId="44220066">
                  <w:pPr>
                    <w:jc w:val="center"/>
                    <w:rPr>
                      <w:szCs w:val="21"/>
                    </w:rPr>
                  </w:pPr>
                  <w:r>
                    <w:rPr>
                      <w:rFonts w:hAnsi="宋体"/>
                      <w:szCs w:val="21"/>
                    </w:rPr>
                    <w:t>固态</w:t>
                  </w:r>
                </w:p>
              </w:tc>
              <w:tc>
                <w:tcPr>
                  <w:tcW w:w="1272" w:type="dxa"/>
                  <w:vAlign w:val="center"/>
                </w:tcPr>
                <w:p w14:paraId="3DD5FCA5">
                  <w:pPr>
                    <w:jc w:val="center"/>
                    <w:rPr>
                      <w:szCs w:val="21"/>
                    </w:rPr>
                  </w:pPr>
                  <w:r>
                    <w:rPr>
                      <w:rFonts w:hint="eastAsia"/>
                      <w:szCs w:val="21"/>
                    </w:rPr>
                    <w:t>0.01</w:t>
                  </w:r>
                </w:p>
              </w:tc>
              <w:tc>
                <w:tcPr>
                  <w:tcW w:w="1790" w:type="dxa"/>
                  <w:vAlign w:val="center"/>
                </w:tcPr>
                <w:p w14:paraId="05A66935">
                  <w:pPr>
                    <w:jc w:val="center"/>
                    <w:rPr>
                      <w:szCs w:val="21"/>
                    </w:rPr>
                  </w:pPr>
                  <w:r>
                    <w:rPr>
                      <w:rFonts w:hAnsi="宋体"/>
                      <w:szCs w:val="21"/>
                    </w:rPr>
                    <w:t>印刷机擦拭</w:t>
                  </w:r>
                </w:p>
              </w:tc>
            </w:tr>
            <w:tr w14:paraId="026D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594A648D">
                  <w:pPr>
                    <w:jc w:val="center"/>
                    <w:rPr>
                      <w:szCs w:val="21"/>
                    </w:rPr>
                  </w:pPr>
                  <w:r>
                    <w:rPr>
                      <w:rFonts w:hAnsi="宋体"/>
                      <w:szCs w:val="21"/>
                    </w:rPr>
                    <w:t>润滑油</w:t>
                  </w:r>
                </w:p>
              </w:tc>
              <w:tc>
                <w:tcPr>
                  <w:tcW w:w="849" w:type="dxa"/>
                  <w:vAlign w:val="center"/>
                </w:tcPr>
                <w:p w14:paraId="12FD1182">
                  <w:pPr>
                    <w:jc w:val="center"/>
                    <w:rPr>
                      <w:szCs w:val="21"/>
                    </w:rPr>
                  </w:pPr>
                  <w:r>
                    <w:rPr>
                      <w:szCs w:val="21"/>
                    </w:rPr>
                    <w:t>t/a</w:t>
                  </w:r>
                </w:p>
              </w:tc>
              <w:tc>
                <w:tcPr>
                  <w:tcW w:w="991" w:type="dxa"/>
                  <w:vAlign w:val="center"/>
                </w:tcPr>
                <w:p w14:paraId="6B7B98FC">
                  <w:pPr>
                    <w:jc w:val="center"/>
                    <w:rPr>
                      <w:szCs w:val="21"/>
                    </w:rPr>
                  </w:pPr>
                  <w:r>
                    <w:rPr>
                      <w:szCs w:val="21"/>
                    </w:rPr>
                    <w:t>0.</w:t>
                  </w:r>
                  <w:r>
                    <w:rPr>
                      <w:rFonts w:hint="eastAsia"/>
                      <w:szCs w:val="21"/>
                    </w:rPr>
                    <w:t>34</w:t>
                  </w:r>
                </w:p>
              </w:tc>
              <w:tc>
                <w:tcPr>
                  <w:tcW w:w="1078" w:type="dxa"/>
                  <w:vAlign w:val="center"/>
                </w:tcPr>
                <w:p w14:paraId="5651B842">
                  <w:pPr>
                    <w:jc w:val="center"/>
                    <w:rPr>
                      <w:szCs w:val="21"/>
                    </w:rPr>
                  </w:pPr>
                  <w:r>
                    <w:rPr>
                      <w:szCs w:val="21"/>
                    </w:rPr>
                    <w:t>170kg/</w:t>
                  </w:r>
                  <w:r>
                    <w:rPr>
                      <w:rFonts w:hAnsi="宋体"/>
                      <w:szCs w:val="21"/>
                    </w:rPr>
                    <w:t>桶</w:t>
                  </w:r>
                </w:p>
              </w:tc>
              <w:tc>
                <w:tcPr>
                  <w:tcW w:w="848" w:type="dxa"/>
                  <w:vAlign w:val="center"/>
                </w:tcPr>
                <w:p w14:paraId="5A9610EC">
                  <w:pPr>
                    <w:jc w:val="center"/>
                    <w:rPr>
                      <w:szCs w:val="21"/>
                    </w:rPr>
                  </w:pPr>
                  <w:r>
                    <w:rPr>
                      <w:rFonts w:hAnsi="宋体"/>
                      <w:szCs w:val="21"/>
                    </w:rPr>
                    <w:t>液态</w:t>
                  </w:r>
                </w:p>
              </w:tc>
              <w:tc>
                <w:tcPr>
                  <w:tcW w:w="1272" w:type="dxa"/>
                  <w:vAlign w:val="center"/>
                </w:tcPr>
                <w:p w14:paraId="0C9C8DAC">
                  <w:pPr>
                    <w:jc w:val="center"/>
                    <w:rPr>
                      <w:szCs w:val="21"/>
                    </w:rPr>
                  </w:pPr>
                  <w:r>
                    <w:rPr>
                      <w:rFonts w:hint="eastAsia"/>
                      <w:szCs w:val="21"/>
                    </w:rPr>
                    <w:t>0.17</w:t>
                  </w:r>
                </w:p>
              </w:tc>
              <w:tc>
                <w:tcPr>
                  <w:tcW w:w="1790" w:type="dxa"/>
                  <w:vAlign w:val="center"/>
                </w:tcPr>
                <w:p w14:paraId="6D4E76F3">
                  <w:pPr>
                    <w:jc w:val="center"/>
                    <w:rPr>
                      <w:szCs w:val="21"/>
                    </w:rPr>
                  </w:pPr>
                  <w:r>
                    <w:rPr>
                      <w:rFonts w:hAnsi="宋体"/>
                      <w:szCs w:val="21"/>
                    </w:rPr>
                    <w:t>设备养护</w:t>
                  </w:r>
                </w:p>
              </w:tc>
            </w:tr>
            <w:tr w14:paraId="104F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7"/>
                  <w:vAlign w:val="center"/>
                </w:tcPr>
                <w:p w14:paraId="091BAAF3">
                  <w:pPr>
                    <w:jc w:val="center"/>
                    <w:rPr>
                      <w:szCs w:val="21"/>
                    </w:rPr>
                  </w:pPr>
                  <w:r>
                    <w:rPr>
                      <w:rFonts w:hAnsi="宋体"/>
                      <w:szCs w:val="21"/>
                    </w:rPr>
                    <w:t>主要能源消耗情况</w:t>
                  </w:r>
                </w:p>
              </w:tc>
            </w:tr>
            <w:tr w14:paraId="43FE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2BAAD99F">
                  <w:pPr>
                    <w:jc w:val="center"/>
                    <w:rPr>
                      <w:szCs w:val="21"/>
                    </w:rPr>
                  </w:pPr>
                  <w:r>
                    <w:rPr>
                      <w:rFonts w:hAnsi="宋体"/>
                      <w:szCs w:val="21"/>
                    </w:rPr>
                    <w:t>水</w:t>
                  </w:r>
                </w:p>
              </w:tc>
              <w:tc>
                <w:tcPr>
                  <w:tcW w:w="849" w:type="dxa"/>
                  <w:vAlign w:val="center"/>
                </w:tcPr>
                <w:p w14:paraId="3FF0D933">
                  <w:pPr>
                    <w:jc w:val="center"/>
                    <w:rPr>
                      <w:szCs w:val="21"/>
                    </w:rPr>
                  </w:pPr>
                  <w:r>
                    <w:rPr>
                      <w:szCs w:val="21"/>
                    </w:rPr>
                    <w:t>m</w:t>
                  </w:r>
                  <w:r>
                    <w:rPr>
                      <w:szCs w:val="21"/>
                      <w:vertAlign w:val="superscript"/>
                    </w:rPr>
                    <w:t>3</w:t>
                  </w:r>
                  <w:r>
                    <w:rPr>
                      <w:szCs w:val="21"/>
                    </w:rPr>
                    <w:t>/a</w:t>
                  </w:r>
                </w:p>
              </w:tc>
              <w:tc>
                <w:tcPr>
                  <w:tcW w:w="991" w:type="dxa"/>
                  <w:vAlign w:val="center"/>
                </w:tcPr>
                <w:p w14:paraId="51C33A08">
                  <w:pPr>
                    <w:jc w:val="center"/>
                    <w:rPr>
                      <w:szCs w:val="21"/>
                    </w:rPr>
                  </w:pPr>
                </w:p>
              </w:tc>
              <w:tc>
                <w:tcPr>
                  <w:tcW w:w="1078" w:type="dxa"/>
                  <w:vAlign w:val="center"/>
                </w:tcPr>
                <w:p w14:paraId="2227F28A">
                  <w:pPr>
                    <w:jc w:val="center"/>
                    <w:rPr>
                      <w:szCs w:val="21"/>
                    </w:rPr>
                  </w:pPr>
                  <w:r>
                    <w:rPr>
                      <w:szCs w:val="21"/>
                    </w:rPr>
                    <w:t>/</w:t>
                  </w:r>
                </w:p>
              </w:tc>
              <w:tc>
                <w:tcPr>
                  <w:tcW w:w="848" w:type="dxa"/>
                  <w:vAlign w:val="center"/>
                </w:tcPr>
                <w:p w14:paraId="7F12C4E1">
                  <w:pPr>
                    <w:jc w:val="center"/>
                    <w:rPr>
                      <w:szCs w:val="21"/>
                    </w:rPr>
                  </w:pPr>
                  <w:r>
                    <w:rPr>
                      <w:szCs w:val="21"/>
                    </w:rPr>
                    <w:t>/</w:t>
                  </w:r>
                </w:p>
              </w:tc>
              <w:tc>
                <w:tcPr>
                  <w:tcW w:w="1272" w:type="dxa"/>
                  <w:vAlign w:val="center"/>
                </w:tcPr>
                <w:p w14:paraId="08D1B24F">
                  <w:pPr>
                    <w:jc w:val="center"/>
                    <w:rPr>
                      <w:szCs w:val="21"/>
                    </w:rPr>
                  </w:pPr>
                  <w:r>
                    <w:rPr>
                      <w:rFonts w:hint="eastAsia"/>
                      <w:szCs w:val="21"/>
                    </w:rPr>
                    <w:t>68824</w:t>
                  </w:r>
                </w:p>
              </w:tc>
              <w:tc>
                <w:tcPr>
                  <w:tcW w:w="1790" w:type="dxa"/>
                  <w:vAlign w:val="center"/>
                </w:tcPr>
                <w:p w14:paraId="29AE32DC">
                  <w:pPr>
                    <w:jc w:val="center"/>
                    <w:rPr>
                      <w:szCs w:val="21"/>
                    </w:rPr>
                  </w:pPr>
                  <w:r>
                    <w:rPr>
                      <w:szCs w:val="21"/>
                    </w:rPr>
                    <w:t>/</w:t>
                  </w:r>
                </w:p>
              </w:tc>
            </w:tr>
            <w:tr w14:paraId="1F8B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14:paraId="123148B9">
                  <w:pPr>
                    <w:jc w:val="center"/>
                    <w:rPr>
                      <w:szCs w:val="21"/>
                    </w:rPr>
                  </w:pPr>
                  <w:r>
                    <w:rPr>
                      <w:rFonts w:hAnsi="宋体"/>
                      <w:szCs w:val="21"/>
                    </w:rPr>
                    <w:t>电</w:t>
                  </w:r>
                </w:p>
              </w:tc>
              <w:tc>
                <w:tcPr>
                  <w:tcW w:w="849" w:type="dxa"/>
                  <w:vAlign w:val="center"/>
                </w:tcPr>
                <w:p w14:paraId="2B52DAB7">
                  <w:pPr>
                    <w:jc w:val="center"/>
                    <w:rPr>
                      <w:szCs w:val="21"/>
                    </w:rPr>
                  </w:pPr>
                  <w:r>
                    <w:rPr>
                      <w:rFonts w:hAnsi="宋体"/>
                      <w:szCs w:val="21"/>
                    </w:rPr>
                    <w:t>万度</w:t>
                  </w:r>
                  <w:r>
                    <w:rPr>
                      <w:szCs w:val="21"/>
                    </w:rPr>
                    <w:t>/a</w:t>
                  </w:r>
                </w:p>
              </w:tc>
              <w:tc>
                <w:tcPr>
                  <w:tcW w:w="991" w:type="dxa"/>
                  <w:vAlign w:val="center"/>
                </w:tcPr>
                <w:p w14:paraId="7C30B05B">
                  <w:pPr>
                    <w:jc w:val="center"/>
                    <w:rPr>
                      <w:szCs w:val="21"/>
                    </w:rPr>
                  </w:pPr>
                </w:p>
              </w:tc>
              <w:tc>
                <w:tcPr>
                  <w:tcW w:w="1078" w:type="dxa"/>
                  <w:vAlign w:val="center"/>
                </w:tcPr>
                <w:p w14:paraId="5EBDD761">
                  <w:pPr>
                    <w:jc w:val="center"/>
                    <w:rPr>
                      <w:szCs w:val="21"/>
                    </w:rPr>
                  </w:pPr>
                  <w:r>
                    <w:rPr>
                      <w:szCs w:val="21"/>
                    </w:rPr>
                    <w:t>/</w:t>
                  </w:r>
                </w:p>
              </w:tc>
              <w:tc>
                <w:tcPr>
                  <w:tcW w:w="848" w:type="dxa"/>
                  <w:vAlign w:val="center"/>
                </w:tcPr>
                <w:p w14:paraId="2D106755">
                  <w:pPr>
                    <w:jc w:val="center"/>
                    <w:rPr>
                      <w:szCs w:val="21"/>
                    </w:rPr>
                  </w:pPr>
                  <w:r>
                    <w:rPr>
                      <w:szCs w:val="21"/>
                    </w:rPr>
                    <w:t>/</w:t>
                  </w:r>
                </w:p>
              </w:tc>
              <w:tc>
                <w:tcPr>
                  <w:tcW w:w="1272" w:type="dxa"/>
                  <w:vAlign w:val="center"/>
                </w:tcPr>
                <w:p w14:paraId="30448C18">
                  <w:pPr>
                    <w:jc w:val="center"/>
                    <w:rPr>
                      <w:szCs w:val="21"/>
                    </w:rPr>
                  </w:pPr>
                  <w:r>
                    <w:rPr>
                      <w:rFonts w:hint="eastAsia"/>
                      <w:szCs w:val="21"/>
                    </w:rPr>
                    <w:t>20</w:t>
                  </w:r>
                </w:p>
              </w:tc>
              <w:tc>
                <w:tcPr>
                  <w:tcW w:w="1790" w:type="dxa"/>
                  <w:vAlign w:val="center"/>
                </w:tcPr>
                <w:p w14:paraId="3DC62A4E">
                  <w:pPr>
                    <w:jc w:val="center"/>
                    <w:rPr>
                      <w:szCs w:val="21"/>
                    </w:rPr>
                  </w:pPr>
                  <w:r>
                    <w:rPr>
                      <w:szCs w:val="21"/>
                    </w:rPr>
                    <w:t>/</w:t>
                  </w:r>
                </w:p>
              </w:tc>
            </w:tr>
          </w:tbl>
          <w:p w14:paraId="1DC60513">
            <w:pPr>
              <w:spacing w:line="360" w:lineRule="auto"/>
              <w:ind w:firstLine="482" w:firstLineChars="200"/>
              <w:jc w:val="left"/>
              <w:rPr>
                <w:sz w:val="24"/>
              </w:rPr>
            </w:pPr>
            <w:r>
              <w:rPr>
                <w:b/>
                <w:sz w:val="24"/>
              </w:rPr>
              <w:t>原辅材料主要理化性质简述</w:t>
            </w:r>
            <w:r>
              <w:rPr>
                <w:sz w:val="24"/>
              </w:rPr>
              <w:t>：</w:t>
            </w:r>
          </w:p>
          <w:p w14:paraId="47563455">
            <w:pPr>
              <w:spacing w:line="360" w:lineRule="auto"/>
              <w:ind w:firstLine="482" w:firstLineChars="200"/>
              <w:rPr>
                <w:b/>
                <w:sz w:val="24"/>
              </w:rPr>
            </w:pPr>
            <w:r>
              <w:rPr>
                <w:rFonts w:hint="eastAsia"/>
                <w:b/>
                <w:sz w:val="24"/>
              </w:rPr>
              <w:t>1、</w:t>
            </w:r>
            <w:r>
              <w:rPr>
                <w:b/>
                <w:sz w:val="24"/>
              </w:rPr>
              <w:t>油墨</w:t>
            </w:r>
            <w:r>
              <w:rPr>
                <w:rFonts w:hint="eastAsia"/>
                <w:b/>
                <w:sz w:val="24"/>
              </w:rPr>
              <w:t>：</w:t>
            </w:r>
            <w:r>
              <w:rPr>
                <w:rFonts w:hint="eastAsia"/>
                <w:sz w:val="24"/>
              </w:rPr>
              <w:t>本项目使用洋紫荆油墨股份有限公司提供的系列油墨，主要成分为颜料（多种类，黑色、红色、黄色、蓝色）12~24%、亚麻油0~5%、大豆油20~30%、桐油0~10%、树脂30~40%、矿物油15~25%、聚乙烯蜡0.2~1%、环氧亚麻油1.956~2.934%、聚合油2.124~3.186%、氧化铈0.252~0.378%、碳酸钙1.668~2.502%。根据《油墨中可挥发性有机物化合物（VOCs）含量的限值》（GB38507-2020）相关规定，对能量固化胶印油墨其可挥发性有机化合物（VOCs）限值为2%，根据建设单位提供的油墨VOCs限值检测报告（附件6），本项目使用的油墨检出VOCs含量为0.18%，满足GB38507-2020限值要求。</w:t>
            </w:r>
          </w:p>
          <w:p w14:paraId="69E69BDF">
            <w:pPr>
              <w:spacing w:line="360" w:lineRule="auto"/>
              <w:ind w:firstLine="482" w:firstLineChars="200"/>
              <w:rPr>
                <w:sz w:val="24"/>
              </w:rPr>
            </w:pPr>
            <w:r>
              <w:rPr>
                <w:rFonts w:hint="eastAsia"/>
                <w:b/>
                <w:sz w:val="24"/>
              </w:rPr>
              <w:t>2、润版液：</w:t>
            </w:r>
            <w:r>
              <w:rPr>
                <w:rFonts w:hint="eastAsia"/>
                <w:sz w:val="24"/>
              </w:rPr>
              <w:t>润版液是彩印机印刷过程中不可缺少的一种化学助剂，它在印版空白部分形成均匀的水膜，以抵制图文上的油墨向空白部分浸润，防止脏版。液体，粉红色或蓝色，pH值为4.8~5.5，密度为0.98g/cm</w:t>
            </w:r>
            <w:r>
              <w:rPr>
                <w:rFonts w:hint="eastAsia"/>
                <w:sz w:val="24"/>
                <w:vertAlign w:val="superscript"/>
              </w:rPr>
              <w:t>3</w:t>
            </w:r>
            <w:r>
              <w:rPr>
                <w:rFonts w:hint="eastAsia"/>
                <w:sz w:val="24"/>
              </w:rPr>
              <w:t>，拟建项目使用的润版液为无醇润版液，主要成分为水45~60%、表面活性剂20~35%、水性助剂15~20%，润版液MSDS见附件7。</w:t>
            </w:r>
          </w:p>
          <w:p w14:paraId="08F3EDBA">
            <w:pPr>
              <w:spacing w:line="360" w:lineRule="auto"/>
              <w:ind w:firstLine="482" w:firstLineChars="200"/>
              <w:rPr>
                <w:sz w:val="24"/>
              </w:rPr>
            </w:pPr>
            <w:r>
              <w:rPr>
                <w:rFonts w:hint="eastAsia"/>
                <w:b/>
                <w:sz w:val="24"/>
              </w:rPr>
              <w:t>3、</w:t>
            </w:r>
            <w:r>
              <w:rPr>
                <w:b/>
                <w:sz w:val="24"/>
              </w:rPr>
              <w:t>洗车水：</w:t>
            </w:r>
            <w:r>
              <w:rPr>
                <w:rFonts w:hint="eastAsia"/>
                <w:sz w:val="24"/>
              </w:rPr>
              <w:t>项目用</w:t>
            </w:r>
            <w:r>
              <w:rPr>
                <w:sz w:val="24"/>
              </w:rPr>
              <w:t>洗车水润湿棉纱后</w:t>
            </w:r>
            <w:r>
              <w:rPr>
                <w:rFonts w:hint="eastAsia"/>
                <w:sz w:val="24"/>
              </w:rPr>
              <w:t>采取</w:t>
            </w:r>
            <w:r>
              <w:rPr>
                <w:sz w:val="24"/>
              </w:rPr>
              <w:t>擦拭版材或胶轴上污渍的</w:t>
            </w:r>
            <w:r>
              <w:rPr>
                <w:rFonts w:hint="eastAsia"/>
                <w:sz w:val="24"/>
              </w:rPr>
              <w:t>方式进行清洗</w:t>
            </w:r>
            <w:r>
              <w:rPr>
                <w:sz w:val="24"/>
              </w:rPr>
              <w:t>。</w:t>
            </w:r>
            <w:r>
              <w:rPr>
                <w:rFonts w:hint="eastAsia"/>
                <w:sz w:val="24"/>
              </w:rPr>
              <w:t>液体，沸点250℃，相对密度（水=1）0.78~0.82之间（色不同而异），闪点</w:t>
            </w:r>
            <w:r>
              <w:rPr>
                <w:sz w:val="24"/>
              </w:rPr>
              <w:t>≥</w:t>
            </w:r>
            <w:r>
              <w:rPr>
                <w:rFonts w:hint="eastAsia"/>
                <w:sz w:val="24"/>
              </w:rPr>
              <w:t>60℃</w:t>
            </w:r>
            <w:r>
              <w:rPr>
                <w:rFonts w:hint="eastAsia"/>
                <w:b/>
                <w:sz w:val="24"/>
              </w:rPr>
              <w:t>，</w:t>
            </w:r>
            <w:r>
              <w:rPr>
                <w:sz w:val="24"/>
              </w:rPr>
              <w:t>项目所用洗车水主要成分为</w:t>
            </w:r>
            <w:r>
              <w:rPr>
                <w:rFonts w:hint="eastAsia"/>
                <w:sz w:val="24"/>
              </w:rPr>
              <w:t>环保溶剂油90%、渗透剂3%、乳化剂5%、表面活性剂2%。根据业主提供的洗车水VOCs</w:t>
            </w:r>
            <w:r>
              <w:rPr>
                <w:rFonts w:hint="eastAsia"/>
                <w:bCs/>
                <w:sz w:val="24"/>
              </w:rPr>
              <w:t>检测报告（附件11），洗车水的检测结果符合《清洗剂挥发性有机化合物含量限值》（GB 38508-2020）限量要求（有机溶剂清洗剂VOC含量≤900g/L）。</w:t>
            </w:r>
          </w:p>
          <w:p w14:paraId="04353498">
            <w:pPr>
              <w:spacing w:line="360" w:lineRule="auto"/>
              <w:ind w:firstLine="482" w:firstLineChars="200"/>
              <w:rPr>
                <w:sz w:val="24"/>
              </w:rPr>
            </w:pPr>
            <w:r>
              <w:rPr>
                <w:rFonts w:hint="eastAsia"/>
                <w:b/>
                <w:sz w:val="24"/>
              </w:rPr>
              <w:t>4、水性上光油：</w:t>
            </w:r>
            <w:r>
              <w:rPr>
                <w:rFonts w:hint="eastAsia"/>
                <w:sz w:val="24"/>
              </w:rPr>
              <w:t>乳白色半透明液体， pH值为7.5~8.5，易溶于水，主要成分为苯乙烯丙烯酸聚合物32%、助剂（水性蜡乳液、离型剂、润湿流平剂等）10%、水58%。根据业主提供的水性上光油VOCs</w:t>
            </w:r>
            <w:r>
              <w:rPr>
                <w:rFonts w:hint="eastAsia"/>
                <w:bCs/>
                <w:sz w:val="24"/>
              </w:rPr>
              <w:t>检测报告（附件9），水性上光油的检测结果符合《清洗剂挥发性有机化合物含量限值》（GB 38508-2020）限量要求（有机溶剂清洗剂VOC含量≤900g/L）。</w:t>
            </w:r>
          </w:p>
          <w:p w14:paraId="06E11E81">
            <w:pPr>
              <w:spacing w:line="360" w:lineRule="auto"/>
              <w:ind w:firstLine="482" w:firstLineChars="200"/>
              <w:rPr>
                <w:rFonts w:hAnsi="宋体"/>
                <w:szCs w:val="21"/>
              </w:rPr>
            </w:pPr>
            <w:r>
              <w:rPr>
                <w:rFonts w:hint="eastAsia"/>
                <w:b/>
                <w:sz w:val="24"/>
              </w:rPr>
              <w:t>5、</w:t>
            </w:r>
            <w:r>
              <w:rPr>
                <w:rFonts w:hint="eastAsia" w:hAnsi="宋体"/>
                <w:b/>
                <w:sz w:val="24"/>
              </w:rPr>
              <w:t>水基性胶粘剂（MA-7033）：</w:t>
            </w:r>
            <w:r>
              <w:rPr>
                <w:rFonts w:hint="eastAsia" w:hAnsi="宋体"/>
                <w:sz w:val="24"/>
              </w:rPr>
              <w:t>乳白色匀质乳液，粘度1000~14000mPa.s，pH5.0~8.5（试纸）。主要成分为乙烯-醋酸乙烯共聚物25~30%、丙烯酸（酯）类共聚物25~30%、去离子水46~50%。</w:t>
            </w:r>
            <w:r>
              <w:rPr>
                <w:rFonts w:hint="eastAsia"/>
                <w:sz w:val="24"/>
              </w:rPr>
              <w:t>根据SGS出具的水基性胶粘剂（MA-7033）</w:t>
            </w:r>
            <w:r>
              <w:rPr>
                <w:rFonts w:hint="eastAsia"/>
                <w:bCs/>
                <w:sz w:val="24"/>
              </w:rPr>
              <w:t>检测报告（附件13），水基性胶粘剂的检测结果符合《胶粘剂挥发性有机化合物限量》（GB 33372-2020）限量要求（≤50g/L）。</w:t>
            </w:r>
          </w:p>
        </w:tc>
      </w:tr>
      <w:tr w14:paraId="68955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6" w:type="dxa"/>
            <w:vAlign w:val="center"/>
          </w:tcPr>
          <w:p w14:paraId="7B3C47FD">
            <w:pPr>
              <w:pStyle w:val="20"/>
              <w:adjustRightInd w:val="0"/>
              <w:snapToGrid w:val="0"/>
              <w:spacing w:before="0" w:beforeAutospacing="0" w:after="0" w:afterAutospacing="0"/>
              <w:jc w:val="center"/>
              <w:rPr>
                <w:rFonts w:ascii="Times New Roman" w:hAnsi="Times New Roman"/>
                <w:szCs w:val="24"/>
              </w:rPr>
            </w:pPr>
            <w:r>
              <w:rPr>
                <w:rFonts w:ascii="Times New Roman"/>
                <w:szCs w:val="24"/>
              </w:rPr>
              <w:t>工艺流程和产排污环节</w:t>
            </w:r>
          </w:p>
        </w:tc>
        <w:tc>
          <w:tcPr>
            <w:tcW w:w="8488" w:type="dxa"/>
          </w:tcPr>
          <w:p w14:paraId="282DAE45">
            <w:pPr>
              <w:adjustRightInd w:val="0"/>
              <w:snapToGrid w:val="0"/>
              <w:spacing w:line="480" w:lineRule="exact"/>
              <w:rPr>
                <w:b/>
                <w:sz w:val="24"/>
              </w:rPr>
            </w:pPr>
            <w:r>
              <w:rPr>
                <w:b/>
                <w:sz w:val="24"/>
              </w:rPr>
              <w:t>2.2.1施工期工艺流程和产排污环节</w:t>
            </w:r>
          </w:p>
          <w:p w14:paraId="31431F2A">
            <w:pPr>
              <w:adjustRightInd w:val="0"/>
              <w:snapToGrid w:val="0"/>
              <w:spacing w:line="480" w:lineRule="exact"/>
              <w:ind w:firstLine="482" w:firstLineChars="200"/>
              <w:rPr>
                <w:rFonts w:hAnsi="宋体"/>
                <w:b/>
                <w:sz w:val="24"/>
              </w:rPr>
            </w:pPr>
            <w:r>
              <w:rPr>
                <w:rFonts w:hint="eastAsia" w:hAnsi="宋体"/>
                <w:b/>
                <w:sz w:val="24"/>
              </w:rPr>
              <w:t>2.2.1.1施工期工艺流程</w:t>
            </w:r>
          </w:p>
          <w:p w14:paraId="2BB28AA8">
            <w:pPr>
              <w:adjustRightInd w:val="0"/>
              <w:snapToGrid w:val="0"/>
              <w:spacing w:line="480" w:lineRule="exact"/>
              <w:ind w:firstLine="480" w:firstLineChars="200"/>
              <w:rPr>
                <w:rFonts w:hAnsi="宋体"/>
                <w:sz w:val="24"/>
              </w:rPr>
            </w:pPr>
            <w:r>
              <w:rPr>
                <w:rFonts w:hint="eastAsia" w:hAnsi="宋体"/>
                <w:sz w:val="24"/>
              </w:rPr>
              <w:t>拟建项目施工期主要工艺流程是地块平整后进行基础施工、结构施工及设备安装，最后竣工验收后投入使用。工程施工期主要工艺过程和产污环节见图2.2-1。</w:t>
            </w:r>
          </w:p>
          <w:p w14:paraId="6DE2967D">
            <w:pPr>
              <w:spacing w:line="360" w:lineRule="auto"/>
              <w:ind w:firstLine="482" w:firstLineChars="200"/>
              <w:rPr>
                <w:b/>
                <w:bCs/>
                <w:kern w:val="0"/>
                <w:sz w:val="24"/>
              </w:rPr>
            </w:pPr>
            <w:r>
              <w:rPr>
                <w:rFonts w:hint="eastAsia"/>
                <w:b/>
                <w:bCs/>
                <w:kern w:val="0"/>
                <w:sz w:val="24"/>
              </w:rPr>
              <w:drawing>
                <wp:anchor distT="0" distB="0" distL="114300" distR="114300" simplePos="0" relativeHeight="251738112" behindDoc="0" locked="0" layoutInCell="1" allowOverlap="1">
                  <wp:simplePos x="0" y="0"/>
                  <wp:positionH relativeFrom="column">
                    <wp:posOffset>3810</wp:posOffset>
                  </wp:positionH>
                  <wp:positionV relativeFrom="paragraph">
                    <wp:posOffset>40640</wp:posOffset>
                  </wp:positionV>
                  <wp:extent cx="5274310" cy="1457325"/>
                  <wp:effectExtent l="19050" t="0" r="2540" b="0"/>
                  <wp:wrapNone/>
                  <wp:docPr id="422" name="图片 422" descr="D:\Documents\WeChat Files\wxid_fops63nez3sb42\FileStorage\Temp\16632392596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2" descr="D:\Documents\WeChat Files\wxid_fops63nez3sb42\FileStorage\Temp\1663239259694.png"/>
                          <pic:cNvPicPr>
                            <a:picLocks noChangeAspect="1" noChangeArrowheads="1"/>
                          </pic:cNvPicPr>
                        </pic:nvPicPr>
                        <pic:blipFill>
                          <a:blip r:embed="rId6" cstate="print"/>
                          <a:srcRect/>
                          <a:stretch>
                            <a:fillRect/>
                          </a:stretch>
                        </pic:blipFill>
                        <pic:spPr>
                          <a:xfrm>
                            <a:off x="0" y="0"/>
                            <a:ext cx="5274310" cy="1457325"/>
                          </a:xfrm>
                          <a:prstGeom prst="rect">
                            <a:avLst/>
                          </a:prstGeom>
                          <a:noFill/>
                          <a:ln w="9525">
                            <a:noFill/>
                            <a:miter lim="800000"/>
                            <a:headEnd/>
                            <a:tailEnd/>
                          </a:ln>
                        </pic:spPr>
                      </pic:pic>
                    </a:graphicData>
                  </a:graphic>
                </wp:anchor>
              </w:drawing>
            </w:r>
          </w:p>
          <w:p w14:paraId="42A9BB80">
            <w:pPr>
              <w:spacing w:line="360" w:lineRule="auto"/>
              <w:ind w:firstLine="482" w:firstLineChars="200"/>
              <w:rPr>
                <w:b/>
                <w:bCs/>
                <w:kern w:val="0"/>
                <w:sz w:val="24"/>
              </w:rPr>
            </w:pPr>
          </w:p>
          <w:p w14:paraId="2B816684">
            <w:pPr>
              <w:spacing w:line="360" w:lineRule="auto"/>
              <w:ind w:firstLine="482" w:firstLineChars="200"/>
              <w:rPr>
                <w:b/>
                <w:bCs/>
                <w:kern w:val="0"/>
                <w:sz w:val="24"/>
              </w:rPr>
            </w:pPr>
          </w:p>
          <w:p w14:paraId="177CD5B6">
            <w:pPr>
              <w:spacing w:line="360" w:lineRule="auto"/>
              <w:ind w:firstLine="482" w:firstLineChars="200"/>
              <w:rPr>
                <w:b/>
                <w:bCs/>
                <w:kern w:val="0"/>
                <w:sz w:val="24"/>
              </w:rPr>
            </w:pPr>
          </w:p>
          <w:p w14:paraId="5857657C">
            <w:pPr>
              <w:spacing w:line="360" w:lineRule="auto"/>
              <w:ind w:firstLine="482" w:firstLineChars="200"/>
              <w:rPr>
                <w:b/>
                <w:bCs/>
                <w:kern w:val="0"/>
                <w:sz w:val="24"/>
              </w:rPr>
            </w:pPr>
          </w:p>
          <w:p w14:paraId="41776431">
            <w:pPr>
              <w:adjustRightInd w:val="0"/>
              <w:snapToGrid w:val="0"/>
              <w:jc w:val="center"/>
              <w:outlineLvl w:val="1"/>
              <w:rPr>
                <w:b/>
                <w:szCs w:val="21"/>
              </w:rPr>
            </w:pPr>
          </w:p>
          <w:p w14:paraId="22343D5E">
            <w:pPr>
              <w:adjustRightInd w:val="0"/>
              <w:snapToGrid w:val="0"/>
              <w:jc w:val="center"/>
              <w:outlineLvl w:val="1"/>
              <w:rPr>
                <w:b/>
                <w:szCs w:val="21"/>
              </w:rPr>
            </w:pPr>
          </w:p>
          <w:p w14:paraId="55E4844E">
            <w:pPr>
              <w:adjustRightInd w:val="0"/>
              <w:snapToGrid w:val="0"/>
              <w:spacing w:line="360" w:lineRule="auto"/>
              <w:jc w:val="center"/>
              <w:outlineLvl w:val="1"/>
              <w:rPr>
                <w:b/>
                <w:szCs w:val="21"/>
              </w:rPr>
            </w:pPr>
            <w:r>
              <w:rPr>
                <w:rFonts w:hint="eastAsia"/>
                <w:b/>
                <w:szCs w:val="21"/>
              </w:rPr>
              <w:t>图2.2-1  施工期建筑工艺及产排污流程图</w:t>
            </w:r>
          </w:p>
          <w:p w14:paraId="467D1EC1">
            <w:pPr>
              <w:adjustRightInd w:val="0"/>
              <w:snapToGrid w:val="0"/>
              <w:spacing w:line="480" w:lineRule="exact"/>
              <w:ind w:firstLine="482" w:firstLineChars="200"/>
              <w:rPr>
                <w:rFonts w:hAnsi="宋体"/>
                <w:b/>
                <w:sz w:val="24"/>
              </w:rPr>
            </w:pPr>
            <w:r>
              <w:rPr>
                <w:rFonts w:hint="eastAsia" w:hAnsi="宋体"/>
                <w:b/>
                <w:sz w:val="24"/>
              </w:rPr>
              <w:t>2.2.1.</w:t>
            </w:r>
            <w:r>
              <w:rPr>
                <w:rFonts w:hAnsi="宋体"/>
                <w:b/>
                <w:sz w:val="24"/>
              </w:rPr>
              <w:t>2</w:t>
            </w:r>
            <w:r>
              <w:rPr>
                <w:rFonts w:hint="eastAsia" w:hAnsi="宋体"/>
                <w:b/>
                <w:sz w:val="24"/>
              </w:rPr>
              <w:t>施工计划和施工周期</w:t>
            </w:r>
          </w:p>
          <w:p w14:paraId="5581CFB6">
            <w:pPr>
              <w:adjustRightInd w:val="0"/>
              <w:snapToGrid w:val="0"/>
              <w:spacing w:line="480" w:lineRule="exact"/>
              <w:ind w:firstLine="480" w:firstLineChars="200"/>
              <w:outlineLvl w:val="1"/>
              <w:rPr>
                <w:sz w:val="24"/>
              </w:rPr>
            </w:pPr>
            <w:r>
              <w:rPr>
                <w:sz w:val="24"/>
              </w:rPr>
              <w:t>施工计划只分为场地平整、基础施工、结构施工、设备安装、建筑装饰五个 施工阶段。预计建设工期</w:t>
            </w:r>
            <w:r>
              <w:rPr>
                <w:rFonts w:hint="eastAsia"/>
                <w:sz w:val="24"/>
              </w:rPr>
              <w:t>10</w:t>
            </w:r>
            <w:r>
              <w:rPr>
                <w:sz w:val="24"/>
              </w:rPr>
              <w:t>个月。</w:t>
            </w:r>
          </w:p>
          <w:p w14:paraId="3C6C50AE">
            <w:pPr>
              <w:adjustRightInd w:val="0"/>
              <w:snapToGrid w:val="0"/>
              <w:spacing w:line="480" w:lineRule="exact"/>
              <w:ind w:firstLine="482" w:firstLineChars="200"/>
              <w:rPr>
                <w:rFonts w:hAnsi="宋体"/>
                <w:b/>
                <w:sz w:val="24"/>
              </w:rPr>
            </w:pPr>
            <w:r>
              <w:rPr>
                <w:rFonts w:hint="eastAsia" w:hAnsi="宋体"/>
                <w:b/>
                <w:sz w:val="24"/>
              </w:rPr>
              <w:t>2.2.1.</w:t>
            </w:r>
            <w:r>
              <w:rPr>
                <w:rFonts w:hAnsi="宋体"/>
                <w:b/>
                <w:sz w:val="24"/>
              </w:rPr>
              <w:t>3</w:t>
            </w:r>
            <w:r>
              <w:rPr>
                <w:rFonts w:hint="eastAsia" w:hAnsi="宋体"/>
                <w:b/>
                <w:sz w:val="24"/>
              </w:rPr>
              <w:t>施工方法和主要施工机械</w:t>
            </w:r>
          </w:p>
          <w:p w14:paraId="1525B168">
            <w:pPr>
              <w:adjustRightInd w:val="0"/>
              <w:snapToGrid w:val="0"/>
              <w:spacing w:line="480" w:lineRule="exact"/>
              <w:ind w:firstLine="480" w:firstLineChars="200"/>
              <w:outlineLvl w:val="1"/>
              <w:rPr>
                <w:sz w:val="24"/>
              </w:rPr>
            </w:pPr>
            <w:r>
              <w:rPr>
                <w:sz w:val="24"/>
              </w:rPr>
              <w:t xml:space="preserve">施工方法大致为：场地平整、基础构造柱和圈梁、回填土、现浇混凝土和预 制构件安装、吊装、装饰等。 </w:t>
            </w:r>
          </w:p>
          <w:p w14:paraId="6E79D42A">
            <w:pPr>
              <w:adjustRightInd w:val="0"/>
              <w:snapToGrid w:val="0"/>
              <w:spacing w:line="480" w:lineRule="exact"/>
              <w:ind w:firstLine="480" w:firstLineChars="200"/>
              <w:outlineLvl w:val="1"/>
              <w:rPr>
                <w:sz w:val="24"/>
              </w:rPr>
            </w:pPr>
            <w:r>
              <w:rPr>
                <w:sz w:val="24"/>
              </w:rPr>
              <w:t>采用的施工机械主要有挖土机、载重汽车、混凝土搅拌机、振捣器、压路机、 管道切割机、电动弯管机、电锤、卷板机、咬口机等。</w:t>
            </w:r>
          </w:p>
          <w:p w14:paraId="6E59A1C8">
            <w:pPr>
              <w:adjustRightInd w:val="0"/>
              <w:snapToGrid w:val="0"/>
              <w:spacing w:line="480" w:lineRule="exact"/>
              <w:ind w:firstLine="482" w:firstLineChars="200"/>
              <w:outlineLvl w:val="1"/>
              <w:rPr>
                <w:b/>
                <w:sz w:val="24"/>
              </w:rPr>
            </w:pPr>
            <w:r>
              <w:rPr>
                <w:rFonts w:hint="eastAsia"/>
                <w:b/>
                <w:sz w:val="24"/>
              </w:rPr>
              <w:t>2.2.1.</w:t>
            </w:r>
            <w:r>
              <w:rPr>
                <w:b/>
                <w:sz w:val="24"/>
              </w:rPr>
              <w:t>4</w:t>
            </w:r>
            <w:r>
              <w:rPr>
                <w:rFonts w:hint="eastAsia"/>
                <w:b/>
                <w:sz w:val="24"/>
              </w:rPr>
              <w:t>施工期主要污染源及污染物</w:t>
            </w:r>
          </w:p>
          <w:p w14:paraId="1BD1C3BA">
            <w:pPr>
              <w:adjustRightInd w:val="0"/>
              <w:snapToGrid w:val="0"/>
              <w:spacing w:line="480" w:lineRule="exact"/>
              <w:ind w:firstLine="480" w:firstLineChars="200"/>
              <w:outlineLvl w:val="1"/>
              <w:rPr>
                <w:sz w:val="24"/>
              </w:rPr>
            </w:pPr>
            <w:r>
              <w:rPr>
                <w:sz w:val="24"/>
              </w:rPr>
              <w:t xml:space="preserve">（1）废气 </w:t>
            </w:r>
          </w:p>
          <w:p w14:paraId="361501C4">
            <w:pPr>
              <w:autoSpaceDE w:val="0"/>
              <w:autoSpaceDN w:val="0"/>
              <w:adjustRightInd w:val="0"/>
              <w:spacing w:line="480" w:lineRule="exact"/>
              <w:ind w:firstLine="480" w:firstLineChars="200"/>
              <w:jc w:val="left"/>
              <w:rPr>
                <w:kern w:val="0"/>
                <w:sz w:val="24"/>
              </w:rPr>
            </w:pPr>
            <w:r>
              <w:rPr>
                <w:rFonts w:hAnsi="宋体"/>
                <w:kern w:val="0"/>
                <w:sz w:val="24"/>
              </w:rPr>
              <w:t>施工期大气污染物主要来自扬尘、施工机械的尾气、装修废气等。</w:t>
            </w:r>
          </w:p>
          <w:p w14:paraId="3829E3FA">
            <w:pPr>
              <w:autoSpaceDE w:val="0"/>
              <w:autoSpaceDN w:val="0"/>
              <w:adjustRightInd w:val="0"/>
              <w:spacing w:line="480" w:lineRule="exact"/>
              <w:ind w:firstLine="480" w:firstLineChars="200"/>
              <w:jc w:val="left"/>
              <w:rPr>
                <w:kern w:val="0"/>
                <w:sz w:val="24"/>
              </w:rPr>
            </w:pPr>
            <w:r>
              <w:rPr>
                <w:rFonts w:hAnsi="宋体"/>
                <w:kern w:val="0"/>
                <w:sz w:val="24"/>
              </w:rPr>
              <w:t>扬尘：施工过程中的土石方开挖、施工材料的运输、装卸、储存、使用等均会产生大量的扬尘。同时由于土石方开挖破坏地表现有植被，表层土壤直接裸露且比较松软，施工活动扰动也会引起二次扬尘。</w:t>
            </w:r>
          </w:p>
          <w:p w14:paraId="3748F79A">
            <w:pPr>
              <w:autoSpaceDE w:val="0"/>
              <w:autoSpaceDN w:val="0"/>
              <w:adjustRightInd w:val="0"/>
              <w:spacing w:line="480" w:lineRule="exact"/>
              <w:ind w:firstLine="480" w:firstLineChars="200"/>
              <w:jc w:val="left"/>
              <w:rPr>
                <w:kern w:val="0"/>
                <w:sz w:val="24"/>
              </w:rPr>
            </w:pPr>
            <w:r>
              <w:rPr>
                <w:rFonts w:hAnsi="宋体"/>
                <w:kern w:val="0"/>
                <w:sz w:val="24"/>
              </w:rPr>
              <w:t>施工机械尾气：各种燃油施工机械和运输车辆在施工及运输过程中均排放一定数量的废气，主要污染物以</w:t>
            </w:r>
            <w:r>
              <w:rPr>
                <w:kern w:val="0"/>
                <w:sz w:val="24"/>
              </w:rPr>
              <w:t>CO</w:t>
            </w:r>
            <w:r>
              <w:rPr>
                <w:rFonts w:hAnsi="宋体"/>
                <w:kern w:val="0"/>
                <w:sz w:val="24"/>
              </w:rPr>
              <w:t>、</w:t>
            </w:r>
            <w:r>
              <w:rPr>
                <w:kern w:val="0"/>
                <w:sz w:val="24"/>
              </w:rPr>
              <w:t xml:space="preserve">NOX </w:t>
            </w:r>
            <w:r>
              <w:rPr>
                <w:rFonts w:hAnsi="宋体"/>
                <w:kern w:val="0"/>
                <w:sz w:val="24"/>
              </w:rPr>
              <w:t>为主。</w:t>
            </w:r>
          </w:p>
          <w:p w14:paraId="51B6288A">
            <w:pPr>
              <w:adjustRightInd w:val="0"/>
              <w:snapToGrid w:val="0"/>
              <w:spacing w:line="480" w:lineRule="exact"/>
              <w:ind w:firstLine="480" w:firstLineChars="200"/>
              <w:outlineLvl w:val="1"/>
              <w:rPr>
                <w:kern w:val="0"/>
                <w:sz w:val="24"/>
              </w:rPr>
            </w:pPr>
            <w:r>
              <w:rPr>
                <w:rFonts w:hAnsi="宋体"/>
                <w:kern w:val="0"/>
                <w:sz w:val="24"/>
              </w:rPr>
              <w:t>装修废气：装修材料的切割粉尘和装修涂料挥发的甲醛、苯等有害气体。</w:t>
            </w:r>
          </w:p>
          <w:p w14:paraId="534C1A0A">
            <w:pPr>
              <w:adjustRightInd w:val="0"/>
              <w:snapToGrid w:val="0"/>
              <w:spacing w:line="480" w:lineRule="exact"/>
              <w:ind w:firstLine="480" w:firstLineChars="200"/>
              <w:outlineLvl w:val="1"/>
              <w:rPr>
                <w:sz w:val="24"/>
              </w:rPr>
            </w:pPr>
            <w:r>
              <w:rPr>
                <w:sz w:val="24"/>
              </w:rPr>
              <w:t xml:space="preserve">（2）废水 </w:t>
            </w:r>
          </w:p>
          <w:p w14:paraId="4CF6A12C">
            <w:pPr>
              <w:autoSpaceDE w:val="0"/>
              <w:autoSpaceDN w:val="0"/>
              <w:adjustRightInd w:val="0"/>
              <w:spacing w:line="480" w:lineRule="exact"/>
              <w:ind w:firstLine="480" w:firstLineChars="200"/>
              <w:jc w:val="left"/>
              <w:rPr>
                <w:kern w:val="0"/>
                <w:sz w:val="24"/>
              </w:rPr>
            </w:pPr>
            <w:r>
              <w:rPr>
                <w:rFonts w:hAnsi="宋体"/>
                <w:kern w:val="0"/>
                <w:sz w:val="24"/>
              </w:rPr>
              <w:t>施工期废水由施工场地废水和生活污水两部分组成。</w:t>
            </w:r>
          </w:p>
          <w:p w14:paraId="0E1D4030">
            <w:pPr>
              <w:autoSpaceDE w:val="0"/>
              <w:autoSpaceDN w:val="0"/>
              <w:adjustRightInd w:val="0"/>
              <w:spacing w:line="480" w:lineRule="exact"/>
              <w:ind w:firstLine="480" w:firstLineChars="200"/>
              <w:jc w:val="left"/>
              <w:rPr>
                <w:kern w:val="0"/>
                <w:sz w:val="24"/>
              </w:rPr>
            </w:pPr>
            <w:r>
              <w:rPr>
                <w:rFonts w:hAnsi="宋体"/>
                <w:kern w:val="0"/>
                <w:sz w:val="24"/>
              </w:rPr>
              <w:t>施工场地废水主要为混凝土养护废水、施工机械冲洗废水及出入场地运输车辆的冲洗废水，预计废水产生量分别约为</w:t>
            </w:r>
            <w:r>
              <w:rPr>
                <w:kern w:val="0"/>
                <w:sz w:val="24"/>
              </w:rPr>
              <w:t>20m</w:t>
            </w:r>
            <w:r>
              <w:rPr>
                <w:kern w:val="0"/>
                <w:sz w:val="24"/>
                <w:vertAlign w:val="superscript"/>
              </w:rPr>
              <w:t>3</w:t>
            </w:r>
            <w:r>
              <w:rPr>
                <w:kern w:val="0"/>
                <w:sz w:val="24"/>
              </w:rPr>
              <w:t>/d</w:t>
            </w:r>
            <w:r>
              <w:rPr>
                <w:rFonts w:hint="eastAsia"/>
                <w:kern w:val="0"/>
                <w:sz w:val="24"/>
              </w:rPr>
              <w:t>、</w:t>
            </w:r>
            <w:r>
              <w:rPr>
                <w:kern w:val="0"/>
                <w:sz w:val="24"/>
              </w:rPr>
              <w:t>10 m</w:t>
            </w:r>
            <w:r>
              <w:rPr>
                <w:kern w:val="0"/>
                <w:sz w:val="24"/>
                <w:vertAlign w:val="superscript"/>
              </w:rPr>
              <w:t>3</w:t>
            </w:r>
            <w:r>
              <w:rPr>
                <w:kern w:val="0"/>
                <w:sz w:val="24"/>
              </w:rPr>
              <w:t>/d</w:t>
            </w:r>
            <w:r>
              <w:rPr>
                <w:rFonts w:hAnsi="宋体"/>
                <w:kern w:val="0"/>
                <w:sz w:val="24"/>
              </w:rPr>
              <w:t>、</w:t>
            </w:r>
            <w:r>
              <w:rPr>
                <w:rFonts w:hint="eastAsia"/>
                <w:kern w:val="0"/>
                <w:sz w:val="24"/>
              </w:rPr>
              <w:t>2</w:t>
            </w:r>
            <w:r>
              <w:rPr>
                <w:kern w:val="0"/>
                <w:sz w:val="24"/>
              </w:rPr>
              <w:t xml:space="preserve"> m</w:t>
            </w:r>
            <w:r>
              <w:rPr>
                <w:kern w:val="0"/>
                <w:sz w:val="24"/>
                <w:vertAlign w:val="superscript"/>
              </w:rPr>
              <w:t>3</w:t>
            </w:r>
            <w:r>
              <w:rPr>
                <w:kern w:val="0"/>
                <w:sz w:val="24"/>
              </w:rPr>
              <w:t>/d</w:t>
            </w:r>
            <w:r>
              <w:rPr>
                <w:rFonts w:hAnsi="宋体"/>
                <w:kern w:val="0"/>
                <w:sz w:val="24"/>
              </w:rPr>
              <w:t>。混凝土养护废水污染物以</w:t>
            </w:r>
            <w:r>
              <w:rPr>
                <w:kern w:val="0"/>
                <w:sz w:val="24"/>
              </w:rPr>
              <w:t xml:space="preserve">SS </w:t>
            </w:r>
            <w:r>
              <w:rPr>
                <w:rFonts w:hAnsi="宋体"/>
                <w:kern w:val="0"/>
                <w:sz w:val="24"/>
              </w:rPr>
              <w:t>为主，浓度约为</w:t>
            </w:r>
            <w:r>
              <w:rPr>
                <w:kern w:val="0"/>
                <w:sz w:val="24"/>
              </w:rPr>
              <w:t>400mg/L</w:t>
            </w:r>
            <w:r>
              <w:rPr>
                <w:rFonts w:hAnsi="宋体"/>
                <w:kern w:val="0"/>
                <w:sz w:val="24"/>
              </w:rPr>
              <w:t>，产生量约为</w:t>
            </w:r>
            <w:r>
              <w:rPr>
                <w:kern w:val="0"/>
                <w:sz w:val="24"/>
              </w:rPr>
              <w:t>20 m</w:t>
            </w:r>
            <w:r>
              <w:rPr>
                <w:kern w:val="0"/>
                <w:sz w:val="24"/>
                <w:vertAlign w:val="superscript"/>
              </w:rPr>
              <w:t>3</w:t>
            </w:r>
            <w:r>
              <w:rPr>
                <w:kern w:val="0"/>
                <w:sz w:val="24"/>
              </w:rPr>
              <w:t>/d</w:t>
            </w:r>
            <w:r>
              <w:rPr>
                <w:rFonts w:hAnsi="宋体"/>
                <w:kern w:val="0"/>
                <w:sz w:val="24"/>
              </w:rPr>
              <w:t>；施工机械冲洗废水及出入场地运输车辆的冲洗废水含</w:t>
            </w:r>
            <w:r>
              <w:rPr>
                <w:kern w:val="0"/>
                <w:sz w:val="24"/>
              </w:rPr>
              <w:t xml:space="preserve">SS </w:t>
            </w:r>
            <w:r>
              <w:rPr>
                <w:rFonts w:hAnsi="宋体"/>
                <w:kern w:val="0"/>
                <w:sz w:val="24"/>
              </w:rPr>
              <w:t>和少量石油类，浓度分别约为</w:t>
            </w:r>
            <w:r>
              <w:rPr>
                <w:kern w:val="0"/>
                <w:sz w:val="24"/>
              </w:rPr>
              <w:t>500mg/L</w:t>
            </w:r>
            <w:r>
              <w:rPr>
                <w:rFonts w:hAnsi="宋体"/>
                <w:kern w:val="0"/>
                <w:sz w:val="24"/>
              </w:rPr>
              <w:t>、</w:t>
            </w:r>
            <w:r>
              <w:rPr>
                <w:kern w:val="0"/>
                <w:sz w:val="24"/>
              </w:rPr>
              <w:t>25.0mg/L</w:t>
            </w:r>
            <w:r>
              <w:rPr>
                <w:rFonts w:hAnsi="宋体"/>
                <w:kern w:val="0"/>
                <w:sz w:val="24"/>
              </w:rPr>
              <w:t>，产生量分别约为</w:t>
            </w:r>
            <w:r>
              <w:rPr>
                <w:kern w:val="0"/>
                <w:sz w:val="24"/>
              </w:rPr>
              <w:t>10 m</w:t>
            </w:r>
            <w:r>
              <w:rPr>
                <w:kern w:val="0"/>
                <w:sz w:val="24"/>
                <w:vertAlign w:val="superscript"/>
              </w:rPr>
              <w:t>3</w:t>
            </w:r>
            <w:r>
              <w:rPr>
                <w:kern w:val="0"/>
                <w:sz w:val="24"/>
              </w:rPr>
              <w:t>/d</w:t>
            </w:r>
            <w:r>
              <w:rPr>
                <w:rFonts w:hAnsi="宋体"/>
                <w:kern w:val="0"/>
                <w:sz w:val="24"/>
              </w:rPr>
              <w:t>、</w:t>
            </w:r>
            <w:r>
              <w:rPr>
                <w:rFonts w:hint="eastAsia"/>
                <w:kern w:val="0"/>
                <w:sz w:val="24"/>
              </w:rPr>
              <w:t>2</w:t>
            </w:r>
            <w:r>
              <w:rPr>
                <w:kern w:val="0"/>
                <w:sz w:val="24"/>
              </w:rPr>
              <w:t xml:space="preserve"> m</w:t>
            </w:r>
            <w:r>
              <w:rPr>
                <w:kern w:val="0"/>
                <w:sz w:val="24"/>
                <w:vertAlign w:val="superscript"/>
              </w:rPr>
              <w:t>3</w:t>
            </w:r>
            <w:r>
              <w:rPr>
                <w:kern w:val="0"/>
                <w:sz w:val="24"/>
              </w:rPr>
              <w:t>/d</w:t>
            </w:r>
            <w:r>
              <w:rPr>
                <w:rFonts w:hAnsi="宋体"/>
                <w:kern w:val="0"/>
                <w:sz w:val="24"/>
              </w:rPr>
              <w:t>。</w:t>
            </w:r>
          </w:p>
          <w:p w14:paraId="5B08EBCD">
            <w:pPr>
              <w:autoSpaceDE w:val="0"/>
              <w:autoSpaceDN w:val="0"/>
              <w:adjustRightInd w:val="0"/>
              <w:spacing w:line="480" w:lineRule="exact"/>
              <w:ind w:firstLine="480" w:firstLineChars="200"/>
              <w:jc w:val="left"/>
              <w:rPr>
                <w:sz w:val="24"/>
              </w:rPr>
            </w:pPr>
            <w:r>
              <w:rPr>
                <w:rFonts w:hAnsi="宋体"/>
                <w:kern w:val="0"/>
                <w:sz w:val="24"/>
              </w:rPr>
              <w:t>预计工程施工人数最多时可达</w:t>
            </w:r>
            <w:r>
              <w:rPr>
                <w:kern w:val="0"/>
                <w:sz w:val="24"/>
              </w:rPr>
              <w:t>200</w:t>
            </w:r>
            <w:r>
              <w:rPr>
                <w:rFonts w:hAnsi="宋体"/>
                <w:kern w:val="0"/>
                <w:sz w:val="24"/>
              </w:rPr>
              <w:t>人</w:t>
            </w:r>
            <w:r>
              <w:rPr>
                <w:kern w:val="0"/>
                <w:sz w:val="24"/>
              </w:rPr>
              <w:t>/d</w:t>
            </w:r>
            <w:r>
              <w:rPr>
                <w:rFonts w:hAnsi="宋体"/>
                <w:kern w:val="0"/>
                <w:sz w:val="24"/>
              </w:rPr>
              <w:t>，人均用水按</w:t>
            </w:r>
            <w:r>
              <w:rPr>
                <w:kern w:val="0"/>
                <w:sz w:val="24"/>
              </w:rPr>
              <w:t xml:space="preserve">100L/d </w:t>
            </w:r>
            <w:r>
              <w:rPr>
                <w:rFonts w:hAnsi="宋体"/>
                <w:kern w:val="0"/>
                <w:sz w:val="24"/>
              </w:rPr>
              <w:t>计，则生活用水量约</w:t>
            </w:r>
            <w:r>
              <w:rPr>
                <w:kern w:val="0"/>
                <w:sz w:val="24"/>
              </w:rPr>
              <w:t>20m</w:t>
            </w:r>
            <w:r>
              <w:rPr>
                <w:kern w:val="0"/>
                <w:sz w:val="24"/>
                <w:vertAlign w:val="superscript"/>
              </w:rPr>
              <w:t>3</w:t>
            </w:r>
            <w:r>
              <w:rPr>
                <w:kern w:val="0"/>
                <w:sz w:val="24"/>
              </w:rPr>
              <w:t>/d</w:t>
            </w:r>
            <w:r>
              <w:rPr>
                <w:rFonts w:hAnsi="宋体"/>
                <w:kern w:val="0"/>
                <w:sz w:val="24"/>
              </w:rPr>
              <w:t>，折污系数取</w:t>
            </w:r>
            <w:r>
              <w:rPr>
                <w:kern w:val="0"/>
                <w:sz w:val="24"/>
              </w:rPr>
              <w:t>0.9</w:t>
            </w:r>
            <w:r>
              <w:rPr>
                <w:rFonts w:hAnsi="宋体"/>
                <w:kern w:val="0"/>
                <w:sz w:val="24"/>
              </w:rPr>
              <w:t>，则生活污水产生量为</w:t>
            </w:r>
            <w:r>
              <w:rPr>
                <w:kern w:val="0"/>
                <w:sz w:val="24"/>
              </w:rPr>
              <w:t>18m</w:t>
            </w:r>
            <w:r>
              <w:rPr>
                <w:kern w:val="0"/>
                <w:sz w:val="24"/>
                <w:vertAlign w:val="superscript"/>
              </w:rPr>
              <w:t>3</w:t>
            </w:r>
            <w:r>
              <w:rPr>
                <w:kern w:val="0"/>
                <w:sz w:val="24"/>
              </w:rPr>
              <w:t>/d</w:t>
            </w:r>
            <w:r>
              <w:rPr>
                <w:rFonts w:hAnsi="宋体"/>
                <w:kern w:val="0"/>
                <w:sz w:val="24"/>
              </w:rPr>
              <w:t>，污染物以</w:t>
            </w:r>
            <w:r>
              <w:rPr>
                <w:kern w:val="0"/>
                <w:sz w:val="24"/>
              </w:rPr>
              <w:t>COD</w:t>
            </w:r>
            <w:r>
              <w:rPr>
                <w:rFonts w:hAnsi="宋体"/>
                <w:kern w:val="0"/>
                <w:sz w:val="24"/>
              </w:rPr>
              <w:t>、</w:t>
            </w:r>
            <w:r>
              <w:rPr>
                <w:kern w:val="0"/>
                <w:sz w:val="24"/>
              </w:rPr>
              <w:t>BOD</w:t>
            </w:r>
            <w:r>
              <w:rPr>
                <w:kern w:val="0"/>
                <w:sz w:val="24"/>
                <w:vertAlign w:val="subscript"/>
              </w:rPr>
              <w:t>5</w:t>
            </w:r>
            <w:r>
              <w:rPr>
                <w:rFonts w:hAnsi="宋体"/>
                <w:kern w:val="0"/>
                <w:sz w:val="24"/>
              </w:rPr>
              <w:t>、</w:t>
            </w:r>
            <w:r>
              <w:rPr>
                <w:kern w:val="0"/>
                <w:sz w:val="24"/>
              </w:rPr>
              <w:t xml:space="preserve">SS </w:t>
            </w:r>
            <w:r>
              <w:rPr>
                <w:rFonts w:hAnsi="宋体"/>
                <w:kern w:val="0"/>
                <w:sz w:val="24"/>
              </w:rPr>
              <w:t>和</w:t>
            </w:r>
            <w:r>
              <w:rPr>
                <w:kern w:val="0"/>
                <w:sz w:val="24"/>
              </w:rPr>
              <w:t>NH</w:t>
            </w:r>
            <w:r>
              <w:rPr>
                <w:kern w:val="0"/>
                <w:sz w:val="24"/>
                <w:vertAlign w:val="subscript"/>
              </w:rPr>
              <w:t>3</w:t>
            </w:r>
            <w:r>
              <w:rPr>
                <w:kern w:val="0"/>
                <w:sz w:val="24"/>
              </w:rPr>
              <w:t xml:space="preserve">-N </w:t>
            </w:r>
            <w:r>
              <w:rPr>
                <w:rFonts w:hAnsi="宋体"/>
                <w:kern w:val="0"/>
                <w:sz w:val="24"/>
              </w:rPr>
              <w:t>为主，浓度分别为</w:t>
            </w:r>
            <w:r>
              <w:rPr>
                <w:kern w:val="0"/>
                <w:sz w:val="24"/>
              </w:rPr>
              <w:t>350mg/L</w:t>
            </w:r>
            <w:r>
              <w:rPr>
                <w:rFonts w:hAnsi="宋体"/>
                <w:kern w:val="0"/>
                <w:sz w:val="24"/>
              </w:rPr>
              <w:t>、</w:t>
            </w:r>
            <w:r>
              <w:rPr>
                <w:kern w:val="0"/>
                <w:sz w:val="24"/>
              </w:rPr>
              <w:t>250mg/L</w:t>
            </w:r>
            <w:r>
              <w:rPr>
                <w:rFonts w:hAnsi="宋体"/>
                <w:kern w:val="0"/>
                <w:sz w:val="24"/>
              </w:rPr>
              <w:t>、</w:t>
            </w:r>
            <w:r>
              <w:rPr>
                <w:kern w:val="0"/>
                <w:sz w:val="24"/>
              </w:rPr>
              <w:t>250mg/L</w:t>
            </w:r>
            <w:r>
              <w:rPr>
                <w:rFonts w:hAnsi="宋体"/>
                <w:kern w:val="0"/>
                <w:sz w:val="24"/>
              </w:rPr>
              <w:t>、</w:t>
            </w:r>
            <w:r>
              <w:rPr>
                <w:kern w:val="0"/>
                <w:sz w:val="24"/>
              </w:rPr>
              <w:t>35mg/L</w:t>
            </w:r>
            <w:r>
              <w:rPr>
                <w:rFonts w:hAnsi="宋体"/>
                <w:kern w:val="0"/>
                <w:sz w:val="24"/>
              </w:rPr>
              <w:t>，产生量分别为</w:t>
            </w:r>
            <w:r>
              <w:rPr>
                <w:kern w:val="0"/>
                <w:sz w:val="24"/>
              </w:rPr>
              <w:t>6.30kg/d</w:t>
            </w:r>
            <w:r>
              <w:rPr>
                <w:rFonts w:hAnsi="宋体"/>
                <w:kern w:val="0"/>
                <w:sz w:val="24"/>
              </w:rPr>
              <w:t>、</w:t>
            </w:r>
            <w:r>
              <w:rPr>
                <w:kern w:val="0"/>
                <w:sz w:val="24"/>
              </w:rPr>
              <w:t>4.50kg/d</w:t>
            </w:r>
            <w:r>
              <w:rPr>
                <w:rFonts w:hAnsi="宋体"/>
                <w:kern w:val="0"/>
                <w:sz w:val="24"/>
              </w:rPr>
              <w:t>、</w:t>
            </w:r>
            <w:r>
              <w:rPr>
                <w:kern w:val="0"/>
                <w:sz w:val="24"/>
              </w:rPr>
              <w:t>4.50kg/d</w:t>
            </w:r>
            <w:r>
              <w:rPr>
                <w:rFonts w:hAnsi="宋体"/>
                <w:kern w:val="0"/>
                <w:sz w:val="24"/>
              </w:rPr>
              <w:t>、</w:t>
            </w:r>
            <w:r>
              <w:rPr>
                <w:kern w:val="0"/>
                <w:sz w:val="24"/>
              </w:rPr>
              <w:t>0.63kg/d</w:t>
            </w:r>
            <w:r>
              <w:rPr>
                <w:rFonts w:hAnsi="宋体"/>
                <w:kern w:val="0"/>
                <w:sz w:val="24"/>
              </w:rPr>
              <w:t>。</w:t>
            </w:r>
            <w:r>
              <w:rPr>
                <w:sz w:val="24"/>
              </w:rPr>
              <w:t xml:space="preserve"> </w:t>
            </w:r>
          </w:p>
          <w:p w14:paraId="1F60B91E">
            <w:pPr>
              <w:adjustRightInd w:val="0"/>
              <w:snapToGrid w:val="0"/>
              <w:spacing w:line="480" w:lineRule="exact"/>
              <w:ind w:firstLine="480" w:firstLineChars="200"/>
              <w:outlineLvl w:val="1"/>
              <w:rPr>
                <w:sz w:val="24"/>
              </w:rPr>
            </w:pPr>
            <w:r>
              <w:rPr>
                <w:sz w:val="24"/>
              </w:rPr>
              <w:t xml:space="preserve">（3）噪声 </w:t>
            </w:r>
          </w:p>
          <w:p w14:paraId="17AF06FE">
            <w:pPr>
              <w:adjustRightInd w:val="0"/>
              <w:snapToGrid w:val="0"/>
              <w:spacing w:line="480" w:lineRule="exact"/>
              <w:ind w:firstLine="480" w:firstLineChars="200"/>
              <w:outlineLvl w:val="1"/>
              <w:rPr>
                <w:sz w:val="24"/>
              </w:rPr>
            </w:pPr>
            <w:r>
              <w:rPr>
                <w:sz w:val="24"/>
              </w:rPr>
              <w:t>施工期土建、安装产生的噪声是最为敏感的环境问题之一，也成为当前工程 建设中民众投诉的热点问题。项目的建设一定程度上影响到施工场地邻近群众的</w:t>
            </w:r>
          </w:p>
          <w:p w14:paraId="0CF2B10D">
            <w:pPr>
              <w:adjustRightInd w:val="0"/>
              <w:snapToGrid w:val="0"/>
              <w:spacing w:line="480" w:lineRule="exact"/>
              <w:outlineLvl w:val="1"/>
              <w:rPr>
                <w:sz w:val="24"/>
              </w:rPr>
            </w:pPr>
            <w:r>
              <w:rPr>
                <w:sz w:val="24"/>
              </w:rPr>
              <w:t xml:space="preserve">正常生活工作，建设单位和施工单位应给予一定重视。 </w:t>
            </w:r>
          </w:p>
          <w:p w14:paraId="11B8C522">
            <w:pPr>
              <w:adjustRightInd w:val="0"/>
              <w:snapToGrid w:val="0"/>
              <w:spacing w:line="480" w:lineRule="exact"/>
              <w:ind w:firstLine="480" w:firstLineChars="200"/>
              <w:outlineLvl w:val="1"/>
              <w:rPr>
                <w:sz w:val="24"/>
              </w:rPr>
            </w:pPr>
            <w:r>
              <w:rPr>
                <w:sz w:val="24"/>
              </w:rPr>
              <w:t>施工期的噪声主要是施工机械设备噪声、物料装卸碰撞噪声、施工人员的活 动噪声及物料运输的交通噪声。车辆类型及声级见表2.2-2，施工阶段的主要声源及 声级见表2.2-3。</w:t>
            </w:r>
          </w:p>
          <w:p w14:paraId="4B72CED0">
            <w:pPr>
              <w:adjustRightInd w:val="0"/>
              <w:snapToGrid w:val="0"/>
              <w:spacing w:line="480" w:lineRule="exact"/>
              <w:jc w:val="center"/>
              <w:outlineLvl w:val="1"/>
              <w:rPr>
                <w:b/>
                <w:bCs/>
                <w:szCs w:val="21"/>
              </w:rPr>
            </w:pPr>
            <w:r>
              <w:rPr>
                <w:rFonts w:hint="eastAsia"/>
                <w:b/>
                <w:bCs/>
                <w:szCs w:val="21"/>
              </w:rPr>
              <w:t xml:space="preserve">表 </w:t>
            </w:r>
            <w:r>
              <w:rPr>
                <w:b/>
                <w:bCs/>
                <w:szCs w:val="21"/>
              </w:rPr>
              <w:t xml:space="preserve">2.2-2 </w:t>
            </w:r>
            <w:r>
              <w:rPr>
                <w:rFonts w:hint="eastAsia"/>
                <w:b/>
                <w:bCs/>
                <w:szCs w:val="21"/>
              </w:rPr>
              <w:t>交通运输车辆声级</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2073"/>
              <w:gridCol w:w="2074"/>
              <w:gridCol w:w="2076"/>
            </w:tblGrid>
            <w:tr w14:paraId="6564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shd w:val="clear" w:color="auto" w:fill="auto"/>
                  <w:vAlign w:val="center"/>
                </w:tcPr>
                <w:p w14:paraId="501BA6B5">
                  <w:pPr>
                    <w:adjustRightInd w:val="0"/>
                    <w:snapToGrid w:val="0"/>
                    <w:jc w:val="center"/>
                    <w:outlineLvl w:val="1"/>
                    <w:rPr>
                      <w:szCs w:val="21"/>
                    </w:rPr>
                  </w:pPr>
                  <w:r>
                    <w:rPr>
                      <w:szCs w:val="21"/>
                    </w:rPr>
                    <w:t>施工阶段</w:t>
                  </w:r>
                </w:p>
              </w:tc>
              <w:tc>
                <w:tcPr>
                  <w:tcW w:w="2093" w:type="dxa"/>
                  <w:shd w:val="clear" w:color="auto" w:fill="auto"/>
                  <w:vAlign w:val="center"/>
                </w:tcPr>
                <w:p w14:paraId="63C2F401">
                  <w:pPr>
                    <w:adjustRightInd w:val="0"/>
                    <w:snapToGrid w:val="0"/>
                    <w:jc w:val="center"/>
                    <w:outlineLvl w:val="1"/>
                    <w:rPr>
                      <w:szCs w:val="21"/>
                    </w:rPr>
                  </w:pPr>
                  <w:r>
                    <w:rPr>
                      <w:szCs w:val="21"/>
                    </w:rPr>
                    <w:t>运输内容</w:t>
                  </w:r>
                </w:p>
              </w:tc>
              <w:tc>
                <w:tcPr>
                  <w:tcW w:w="2094" w:type="dxa"/>
                  <w:shd w:val="clear" w:color="auto" w:fill="auto"/>
                  <w:vAlign w:val="center"/>
                </w:tcPr>
                <w:p w14:paraId="28ABB6FD">
                  <w:pPr>
                    <w:adjustRightInd w:val="0"/>
                    <w:snapToGrid w:val="0"/>
                    <w:jc w:val="center"/>
                    <w:outlineLvl w:val="1"/>
                    <w:rPr>
                      <w:szCs w:val="21"/>
                    </w:rPr>
                  </w:pPr>
                  <w:r>
                    <w:rPr>
                      <w:szCs w:val="21"/>
                    </w:rPr>
                    <w:t>车辆类型</w:t>
                  </w:r>
                </w:p>
              </w:tc>
              <w:tc>
                <w:tcPr>
                  <w:tcW w:w="2094" w:type="dxa"/>
                  <w:shd w:val="clear" w:color="auto" w:fill="auto"/>
                  <w:vAlign w:val="center"/>
                </w:tcPr>
                <w:p w14:paraId="25855C5A">
                  <w:pPr>
                    <w:adjustRightInd w:val="0"/>
                    <w:snapToGrid w:val="0"/>
                    <w:jc w:val="center"/>
                    <w:outlineLvl w:val="1"/>
                    <w:rPr>
                      <w:szCs w:val="21"/>
                    </w:rPr>
                  </w:pPr>
                  <w:r>
                    <w:rPr>
                      <w:szCs w:val="21"/>
                    </w:rPr>
                    <w:t>声级dB</w:t>
                  </w:r>
                </w:p>
              </w:tc>
            </w:tr>
            <w:tr w14:paraId="5D2F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shd w:val="clear" w:color="auto" w:fill="auto"/>
                  <w:vAlign w:val="center"/>
                </w:tcPr>
                <w:p w14:paraId="157526C8">
                  <w:pPr>
                    <w:adjustRightInd w:val="0"/>
                    <w:snapToGrid w:val="0"/>
                    <w:jc w:val="center"/>
                    <w:outlineLvl w:val="1"/>
                    <w:rPr>
                      <w:szCs w:val="21"/>
                    </w:rPr>
                  </w:pPr>
                  <w:r>
                    <w:rPr>
                      <w:szCs w:val="21"/>
                    </w:rPr>
                    <w:t>结构阶段</w:t>
                  </w:r>
                </w:p>
              </w:tc>
              <w:tc>
                <w:tcPr>
                  <w:tcW w:w="2093" w:type="dxa"/>
                  <w:shd w:val="clear" w:color="auto" w:fill="auto"/>
                  <w:vAlign w:val="center"/>
                </w:tcPr>
                <w:p w14:paraId="2E8352D6">
                  <w:pPr>
                    <w:adjustRightInd w:val="0"/>
                    <w:snapToGrid w:val="0"/>
                    <w:jc w:val="center"/>
                    <w:outlineLvl w:val="1"/>
                    <w:rPr>
                      <w:szCs w:val="21"/>
                    </w:rPr>
                  </w:pPr>
                  <w:r>
                    <w:rPr>
                      <w:szCs w:val="21"/>
                    </w:rPr>
                    <w:t>钢筋、商品混</w:t>
                  </w:r>
                  <w:r>
                    <w:rPr>
                      <w:rFonts w:hint="eastAsia"/>
                      <w:szCs w:val="21"/>
                      <w:lang w:eastAsia="zh-CN"/>
                    </w:rPr>
                    <w:t>凝</w:t>
                  </w:r>
                  <w:r>
                    <w:rPr>
                      <w:szCs w:val="21"/>
                    </w:rPr>
                    <w:t>土</w:t>
                  </w:r>
                </w:p>
              </w:tc>
              <w:tc>
                <w:tcPr>
                  <w:tcW w:w="2094" w:type="dxa"/>
                  <w:shd w:val="clear" w:color="auto" w:fill="auto"/>
                  <w:vAlign w:val="center"/>
                </w:tcPr>
                <w:p w14:paraId="6349A35B">
                  <w:pPr>
                    <w:adjustRightInd w:val="0"/>
                    <w:snapToGrid w:val="0"/>
                    <w:jc w:val="center"/>
                    <w:outlineLvl w:val="1"/>
                    <w:rPr>
                      <w:szCs w:val="21"/>
                    </w:rPr>
                  </w:pPr>
                  <w:r>
                    <w:rPr>
                      <w:szCs w:val="21"/>
                    </w:rPr>
                    <w:t>混</w:t>
                  </w:r>
                  <w:r>
                    <w:rPr>
                      <w:rFonts w:hint="eastAsia"/>
                      <w:szCs w:val="21"/>
                      <w:lang w:eastAsia="zh-CN"/>
                    </w:rPr>
                    <w:t>凝</w:t>
                  </w:r>
                  <w:r>
                    <w:rPr>
                      <w:szCs w:val="21"/>
                    </w:rPr>
                    <w:t>土罐车、载重车</w:t>
                  </w:r>
                </w:p>
              </w:tc>
              <w:tc>
                <w:tcPr>
                  <w:tcW w:w="2094" w:type="dxa"/>
                  <w:shd w:val="clear" w:color="auto" w:fill="auto"/>
                  <w:vAlign w:val="center"/>
                </w:tcPr>
                <w:p w14:paraId="7783A101">
                  <w:pPr>
                    <w:adjustRightInd w:val="0"/>
                    <w:snapToGrid w:val="0"/>
                    <w:jc w:val="center"/>
                    <w:outlineLvl w:val="1"/>
                    <w:rPr>
                      <w:szCs w:val="21"/>
                    </w:rPr>
                  </w:pPr>
                  <w:r>
                    <w:rPr>
                      <w:szCs w:val="21"/>
                    </w:rPr>
                    <w:t>80~85</w:t>
                  </w:r>
                </w:p>
              </w:tc>
            </w:tr>
            <w:tr w14:paraId="3106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shd w:val="clear" w:color="auto" w:fill="auto"/>
                  <w:vAlign w:val="center"/>
                </w:tcPr>
                <w:p w14:paraId="1E68CF66">
                  <w:pPr>
                    <w:adjustRightInd w:val="0"/>
                    <w:snapToGrid w:val="0"/>
                    <w:jc w:val="center"/>
                    <w:outlineLvl w:val="1"/>
                    <w:rPr>
                      <w:szCs w:val="21"/>
                    </w:rPr>
                  </w:pPr>
                  <w:r>
                    <w:rPr>
                      <w:szCs w:val="21"/>
                    </w:rPr>
                    <w:t>装修阶段</w:t>
                  </w:r>
                </w:p>
              </w:tc>
              <w:tc>
                <w:tcPr>
                  <w:tcW w:w="2093" w:type="dxa"/>
                  <w:shd w:val="clear" w:color="auto" w:fill="auto"/>
                  <w:vAlign w:val="center"/>
                </w:tcPr>
                <w:p w14:paraId="6C7325B7">
                  <w:pPr>
                    <w:adjustRightInd w:val="0"/>
                    <w:snapToGrid w:val="0"/>
                    <w:jc w:val="center"/>
                    <w:outlineLvl w:val="1"/>
                    <w:rPr>
                      <w:szCs w:val="21"/>
                    </w:rPr>
                  </w:pPr>
                  <w:r>
                    <w:rPr>
                      <w:szCs w:val="21"/>
                    </w:rPr>
                    <w:t>各种装修材料及必要的设备</w:t>
                  </w:r>
                </w:p>
              </w:tc>
              <w:tc>
                <w:tcPr>
                  <w:tcW w:w="2094" w:type="dxa"/>
                  <w:shd w:val="clear" w:color="auto" w:fill="auto"/>
                  <w:vAlign w:val="center"/>
                </w:tcPr>
                <w:p w14:paraId="785BAB9F">
                  <w:pPr>
                    <w:adjustRightInd w:val="0"/>
                    <w:snapToGrid w:val="0"/>
                    <w:jc w:val="center"/>
                    <w:outlineLvl w:val="1"/>
                    <w:rPr>
                      <w:szCs w:val="21"/>
                    </w:rPr>
                  </w:pPr>
                  <w:r>
                    <w:rPr>
                      <w:szCs w:val="21"/>
                    </w:rPr>
                    <w:t>轻型载重卡车</w:t>
                  </w:r>
                </w:p>
              </w:tc>
              <w:tc>
                <w:tcPr>
                  <w:tcW w:w="2094" w:type="dxa"/>
                  <w:shd w:val="clear" w:color="auto" w:fill="auto"/>
                  <w:vAlign w:val="center"/>
                </w:tcPr>
                <w:p w14:paraId="0923FFC3">
                  <w:pPr>
                    <w:adjustRightInd w:val="0"/>
                    <w:snapToGrid w:val="0"/>
                    <w:jc w:val="center"/>
                    <w:outlineLvl w:val="1"/>
                    <w:rPr>
                      <w:szCs w:val="21"/>
                    </w:rPr>
                  </w:pPr>
                  <w:r>
                    <w:rPr>
                      <w:szCs w:val="21"/>
                    </w:rPr>
                    <w:t>75</w:t>
                  </w:r>
                </w:p>
              </w:tc>
            </w:tr>
          </w:tbl>
          <w:p w14:paraId="7A21B344">
            <w:pPr>
              <w:adjustRightInd w:val="0"/>
              <w:snapToGrid w:val="0"/>
              <w:spacing w:line="480" w:lineRule="exact"/>
              <w:jc w:val="center"/>
              <w:outlineLvl w:val="1"/>
              <w:rPr>
                <w:b/>
                <w:bCs/>
                <w:szCs w:val="21"/>
              </w:rPr>
            </w:pPr>
            <w:r>
              <w:rPr>
                <w:rFonts w:hint="eastAsia"/>
                <w:b/>
                <w:bCs/>
                <w:szCs w:val="21"/>
              </w:rPr>
              <w:t xml:space="preserve">表 </w:t>
            </w:r>
            <w:r>
              <w:rPr>
                <w:b/>
                <w:bCs/>
                <w:szCs w:val="21"/>
              </w:rPr>
              <w:t xml:space="preserve">2.2-3 </w:t>
            </w:r>
            <w:r>
              <w:rPr>
                <w:rFonts w:hint="eastAsia"/>
                <w:b/>
                <w:bCs/>
                <w:szCs w:val="21"/>
              </w:rPr>
              <w:t>各施工阶段主要噪声声源状况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2761"/>
              <w:gridCol w:w="2769"/>
            </w:tblGrid>
            <w:tr w14:paraId="7095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shd w:val="clear" w:color="auto" w:fill="auto"/>
                </w:tcPr>
                <w:p w14:paraId="1F7C76A2">
                  <w:pPr>
                    <w:adjustRightInd w:val="0"/>
                    <w:snapToGrid w:val="0"/>
                    <w:spacing w:line="480" w:lineRule="exact"/>
                    <w:jc w:val="center"/>
                    <w:outlineLvl w:val="1"/>
                    <w:rPr>
                      <w:szCs w:val="21"/>
                    </w:rPr>
                  </w:pPr>
                  <w:r>
                    <w:rPr>
                      <w:rFonts w:hint="eastAsia"/>
                      <w:szCs w:val="21"/>
                    </w:rPr>
                    <w:t>施工阶段</w:t>
                  </w:r>
                </w:p>
              </w:tc>
              <w:tc>
                <w:tcPr>
                  <w:tcW w:w="2791" w:type="dxa"/>
                  <w:shd w:val="clear" w:color="auto" w:fill="auto"/>
                </w:tcPr>
                <w:p w14:paraId="3DD0DD1C">
                  <w:pPr>
                    <w:adjustRightInd w:val="0"/>
                    <w:snapToGrid w:val="0"/>
                    <w:spacing w:line="480" w:lineRule="exact"/>
                    <w:jc w:val="center"/>
                    <w:outlineLvl w:val="1"/>
                    <w:rPr>
                      <w:szCs w:val="21"/>
                    </w:rPr>
                  </w:pPr>
                  <w:r>
                    <w:rPr>
                      <w:rFonts w:hint="eastAsia"/>
                      <w:szCs w:val="21"/>
                    </w:rPr>
                    <w:t>声源</w:t>
                  </w:r>
                </w:p>
              </w:tc>
              <w:tc>
                <w:tcPr>
                  <w:tcW w:w="2792" w:type="dxa"/>
                  <w:shd w:val="clear" w:color="auto" w:fill="auto"/>
                </w:tcPr>
                <w:p w14:paraId="4CF7844D">
                  <w:pPr>
                    <w:adjustRightInd w:val="0"/>
                    <w:snapToGrid w:val="0"/>
                    <w:spacing w:line="480" w:lineRule="exact"/>
                    <w:jc w:val="center"/>
                    <w:outlineLvl w:val="1"/>
                    <w:rPr>
                      <w:szCs w:val="21"/>
                    </w:rPr>
                  </w:pPr>
                  <w:r>
                    <w:rPr>
                      <w:rFonts w:hint="eastAsia"/>
                      <w:szCs w:val="21"/>
                    </w:rPr>
                    <w:t>声级</w:t>
                  </w:r>
                  <w:r>
                    <w:rPr>
                      <w:szCs w:val="21"/>
                    </w:rPr>
                    <w:t>dB</w:t>
                  </w:r>
                </w:p>
              </w:tc>
            </w:tr>
            <w:tr w14:paraId="1747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791" w:type="dxa"/>
                  <w:shd w:val="clear" w:color="auto" w:fill="auto"/>
                </w:tcPr>
                <w:p w14:paraId="763AA090">
                  <w:pPr>
                    <w:adjustRightInd w:val="0"/>
                    <w:snapToGrid w:val="0"/>
                    <w:spacing w:line="480" w:lineRule="exact"/>
                    <w:jc w:val="center"/>
                    <w:outlineLvl w:val="1"/>
                    <w:rPr>
                      <w:szCs w:val="21"/>
                    </w:rPr>
                  </w:pPr>
                  <w:r>
                    <w:rPr>
                      <w:rFonts w:hint="eastAsia"/>
                      <w:szCs w:val="21"/>
                    </w:rPr>
                    <w:t>打桩阶段</w:t>
                  </w:r>
                </w:p>
              </w:tc>
              <w:tc>
                <w:tcPr>
                  <w:tcW w:w="2791" w:type="dxa"/>
                  <w:shd w:val="clear" w:color="auto" w:fill="auto"/>
                </w:tcPr>
                <w:p w14:paraId="6E0E38FE">
                  <w:pPr>
                    <w:adjustRightInd w:val="0"/>
                    <w:snapToGrid w:val="0"/>
                    <w:spacing w:line="480" w:lineRule="exact"/>
                    <w:jc w:val="center"/>
                    <w:outlineLvl w:val="1"/>
                    <w:rPr>
                      <w:szCs w:val="21"/>
                    </w:rPr>
                  </w:pPr>
                  <w:r>
                    <w:rPr>
                      <w:rFonts w:hint="eastAsia"/>
                      <w:szCs w:val="21"/>
                    </w:rPr>
                    <w:t>打桩机</w:t>
                  </w:r>
                </w:p>
              </w:tc>
              <w:tc>
                <w:tcPr>
                  <w:tcW w:w="2792" w:type="dxa"/>
                  <w:shd w:val="clear" w:color="auto" w:fill="auto"/>
                </w:tcPr>
                <w:p w14:paraId="15CC425A">
                  <w:pPr>
                    <w:adjustRightInd w:val="0"/>
                    <w:snapToGrid w:val="0"/>
                    <w:spacing w:line="480" w:lineRule="exact"/>
                    <w:jc w:val="center"/>
                    <w:outlineLvl w:val="1"/>
                    <w:rPr>
                      <w:szCs w:val="21"/>
                    </w:rPr>
                  </w:pPr>
                  <w:r>
                    <w:rPr>
                      <w:rFonts w:hint="eastAsia"/>
                      <w:szCs w:val="21"/>
                    </w:rPr>
                    <w:t>1</w:t>
                  </w:r>
                  <w:r>
                    <w:rPr>
                      <w:szCs w:val="21"/>
                    </w:rPr>
                    <w:t>00</w:t>
                  </w:r>
                  <w:r>
                    <w:rPr>
                      <w:rFonts w:hint="eastAsia"/>
                      <w:szCs w:val="21"/>
                    </w:rPr>
                    <w:t>~</w:t>
                  </w:r>
                  <w:r>
                    <w:rPr>
                      <w:szCs w:val="21"/>
                    </w:rPr>
                    <w:t>120</w:t>
                  </w:r>
                </w:p>
              </w:tc>
            </w:tr>
            <w:tr w14:paraId="092B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vMerge w:val="restart"/>
                  <w:shd w:val="clear" w:color="auto" w:fill="auto"/>
                </w:tcPr>
                <w:p w14:paraId="1FF5C227">
                  <w:pPr>
                    <w:adjustRightInd w:val="0"/>
                    <w:snapToGrid w:val="0"/>
                    <w:spacing w:line="480" w:lineRule="exact"/>
                    <w:jc w:val="center"/>
                    <w:outlineLvl w:val="1"/>
                    <w:rPr>
                      <w:szCs w:val="21"/>
                    </w:rPr>
                  </w:pPr>
                  <w:r>
                    <w:rPr>
                      <w:rFonts w:hint="eastAsia"/>
                      <w:szCs w:val="21"/>
                    </w:rPr>
                    <w:t>结构阶段</w:t>
                  </w:r>
                </w:p>
              </w:tc>
              <w:tc>
                <w:tcPr>
                  <w:tcW w:w="2791" w:type="dxa"/>
                  <w:shd w:val="clear" w:color="auto" w:fill="auto"/>
                </w:tcPr>
                <w:p w14:paraId="375E2A2C">
                  <w:pPr>
                    <w:adjustRightInd w:val="0"/>
                    <w:snapToGrid w:val="0"/>
                    <w:spacing w:line="480" w:lineRule="exact"/>
                    <w:jc w:val="center"/>
                    <w:outlineLvl w:val="1"/>
                    <w:rPr>
                      <w:szCs w:val="21"/>
                    </w:rPr>
                  </w:pPr>
                  <w:r>
                    <w:rPr>
                      <w:rFonts w:hint="eastAsia"/>
                      <w:szCs w:val="21"/>
                    </w:rPr>
                    <w:t>混</w:t>
                  </w:r>
                  <w:r>
                    <w:rPr>
                      <w:rFonts w:hint="eastAsia"/>
                      <w:szCs w:val="21"/>
                      <w:lang w:eastAsia="zh-CN"/>
                    </w:rPr>
                    <w:t>凝</w:t>
                  </w:r>
                  <w:r>
                    <w:rPr>
                      <w:rFonts w:hint="eastAsia"/>
                      <w:szCs w:val="21"/>
                    </w:rPr>
                    <w:t>土运输泵</w:t>
                  </w:r>
                </w:p>
              </w:tc>
              <w:tc>
                <w:tcPr>
                  <w:tcW w:w="2792" w:type="dxa"/>
                  <w:shd w:val="clear" w:color="auto" w:fill="auto"/>
                </w:tcPr>
                <w:p w14:paraId="7DCC43D1">
                  <w:pPr>
                    <w:adjustRightInd w:val="0"/>
                    <w:snapToGrid w:val="0"/>
                    <w:spacing w:line="480" w:lineRule="exact"/>
                    <w:jc w:val="center"/>
                    <w:outlineLvl w:val="1"/>
                    <w:rPr>
                      <w:szCs w:val="21"/>
                    </w:rPr>
                  </w:pPr>
                  <w:r>
                    <w:rPr>
                      <w:rFonts w:hint="eastAsia"/>
                      <w:szCs w:val="21"/>
                    </w:rPr>
                    <w:t>9</w:t>
                  </w:r>
                  <w:r>
                    <w:rPr>
                      <w:szCs w:val="21"/>
                    </w:rPr>
                    <w:t>0</w:t>
                  </w:r>
                  <w:r>
                    <w:rPr>
                      <w:rFonts w:hint="eastAsia"/>
                      <w:szCs w:val="21"/>
                    </w:rPr>
                    <w:t>~</w:t>
                  </w:r>
                  <w:r>
                    <w:rPr>
                      <w:szCs w:val="21"/>
                    </w:rPr>
                    <w:t>100</w:t>
                  </w:r>
                </w:p>
              </w:tc>
            </w:tr>
            <w:tr w14:paraId="42C9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vMerge w:val="continue"/>
                  <w:shd w:val="clear" w:color="auto" w:fill="auto"/>
                </w:tcPr>
                <w:p w14:paraId="5E41C4A4">
                  <w:pPr>
                    <w:adjustRightInd w:val="0"/>
                    <w:snapToGrid w:val="0"/>
                    <w:spacing w:line="480" w:lineRule="exact"/>
                    <w:jc w:val="center"/>
                    <w:outlineLvl w:val="1"/>
                    <w:rPr>
                      <w:szCs w:val="21"/>
                    </w:rPr>
                  </w:pPr>
                </w:p>
              </w:tc>
              <w:tc>
                <w:tcPr>
                  <w:tcW w:w="2791" w:type="dxa"/>
                  <w:shd w:val="clear" w:color="auto" w:fill="auto"/>
                </w:tcPr>
                <w:p w14:paraId="6776D16E">
                  <w:pPr>
                    <w:adjustRightInd w:val="0"/>
                    <w:snapToGrid w:val="0"/>
                    <w:spacing w:line="480" w:lineRule="exact"/>
                    <w:jc w:val="center"/>
                    <w:outlineLvl w:val="1"/>
                    <w:rPr>
                      <w:szCs w:val="21"/>
                    </w:rPr>
                  </w:pPr>
                  <w:r>
                    <w:rPr>
                      <w:rFonts w:hint="eastAsia"/>
                      <w:szCs w:val="21"/>
                    </w:rPr>
                    <w:t>振捣棒</w:t>
                  </w:r>
                </w:p>
              </w:tc>
              <w:tc>
                <w:tcPr>
                  <w:tcW w:w="2792" w:type="dxa"/>
                  <w:shd w:val="clear" w:color="auto" w:fill="auto"/>
                </w:tcPr>
                <w:p w14:paraId="615A65E1">
                  <w:pPr>
                    <w:adjustRightInd w:val="0"/>
                    <w:snapToGrid w:val="0"/>
                    <w:spacing w:line="480" w:lineRule="exact"/>
                    <w:jc w:val="center"/>
                    <w:outlineLvl w:val="1"/>
                    <w:rPr>
                      <w:szCs w:val="21"/>
                    </w:rPr>
                  </w:pPr>
                  <w:r>
                    <w:rPr>
                      <w:rFonts w:hint="eastAsia"/>
                      <w:szCs w:val="21"/>
                    </w:rPr>
                    <w:t>1</w:t>
                  </w:r>
                  <w:r>
                    <w:rPr>
                      <w:szCs w:val="21"/>
                    </w:rPr>
                    <w:t>00</w:t>
                  </w:r>
                  <w:r>
                    <w:rPr>
                      <w:rFonts w:hint="eastAsia"/>
                      <w:szCs w:val="21"/>
                    </w:rPr>
                    <w:t>~</w:t>
                  </w:r>
                  <w:r>
                    <w:rPr>
                      <w:szCs w:val="21"/>
                    </w:rPr>
                    <w:t>105</w:t>
                  </w:r>
                </w:p>
              </w:tc>
            </w:tr>
            <w:tr w14:paraId="38ED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vMerge w:val="continue"/>
                  <w:shd w:val="clear" w:color="auto" w:fill="auto"/>
                </w:tcPr>
                <w:p w14:paraId="48E942A1">
                  <w:pPr>
                    <w:adjustRightInd w:val="0"/>
                    <w:snapToGrid w:val="0"/>
                    <w:spacing w:line="480" w:lineRule="exact"/>
                    <w:jc w:val="center"/>
                    <w:outlineLvl w:val="1"/>
                    <w:rPr>
                      <w:szCs w:val="21"/>
                    </w:rPr>
                  </w:pPr>
                </w:p>
              </w:tc>
              <w:tc>
                <w:tcPr>
                  <w:tcW w:w="2791" w:type="dxa"/>
                  <w:shd w:val="clear" w:color="auto" w:fill="auto"/>
                </w:tcPr>
                <w:p w14:paraId="042681C5">
                  <w:pPr>
                    <w:adjustRightInd w:val="0"/>
                    <w:snapToGrid w:val="0"/>
                    <w:spacing w:line="480" w:lineRule="exact"/>
                    <w:jc w:val="center"/>
                    <w:outlineLvl w:val="1"/>
                    <w:rPr>
                      <w:szCs w:val="21"/>
                    </w:rPr>
                  </w:pPr>
                  <w:r>
                    <w:rPr>
                      <w:rFonts w:hint="eastAsia"/>
                      <w:szCs w:val="21"/>
                    </w:rPr>
                    <w:t>电锯</w:t>
                  </w:r>
                </w:p>
              </w:tc>
              <w:tc>
                <w:tcPr>
                  <w:tcW w:w="2792" w:type="dxa"/>
                  <w:shd w:val="clear" w:color="auto" w:fill="auto"/>
                </w:tcPr>
                <w:p w14:paraId="2DC2A15A">
                  <w:pPr>
                    <w:adjustRightInd w:val="0"/>
                    <w:snapToGrid w:val="0"/>
                    <w:spacing w:line="480" w:lineRule="exact"/>
                    <w:jc w:val="center"/>
                    <w:outlineLvl w:val="1"/>
                    <w:rPr>
                      <w:szCs w:val="21"/>
                    </w:rPr>
                  </w:pPr>
                  <w:r>
                    <w:rPr>
                      <w:rFonts w:hint="eastAsia"/>
                      <w:szCs w:val="21"/>
                    </w:rPr>
                    <w:t>1</w:t>
                  </w:r>
                  <w:r>
                    <w:rPr>
                      <w:szCs w:val="21"/>
                    </w:rPr>
                    <w:t>00</w:t>
                  </w:r>
                  <w:r>
                    <w:rPr>
                      <w:rFonts w:hint="eastAsia"/>
                      <w:szCs w:val="21"/>
                    </w:rPr>
                    <w:t>~</w:t>
                  </w:r>
                  <w:r>
                    <w:rPr>
                      <w:szCs w:val="21"/>
                    </w:rPr>
                    <w:t>110</w:t>
                  </w:r>
                </w:p>
              </w:tc>
            </w:tr>
            <w:tr w14:paraId="271A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vMerge w:val="restart"/>
                  <w:shd w:val="clear" w:color="auto" w:fill="auto"/>
                </w:tcPr>
                <w:p w14:paraId="3EB0426B">
                  <w:pPr>
                    <w:adjustRightInd w:val="0"/>
                    <w:snapToGrid w:val="0"/>
                    <w:spacing w:line="480" w:lineRule="exact"/>
                    <w:jc w:val="center"/>
                    <w:outlineLvl w:val="1"/>
                    <w:rPr>
                      <w:szCs w:val="21"/>
                    </w:rPr>
                  </w:pPr>
                  <w:r>
                    <w:rPr>
                      <w:rFonts w:hint="eastAsia"/>
                      <w:szCs w:val="21"/>
                    </w:rPr>
                    <w:t>装修、安装阶段</w:t>
                  </w:r>
                </w:p>
              </w:tc>
              <w:tc>
                <w:tcPr>
                  <w:tcW w:w="2791" w:type="dxa"/>
                  <w:shd w:val="clear" w:color="auto" w:fill="auto"/>
                </w:tcPr>
                <w:p w14:paraId="65327EBD">
                  <w:pPr>
                    <w:adjustRightInd w:val="0"/>
                    <w:snapToGrid w:val="0"/>
                    <w:spacing w:line="480" w:lineRule="exact"/>
                    <w:jc w:val="center"/>
                    <w:outlineLvl w:val="1"/>
                    <w:rPr>
                      <w:szCs w:val="21"/>
                    </w:rPr>
                  </w:pPr>
                  <w:r>
                    <w:rPr>
                      <w:rFonts w:hint="eastAsia"/>
                      <w:szCs w:val="21"/>
                    </w:rPr>
                    <w:t>电钻</w:t>
                  </w:r>
                </w:p>
              </w:tc>
              <w:tc>
                <w:tcPr>
                  <w:tcW w:w="2792" w:type="dxa"/>
                  <w:shd w:val="clear" w:color="auto" w:fill="auto"/>
                </w:tcPr>
                <w:p w14:paraId="66AF6FC6">
                  <w:pPr>
                    <w:adjustRightInd w:val="0"/>
                    <w:snapToGrid w:val="0"/>
                    <w:spacing w:line="480" w:lineRule="exact"/>
                    <w:jc w:val="center"/>
                    <w:outlineLvl w:val="1"/>
                    <w:rPr>
                      <w:szCs w:val="21"/>
                    </w:rPr>
                  </w:pPr>
                  <w:r>
                    <w:rPr>
                      <w:rFonts w:hint="eastAsia"/>
                      <w:szCs w:val="21"/>
                    </w:rPr>
                    <w:t>1</w:t>
                  </w:r>
                  <w:r>
                    <w:rPr>
                      <w:szCs w:val="21"/>
                    </w:rPr>
                    <w:t>00</w:t>
                  </w:r>
                  <w:r>
                    <w:rPr>
                      <w:rFonts w:hint="eastAsia"/>
                      <w:szCs w:val="21"/>
                    </w:rPr>
                    <w:t>~</w:t>
                  </w:r>
                  <w:r>
                    <w:rPr>
                      <w:szCs w:val="21"/>
                    </w:rPr>
                    <w:t>115</w:t>
                  </w:r>
                </w:p>
              </w:tc>
            </w:tr>
            <w:tr w14:paraId="079A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vMerge w:val="continue"/>
                  <w:shd w:val="clear" w:color="auto" w:fill="auto"/>
                </w:tcPr>
                <w:p w14:paraId="18B63BC1">
                  <w:pPr>
                    <w:adjustRightInd w:val="0"/>
                    <w:snapToGrid w:val="0"/>
                    <w:spacing w:line="480" w:lineRule="exact"/>
                    <w:jc w:val="center"/>
                    <w:outlineLvl w:val="1"/>
                    <w:rPr>
                      <w:szCs w:val="21"/>
                    </w:rPr>
                  </w:pPr>
                </w:p>
              </w:tc>
              <w:tc>
                <w:tcPr>
                  <w:tcW w:w="2791" w:type="dxa"/>
                  <w:shd w:val="clear" w:color="auto" w:fill="auto"/>
                </w:tcPr>
                <w:p w14:paraId="1401BC34">
                  <w:pPr>
                    <w:adjustRightInd w:val="0"/>
                    <w:snapToGrid w:val="0"/>
                    <w:spacing w:line="480" w:lineRule="exact"/>
                    <w:jc w:val="center"/>
                    <w:outlineLvl w:val="1"/>
                    <w:rPr>
                      <w:szCs w:val="21"/>
                    </w:rPr>
                  </w:pPr>
                  <w:r>
                    <w:rPr>
                      <w:rFonts w:hint="eastAsia"/>
                      <w:szCs w:val="21"/>
                    </w:rPr>
                    <w:t>电锤</w:t>
                  </w:r>
                </w:p>
              </w:tc>
              <w:tc>
                <w:tcPr>
                  <w:tcW w:w="2792" w:type="dxa"/>
                  <w:shd w:val="clear" w:color="auto" w:fill="auto"/>
                </w:tcPr>
                <w:p w14:paraId="7F03BC15">
                  <w:pPr>
                    <w:adjustRightInd w:val="0"/>
                    <w:snapToGrid w:val="0"/>
                    <w:spacing w:line="480" w:lineRule="exact"/>
                    <w:jc w:val="center"/>
                    <w:outlineLvl w:val="1"/>
                    <w:rPr>
                      <w:szCs w:val="21"/>
                    </w:rPr>
                  </w:pPr>
                  <w:r>
                    <w:rPr>
                      <w:rFonts w:hint="eastAsia"/>
                      <w:szCs w:val="21"/>
                    </w:rPr>
                    <w:t>1</w:t>
                  </w:r>
                  <w:r>
                    <w:rPr>
                      <w:szCs w:val="21"/>
                    </w:rPr>
                    <w:t>00</w:t>
                  </w:r>
                  <w:r>
                    <w:rPr>
                      <w:rFonts w:hint="eastAsia"/>
                      <w:szCs w:val="21"/>
                    </w:rPr>
                    <w:t>~</w:t>
                  </w:r>
                  <w:r>
                    <w:rPr>
                      <w:szCs w:val="21"/>
                    </w:rPr>
                    <w:t>105</w:t>
                  </w:r>
                </w:p>
              </w:tc>
            </w:tr>
            <w:tr w14:paraId="546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vMerge w:val="continue"/>
                  <w:shd w:val="clear" w:color="auto" w:fill="auto"/>
                </w:tcPr>
                <w:p w14:paraId="3915F3E3">
                  <w:pPr>
                    <w:adjustRightInd w:val="0"/>
                    <w:snapToGrid w:val="0"/>
                    <w:spacing w:line="480" w:lineRule="exact"/>
                    <w:jc w:val="center"/>
                    <w:outlineLvl w:val="1"/>
                    <w:rPr>
                      <w:szCs w:val="21"/>
                    </w:rPr>
                  </w:pPr>
                </w:p>
              </w:tc>
              <w:tc>
                <w:tcPr>
                  <w:tcW w:w="2791" w:type="dxa"/>
                  <w:shd w:val="clear" w:color="auto" w:fill="auto"/>
                </w:tcPr>
                <w:p w14:paraId="25088E64">
                  <w:pPr>
                    <w:adjustRightInd w:val="0"/>
                    <w:snapToGrid w:val="0"/>
                    <w:spacing w:line="480" w:lineRule="exact"/>
                    <w:jc w:val="center"/>
                    <w:outlineLvl w:val="1"/>
                    <w:rPr>
                      <w:szCs w:val="21"/>
                    </w:rPr>
                  </w:pPr>
                  <w:r>
                    <w:rPr>
                      <w:rFonts w:hint="eastAsia"/>
                      <w:szCs w:val="21"/>
                    </w:rPr>
                    <w:t>多功能木工刨</w:t>
                  </w:r>
                </w:p>
              </w:tc>
              <w:tc>
                <w:tcPr>
                  <w:tcW w:w="2792" w:type="dxa"/>
                  <w:shd w:val="clear" w:color="auto" w:fill="auto"/>
                </w:tcPr>
                <w:p w14:paraId="0DA3F77F">
                  <w:pPr>
                    <w:adjustRightInd w:val="0"/>
                    <w:snapToGrid w:val="0"/>
                    <w:spacing w:line="480" w:lineRule="exact"/>
                    <w:jc w:val="center"/>
                    <w:outlineLvl w:val="1"/>
                    <w:rPr>
                      <w:szCs w:val="21"/>
                    </w:rPr>
                  </w:pPr>
                  <w:r>
                    <w:rPr>
                      <w:szCs w:val="21"/>
                    </w:rPr>
                    <w:t>90</w:t>
                  </w:r>
                  <w:r>
                    <w:rPr>
                      <w:rFonts w:hint="eastAsia"/>
                      <w:szCs w:val="21"/>
                    </w:rPr>
                    <w:t>~</w:t>
                  </w:r>
                  <w:r>
                    <w:rPr>
                      <w:szCs w:val="21"/>
                    </w:rPr>
                    <w:t>100</w:t>
                  </w:r>
                </w:p>
              </w:tc>
            </w:tr>
            <w:tr w14:paraId="348E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1" w:type="dxa"/>
                  <w:vMerge w:val="continue"/>
                  <w:shd w:val="clear" w:color="auto" w:fill="auto"/>
                </w:tcPr>
                <w:p w14:paraId="52C40B0B">
                  <w:pPr>
                    <w:adjustRightInd w:val="0"/>
                    <w:snapToGrid w:val="0"/>
                    <w:spacing w:line="480" w:lineRule="exact"/>
                    <w:jc w:val="center"/>
                    <w:outlineLvl w:val="1"/>
                    <w:rPr>
                      <w:szCs w:val="21"/>
                    </w:rPr>
                  </w:pPr>
                </w:p>
              </w:tc>
              <w:tc>
                <w:tcPr>
                  <w:tcW w:w="2791" w:type="dxa"/>
                  <w:shd w:val="clear" w:color="auto" w:fill="auto"/>
                </w:tcPr>
                <w:p w14:paraId="0F27EED4">
                  <w:pPr>
                    <w:adjustRightInd w:val="0"/>
                    <w:snapToGrid w:val="0"/>
                    <w:spacing w:line="480" w:lineRule="exact"/>
                    <w:jc w:val="center"/>
                    <w:outlineLvl w:val="1"/>
                    <w:rPr>
                      <w:szCs w:val="21"/>
                    </w:rPr>
                  </w:pPr>
                  <w:r>
                    <w:rPr>
                      <w:rFonts w:hint="eastAsia"/>
                      <w:szCs w:val="21"/>
                    </w:rPr>
                    <w:t>无齿锯</w:t>
                  </w:r>
                </w:p>
              </w:tc>
              <w:tc>
                <w:tcPr>
                  <w:tcW w:w="2792" w:type="dxa"/>
                  <w:shd w:val="clear" w:color="auto" w:fill="auto"/>
                </w:tcPr>
                <w:p w14:paraId="70C79CE2">
                  <w:pPr>
                    <w:adjustRightInd w:val="0"/>
                    <w:snapToGrid w:val="0"/>
                    <w:spacing w:line="480" w:lineRule="exact"/>
                    <w:jc w:val="center"/>
                    <w:outlineLvl w:val="1"/>
                    <w:rPr>
                      <w:szCs w:val="21"/>
                    </w:rPr>
                  </w:pPr>
                  <w:r>
                    <w:rPr>
                      <w:rFonts w:hint="eastAsia"/>
                      <w:szCs w:val="21"/>
                    </w:rPr>
                    <w:t>1</w:t>
                  </w:r>
                  <w:r>
                    <w:rPr>
                      <w:szCs w:val="21"/>
                    </w:rPr>
                    <w:t>05</w:t>
                  </w:r>
                </w:p>
              </w:tc>
            </w:tr>
          </w:tbl>
          <w:p w14:paraId="44FE0CF7">
            <w:pPr>
              <w:adjustRightInd w:val="0"/>
              <w:snapToGrid w:val="0"/>
              <w:spacing w:line="480" w:lineRule="exact"/>
              <w:ind w:firstLine="480" w:firstLineChars="200"/>
              <w:jc w:val="left"/>
              <w:outlineLvl w:val="1"/>
              <w:rPr>
                <w:sz w:val="24"/>
              </w:rPr>
            </w:pPr>
            <w:r>
              <w:rPr>
                <w:sz w:val="24"/>
              </w:rPr>
              <w:t xml:space="preserve">（4）固体废物 </w:t>
            </w:r>
          </w:p>
          <w:p w14:paraId="4599F3A9">
            <w:pPr>
              <w:adjustRightInd w:val="0"/>
              <w:snapToGrid w:val="0"/>
              <w:spacing w:line="480" w:lineRule="exact"/>
              <w:ind w:firstLine="480" w:firstLineChars="200"/>
              <w:jc w:val="left"/>
              <w:outlineLvl w:val="1"/>
              <w:rPr>
                <w:sz w:val="24"/>
              </w:rPr>
            </w:pPr>
            <w:r>
              <w:rPr>
                <w:sz w:val="24"/>
              </w:rPr>
              <w:t>施工期固体废物主要是建筑垃圾、施工废料和施工人员生活垃圾等。建筑垃 圾、施工废料不得随意堆放、倾倒，全部运往指定的城市渣场进行处理</w:t>
            </w:r>
            <w:r>
              <w:rPr>
                <w:rFonts w:hint="eastAsia"/>
                <w:sz w:val="24"/>
              </w:rPr>
              <w:t>，</w:t>
            </w:r>
            <w:r>
              <w:rPr>
                <w:sz w:val="24"/>
              </w:rPr>
              <w:t>运输过程不得沿途漏、撒。</w:t>
            </w:r>
            <w:r>
              <w:rPr>
                <w:rFonts w:hint="eastAsia"/>
                <w:sz w:val="24"/>
              </w:rPr>
              <w:t>若</w:t>
            </w:r>
            <w:r>
              <w:rPr>
                <w:sz w:val="24"/>
              </w:rPr>
              <w:t>建设过程</w:t>
            </w:r>
            <w:r>
              <w:rPr>
                <w:rFonts w:hint="eastAsia"/>
                <w:sz w:val="24"/>
              </w:rPr>
              <w:t>有</w:t>
            </w:r>
            <w:r>
              <w:rPr>
                <w:sz w:val="24"/>
              </w:rPr>
              <w:t>弃方，</w:t>
            </w:r>
            <w:r>
              <w:rPr>
                <w:rFonts w:hint="eastAsia"/>
                <w:sz w:val="24"/>
              </w:rPr>
              <w:t>则</w:t>
            </w:r>
            <w:r>
              <w:rPr>
                <w:sz w:val="24"/>
              </w:rPr>
              <w:t>不得随意倾倒，</w:t>
            </w:r>
            <w:r>
              <w:rPr>
                <w:rFonts w:hint="eastAsia"/>
                <w:sz w:val="24"/>
              </w:rPr>
              <w:t>需</w:t>
            </w:r>
            <w:r>
              <w:rPr>
                <w:sz w:val="24"/>
              </w:rPr>
              <w:t>送至指定的合法的弃土场处置</w:t>
            </w:r>
            <w:r>
              <w:rPr>
                <w:rFonts w:hint="eastAsia"/>
                <w:sz w:val="24"/>
              </w:rPr>
              <w:t>。</w:t>
            </w:r>
            <w:r>
              <w:rPr>
                <w:sz w:val="24"/>
              </w:rPr>
              <w:t xml:space="preserve">施工人员生活垃圾分类收集，生活垃圾由环卫部门统一处置。 </w:t>
            </w:r>
          </w:p>
          <w:p w14:paraId="1CAD219F">
            <w:pPr>
              <w:adjustRightInd w:val="0"/>
              <w:snapToGrid w:val="0"/>
              <w:spacing w:line="480" w:lineRule="exact"/>
              <w:ind w:firstLine="480" w:firstLineChars="200"/>
              <w:jc w:val="left"/>
              <w:outlineLvl w:val="1"/>
              <w:rPr>
                <w:b/>
                <w:bCs/>
                <w:sz w:val="24"/>
              </w:rPr>
            </w:pPr>
            <w:r>
              <w:rPr>
                <w:sz w:val="24"/>
              </w:rPr>
              <w:t>项目装修期间产生的油漆桶属于危险废物，收集后密闭管理，交由有危废处 理资质的单位处理，不允许随意丢弃。</w:t>
            </w:r>
          </w:p>
          <w:p w14:paraId="0DDAAE0C">
            <w:pPr>
              <w:adjustRightInd w:val="0"/>
              <w:snapToGrid w:val="0"/>
              <w:spacing w:line="480" w:lineRule="exact"/>
              <w:ind w:firstLine="480" w:firstLineChars="200"/>
              <w:outlineLvl w:val="1"/>
              <w:rPr>
                <w:sz w:val="24"/>
              </w:rPr>
            </w:pPr>
            <w:r>
              <w:rPr>
                <w:sz w:val="24"/>
              </w:rPr>
              <w:t xml:space="preserve">（5）交通影响 </w:t>
            </w:r>
          </w:p>
          <w:p w14:paraId="6A119C7B">
            <w:pPr>
              <w:adjustRightInd w:val="0"/>
              <w:snapToGrid w:val="0"/>
              <w:spacing w:line="480" w:lineRule="exact"/>
              <w:ind w:firstLine="480" w:firstLineChars="200"/>
              <w:outlineLvl w:val="1"/>
              <w:rPr>
                <w:sz w:val="24"/>
              </w:rPr>
            </w:pPr>
            <w:r>
              <w:rPr>
                <w:sz w:val="24"/>
              </w:rPr>
              <w:t xml:space="preserve">施工期大量工程车辆进出场地，增加对道路通行的压力。建设单位应合理规 划，按规定线路行驶，安排专人指挥，以防止交通堵塞。车辆上路前必须将车轮 泥土清理干净，严禁车轮带泥土上路，严禁车辆超载运输和沿途抛洒，易撒落物 质必须实行密闭运输。 </w:t>
            </w:r>
          </w:p>
          <w:p w14:paraId="72713D7E">
            <w:pPr>
              <w:adjustRightInd w:val="0"/>
              <w:snapToGrid w:val="0"/>
              <w:spacing w:line="480" w:lineRule="exact"/>
              <w:ind w:firstLine="480" w:firstLineChars="200"/>
              <w:outlineLvl w:val="1"/>
              <w:rPr>
                <w:sz w:val="24"/>
              </w:rPr>
            </w:pPr>
            <w:r>
              <w:rPr>
                <w:sz w:val="24"/>
              </w:rPr>
              <w:t xml:space="preserve">（6）小结 </w:t>
            </w:r>
          </w:p>
          <w:p w14:paraId="36F2FF6A">
            <w:pPr>
              <w:adjustRightInd w:val="0"/>
              <w:snapToGrid w:val="0"/>
              <w:spacing w:line="480" w:lineRule="exact"/>
              <w:ind w:firstLine="480" w:firstLineChars="200"/>
              <w:outlineLvl w:val="1"/>
              <w:rPr>
                <w:sz w:val="24"/>
              </w:rPr>
            </w:pPr>
            <w:r>
              <w:rPr>
                <w:sz w:val="24"/>
              </w:rPr>
              <w:t>本工程施工期主要有粉尘及施工噪声的污染，污染物排放情况见表 2.2-4。</w:t>
            </w:r>
          </w:p>
          <w:p w14:paraId="7F335DD6">
            <w:pPr>
              <w:adjustRightInd w:val="0"/>
              <w:snapToGrid w:val="0"/>
              <w:spacing w:line="480" w:lineRule="exact"/>
              <w:jc w:val="center"/>
              <w:outlineLvl w:val="1"/>
              <w:rPr>
                <w:b/>
                <w:bCs/>
                <w:szCs w:val="21"/>
              </w:rPr>
            </w:pPr>
            <w:r>
              <w:rPr>
                <w:rFonts w:hint="eastAsia"/>
                <w:b/>
                <w:bCs/>
                <w:szCs w:val="21"/>
              </w:rPr>
              <w:t>表2</w:t>
            </w:r>
            <w:r>
              <w:rPr>
                <w:b/>
                <w:bCs/>
                <w:szCs w:val="21"/>
              </w:rPr>
              <w:t xml:space="preserve">.2-4 </w:t>
            </w:r>
            <w:r>
              <w:rPr>
                <w:rFonts w:hint="eastAsia"/>
                <w:b/>
                <w:bCs/>
                <w:szCs w:val="21"/>
              </w:rPr>
              <w:t>本工程施工期污染物排放情况一览表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3648"/>
              <w:gridCol w:w="3410"/>
            </w:tblGrid>
            <w:tr w14:paraId="75A2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shd w:val="clear" w:color="auto" w:fill="auto"/>
                  <w:vAlign w:val="center"/>
                </w:tcPr>
                <w:p w14:paraId="0EE528FC">
                  <w:pPr>
                    <w:adjustRightInd w:val="0"/>
                    <w:snapToGrid w:val="0"/>
                    <w:jc w:val="center"/>
                    <w:outlineLvl w:val="1"/>
                    <w:rPr>
                      <w:szCs w:val="21"/>
                    </w:rPr>
                  </w:pPr>
                  <w:r>
                    <w:rPr>
                      <w:szCs w:val="21"/>
                    </w:rPr>
                    <w:t>类别</w:t>
                  </w:r>
                </w:p>
              </w:tc>
              <w:tc>
                <w:tcPr>
                  <w:tcW w:w="3686" w:type="dxa"/>
                  <w:shd w:val="clear" w:color="auto" w:fill="auto"/>
                  <w:vAlign w:val="center"/>
                </w:tcPr>
                <w:p w14:paraId="7A8448D5">
                  <w:pPr>
                    <w:adjustRightInd w:val="0"/>
                    <w:snapToGrid w:val="0"/>
                    <w:jc w:val="center"/>
                    <w:outlineLvl w:val="1"/>
                    <w:rPr>
                      <w:szCs w:val="21"/>
                    </w:rPr>
                  </w:pPr>
                  <w:r>
                    <w:rPr>
                      <w:szCs w:val="21"/>
                    </w:rPr>
                    <w:t>污染源</w:t>
                  </w:r>
                </w:p>
              </w:tc>
              <w:tc>
                <w:tcPr>
                  <w:tcW w:w="3442" w:type="dxa"/>
                  <w:shd w:val="clear" w:color="auto" w:fill="auto"/>
                  <w:vAlign w:val="center"/>
                </w:tcPr>
                <w:p w14:paraId="519E023A">
                  <w:pPr>
                    <w:adjustRightInd w:val="0"/>
                    <w:snapToGrid w:val="0"/>
                    <w:jc w:val="center"/>
                    <w:outlineLvl w:val="1"/>
                    <w:rPr>
                      <w:szCs w:val="21"/>
                    </w:rPr>
                  </w:pPr>
                  <w:r>
                    <w:rPr>
                      <w:szCs w:val="21"/>
                    </w:rPr>
                    <w:t>污染物</w:t>
                  </w:r>
                </w:p>
              </w:tc>
            </w:tr>
            <w:tr w14:paraId="1751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restart"/>
                  <w:shd w:val="clear" w:color="auto" w:fill="auto"/>
                  <w:vAlign w:val="center"/>
                </w:tcPr>
                <w:p w14:paraId="3E465927">
                  <w:pPr>
                    <w:adjustRightInd w:val="0"/>
                    <w:snapToGrid w:val="0"/>
                    <w:jc w:val="center"/>
                    <w:outlineLvl w:val="1"/>
                    <w:rPr>
                      <w:szCs w:val="21"/>
                    </w:rPr>
                  </w:pPr>
                  <w:r>
                    <w:rPr>
                      <w:szCs w:val="21"/>
                    </w:rPr>
                    <w:t>废气</w:t>
                  </w:r>
                </w:p>
              </w:tc>
              <w:tc>
                <w:tcPr>
                  <w:tcW w:w="3686" w:type="dxa"/>
                  <w:shd w:val="clear" w:color="auto" w:fill="auto"/>
                  <w:vAlign w:val="center"/>
                </w:tcPr>
                <w:p w14:paraId="26AAB5F7">
                  <w:pPr>
                    <w:adjustRightInd w:val="0"/>
                    <w:snapToGrid w:val="0"/>
                    <w:jc w:val="center"/>
                    <w:outlineLvl w:val="1"/>
                    <w:rPr>
                      <w:szCs w:val="21"/>
                    </w:rPr>
                  </w:pPr>
                  <w:r>
                    <w:rPr>
                      <w:szCs w:val="21"/>
                    </w:rPr>
                    <w:t>燃油施工机械、施工人员生活设施</w:t>
                  </w:r>
                </w:p>
              </w:tc>
              <w:tc>
                <w:tcPr>
                  <w:tcW w:w="3442" w:type="dxa"/>
                  <w:shd w:val="clear" w:color="auto" w:fill="auto"/>
                  <w:vAlign w:val="center"/>
                </w:tcPr>
                <w:p w14:paraId="6049DE19">
                  <w:pPr>
                    <w:adjustRightInd w:val="0"/>
                    <w:snapToGrid w:val="0"/>
                    <w:jc w:val="center"/>
                    <w:outlineLvl w:val="1"/>
                    <w:rPr>
                      <w:b/>
                      <w:bCs/>
                      <w:szCs w:val="21"/>
                    </w:rPr>
                  </w:pPr>
                  <w:r>
                    <w:rPr>
                      <w:szCs w:val="21"/>
                    </w:rPr>
                    <w:t>CO、NOx、SO2、颗粒物</w:t>
                  </w:r>
                </w:p>
              </w:tc>
            </w:tr>
            <w:tr w14:paraId="1E7A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continue"/>
                  <w:shd w:val="clear" w:color="auto" w:fill="auto"/>
                  <w:vAlign w:val="center"/>
                </w:tcPr>
                <w:p w14:paraId="6E48256A">
                  <w:pPr>
                    <w:adjustRightInd w:val="0"/>
                    <w:snapToGrid w:val="0"/>
                    <w:jc w:val="center"/>
                    <w:outlineLvl w:val="1"/>
                    <w:rPr>
                      <w:szCs w:val="21"/>
                    </w:rPr>
                  </w:pPr>
                </w:p>
              </w:tc>
              <w:tc>
                <w:tcPr>
                  <w:tcW w:w="3686" w:type="dxa"/>
                  <w:shd w:val="clear" w:color="auto" w:fill="auto"/>
                  <w:vAlign w:val="center"/>
                </w:tcPr>
                <w:p w14:paraId="0CE26AE3">
                  <w:pPr>
                    <w:adjustRightInd w:val="0"/>
                    <w:snapToGrid w:val="0"/>
                    <w:jc w:val="center"/>
                    <w:outlineLvl w:val="1"/>
                    <w:rPr>
                      <w:szCs w:val="21"/>
                    </w:rPr>
                  </w:pPr>
                  <w:r>
                    <w:rPr>
                      <w:szCs w:val="21"/>
                    </w:rPr>
                    <w:t>土石方开挖、原材料运输、除渣装卸</w:t>
                  </w:r>
                </w:p>
              </w:tc>
              <w:tc>
                <w:tcPr>
                  <w:tcW w:w="3442" w:type="dxa"/>
                  <w:shd w:val="clear" w:color="auto" w:fill="auto"/>
                  <w:vAlign w:val="center"/>
                </w:tcPr>
                <w:p w14:paraId="3082A075">
                  <w:pPr>
                    <w:adjustRightInd w:val="0"/>
                    <w:snapToGrid w:val="0"/>
                    <w:jc w:val="center"/>
                    <w:outlineLvl w:val="1"/>
                    <w:rPr>
                      <w:szCs w:val="21"/>
                    </w:rPr>
                  </w:pPr>
                  <w:r>
                    <w:rPr>
                      <w:szCs w:val="21"/>
                    </w:rPr>
                    <w:t>粉尘、扬尘</w:t>
                  </w:r>
                </w:p>
              </w:tc>
            </w:tr>
            <w:tr w14:paraId="1141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restart"/>
                  <w:shd w:val="clear" w:color="auto" w:fill="auto"/>
                  <w:vAlign w:val="center"/>
                </w:tcPr>
                <w:p w14:paraId="62F82C6F">
                  <w:pPr>
                    <w:adjustRightInd w:val="0"/>
                    <w:snapToGrid w:val="0"/>
                    <w:jc w:val="center"/>
                    <w:outlineLvl w:val="1"/>
                    <w:rPr>
                      <w:szCs w:val="21"/>
                    </w:rPr>
                  </w:pPr>
                  <w:r>
                    <w:rPr>
                      <w:szCs w:val="21"/>
                    </w:rPr>
                    <w:t>废水</w:t>
                  </w:r>
                </w:p>
              </w:tc>
              <w:tc>
                <w:tcPr>
                  <w:tcW w:w="3686" w:type="dxa"/>
                  <w:shd w:val="clear" w:color="auto" w:fill="auto"/>
                  <w:vAlign w:val="center"/>
                </w:tcPr>
                <w:p w14:paraId="4A9123CB">
                  <w:pPr>
                    <w:adjustRightInd w:val="0"/>
                    <w:snapToGrid w:val="0"/>
                    <w:jc w:val="center"/>
                    <w:outlineLvl w:val="1"/>
                    <w:rPr>
                      <w:szCs w:val="21"/>
                    </w:rPr>
                  </w:pPr>
                  <w:r>
                    <w:rPr>
                      <w:szCs w:val="21"/>
                    </w:rPr>
                    <w:t>施工机械、运输车辆冲洗</w:t>
                  </w:r>
                </w:p>
              </w:tc>
              <w:tc>
                <w:tcPr>
                  <w:tcW w:w="3442" w:type="dxa"/>
                  <w:shd w:val="clear" w:color="auto" w:fill="auto"/>
                  <w:vAlign w:val="center"/>
                </w:tcPr>
                <w:p w14:paraId="13ECE620">
                  <w:pPr>
                    <w:adjustRightInd w:val="0"/>
                    <w:snapToGrid w:val="0"/>
                    <w:jc w:val="center"/>
                    <w:outlineLvl w:val="1"/>
                    <w:rPr>
                      <w:szCs w:val="21"/>
                    </w:rPr>
                  </w:pPr>
                  <w:r>
                    <w:rPr>
                      <w:szCs w:val="21"/>
                    </w:rPr>
                    <w:t>SS、石油类</w:t>
                  </w:r>
                </w:p>
              </w:tc>
            </w:tr>
            <w:tr w14:paraId="2828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continue"/>
                  <w:shd w:val="clear" w:color="auto" w:fill="auto"/>
                  <w:vAlign w:val="center"/>
                </w:tcPr>
                <w:p w14:paraId="30D49456">
                  <w:pPr>
                    <w:adjustRightInd w:val="0"/>
                    <w:snapToGrid w:val="0"/>
                    <w:jc w:val="center"/>
                    <w:outlineLvl w:val="1"/>
                    <w:rPr>
                      <w:szCs w:val="21"/>
                    </w:rPr>
                  </w:pPr>
                </w:p>
              </w:tc>
              <w:tc>
                <w:tcPr>
                  <w:tcW w:w="3686" w:type="dxa"/>
                  <w:shd w:val="clear" w:color="auto" w:fill="auto"/>
                  <w:vAlign w:val="center"/>
                </w:tcPr>
                <w:p w14:paraId="5E1EFDD9">
                  <w:pPr>
                    <w:adjustRightInd w:val="0"/>
                    <w:snapToGrid w:val="0"/>
                    <w:jc w:val="center"/>
                    <w:outlineLvl w:val="1"/>
                    <w:rPr>
                      <w:szCs w:val="21"/>
                    </w:rPr>
                  </w:pPr>
                  <w:r>
                    <w:rPr>
                      <w:szCs w:val="21"/>
                    </w:rPr>
                    <w:t>施工人员生活设施</w:t>
                  </w:r>
                </w:p>
              </w:tc>
              <w:tc>
                <w:tcPr>
                  <w:tcW w:w="3442" w:type="dxa"/>
                  <w:shd w:val="clear" w:color="auto" w:fill="auto"/>
                  <w:vAlign w:val="center"/>
                </w:tcPr>
                <w:p w14:paraId="494E7F79">
                  <w:pPr>
                    <w:adjustRightInd w:val="0"/>
                    <w:snapToGrid w:val="0"/>
                    <w:jc w:val="center"/>
                    <w:outlineLvl w:val="1"/>
                    <w:rPr>
                      <w:szCs w:val="21"/>
                    </w:rPr>
                  </w:pPr>
                  <w:r>
                    <w:rPr>
                      <w:szCs w:val="21"/>
                    </w:rPr>
                    <w:t>COD、SS、BOD5</w:t>
                  </w:r>
                </w:p>
              </w:tc>
            </w:tr>
            <w:tr w14:paraId="2E35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continue"/>
                  <w:shd w:val="clear" w:color="auto" w:fill="auto"/>
                  <w:vAlign w:val="center"/>
                </w:tcPr>
                <w:p w14:paraId="58F973AD">
                  <w:pPr>
                    <w:adjustRightInd w:val="0"/>
                    <w:snapToGrid w:val="0"/>
                    <w:jc w:val="center"/>
                    <w:outlineLvl w:val="1"/>
                    <w:rPr>
                      <w:szCs w:val="21"/>
                    </w:rPr>
                  </w:pPr>
                </w:p>
              </w:tc>
              <w:tc>
                <w:tcPr>
                  <w:tcW w:w="3686" w:type="dxa"/>
                  <w:shd w:val="clear" w:color="auto" w:fill="auto"/>
                  <w:vAlign w:val="center"/>
                </w:tcPr>
                <w:p w14:paraId="33C04242">
                  <w:pPr>
                    <w:adjustRightInd w:val="0"/>
                    <w:snapToGrid w:val="0"/>
                    <w:jc w:val="center"/>
                    <w:outlineLvl w:val="1"/>
                    <w:rPr>
                      <w:szCs w:val="21"/>
                    </w:rPr>
                  </w:pPr>
                  <w:r>
                    <w:rPr>
                      <w:szCs w:val="21"/>
                    </w:rPr>
                    <w:t>建构筑物养护、冲洗打磨</w:t>
                  </w:r>
                </w:p>
              </w:tc>
              <w:tc>
                <w:tcPr>
                  <w:tcW w:w="3442" w:type="dxa"/>
                  <w:shd w:val="clear" w:color="auto" w:fill="auto"/>
                  <w:vAlign w:val="center"/>
                </w:tcPr>
                <w:p w14:paraId="696A1178">
                  <w:pPr>
                    <w:adjustRightInd w:val="0"/>
                    <w:snapToGrid w:val="0"/>
                    <w:jc w:val="center"/>
                    <w:outlineLvl w:val="1"/>
                    <w:rPr>
                      <w:szCs w:val="21"/>
                    </w:rPr>
                  </w:pPr>
                  <w:r>
                    <w:rPr>
                      <w:szCs w:val="21"/>
                    </w:rPr>
                    <w:t>SS</w:t>
                  </w:r>
                </w:p>
              </w:tc>
            </w:tr>
            <w:tr w14:paraId="4AC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shd w:val="clear" w:color="auto" w:fill="auto"/>
                  <w:vAlign w:val="center"/>
                </w:tcPr>
                <w:p w14:paraId="5F8281ED">
                  <w:pPr>
                    <w:adjustRightInd w:val="0"/>
                    <w:snapToGrid w:val="0"/>
                    <w:jc w:val="center"/>
                    <w:outlineLvl w:val="1"/>
                    <w:rPr>
                      <w:szCs w:val="21"/>
                    </w:rPr>
                  </w:pPr>
                  <w:r>
                    <w:rPr>
                      <w:szCs w:val="21"/>
                    </w:rPr>
                    <w:t>噪声</w:t>
                  </w:r>
                </w:p>
              </w:tc>
              <w:tc>
                <w:tcPr>
                  <w:tcW w:w="3686" w:type="dxa"/>
                  <w:shd w:val="clear" w:color="auto" w:fill="auto"/>
                  <w:vAlign w:val="center"/>
                </w:tcPr>
                <w:p w14:paraId="5B1E7B94">
                  <w:pPr>
                    <w:adjustRightInd w:val="0"/>
                    <w:snapToGrid w:val="0"/>
                    <w:jc w:val="center"/>
                    <w:outlineLvl w:val="1"/>
                    <w:rPr>
                      <w:szCs w:val="21"/>
                    </w:rPr>
                  </w:pPr>
                  <w:r>
                    <w:rPr>
                      <w:szCs w:val="21"/>
                    </w:rPr>
                    <w:t>施工机械</w:t>
                  </w:r>
                </w:p>
              </w:tc>
              <w:tc>
                <w:tcPr>
                  <w:tcW w:w="3442" w:type="dxa"/>
                  <w:shd w:val="clear" w:color="auto" w:fill="auto"/>
                  <w:vAlign w:val="center"/>
                </w:tcPr>
                <w:p w14:paraId="4FC31D77">
                  <w:pPr>
                    <w:adjustRightInd w:val="0"/>
                    <w:snapToGrid w:val="0"/>
                    <w:jc w:val="center"/>
                    <w:outlineLvl w:val="1"/>
                    <w:rPr>
                      <w:szCs w:val="21"/>
                    </w:rPr>
                  </w:pPr>
                  <w:r>
                    <w:rPr>
                      <w:szCs w:val="21"/>
                    </w:rPr>
                    <w:t>施工人员生活设施</w:t>
                  </w:r>
                </w:p>
              </w:tc>
            </w:tr>
            <w:tr w14:paraId="6ADD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restart"/>
                  <w:shd w:val="clear" w:color="auto" w:fill="auto"/>
                  <w:vAlign w:val="center"/>
                </w:tcPr>
                <w:p w14:paraId="1861571C">
                  <w:pPr>
                    <w:adjustRightInd w:val="0"/>
                    <w:snapToGrid w:val="0"/>
                    <w:jc w:val="center"/>
                    <w:outlineLvl w:val="1"/>
                    <w:rPr>
                      <w:szCs w:val="21"/>
                    </w:rPr>
                  </w:pPr>
                  <w:r>
                    <w:rPr>
                      <w:szCs w:val="21"/>
                    </w:rPr>
                    <w:t>固废</w:t>
                  </w:r>
                </w:p>
              </w:tc>
              <w:tc>
                <w:tcPr>
                  <w:tcW w:w="3686" w:type="dxa"/>
                  <w:shd w:val="clear" w:color="auto" w:fill="auto"/>
                  <w:vAlign w:val="center"/>
                </w:tcPr>
                <w:p w14:paraId="7BC57FAF">
                  <w:pPr>
                    <w:adjustRightInd w:val="0"/>
                    <w:snapToGrid w:val="0"/>
                    <w:jc w:val="center"/>
                    <w:outlineLvl w:val="1"/>
                    <w:rPr>
                      <w:szCs w:val="21"/>
                    </w:rPr>
                  </w:pPr>
                  <w:r>
                    <w:rPr>
                      <w:szCs w:val="21"/>
                    </w:rPr>
                    <w:t>建筑垃圾</w:t>
                  </w:r>
                </w:p>
              </w:tc>
              <w:tc>
                <w:tcPr>
                  <w:tcW w:w="3442" w:type="dxa"/>
                  <w:shd w:val="clear" w:color="auto" w:fill="auto"/>
                  <w:vAlign w:val="center"/>
                </w:tcPr>
                <w:p w14:paraId="7B2AC68E">
                  <w:pPr>
                    <w:adjustRightInd w:val="0"/>
                    <w:snapToGrid w:val="0"/>
                    <w:jc w:val="center"/>
                    <w:outlineLvl w:val="1"/>
                    <w:rPr>
                      <w:szCs w:val="21"/>
                    </w:rPr>
                  </w:pPr>
                  <w:r>
                    <w:rPr>
                      <w:szCs w:val="21"/>
                    </w:rPr>
                    <w:t>施工人员生活设施</w:t>
                  </w:r>
                </w:p>
              </w:tc>
            </w:tr>
            <w:tr w14:paraId="11E1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continue"/>
                  <w:shd w:val="clear" w:color="auto" w:fill="auto"/>
                  <w:vAlign w:val="center"/>
                </w:tcPr>
                <w:p w14:paraId="7E00CFDC">
                  <w:pPr>
                    <w:adjustRightInd w:val="0"/>
                    <w:snapToGrid w:val="0"/>
                    <w:jc w:val="center"/>
                    <w:outlineLvl w:val="1"/>
                    <w:rPr>
                      <w:szCs w:val="21"/>
                    </w:rPr>
                  </w:pPr>
                </w:p>
              </w:tc>
              <w:tc>
                <w:tcPr>
                  <w:tcW w:w="3686" w:type="dxa"/>
                  <w:shd w:val="clear" w:color="auto" w:fill="auto"/>
                  <w:vAlign w:val="center"/>
                </w:tcPr>
                <w:p w14:paraId="32F27B39">
                  <w:pPr>
                    <w:adjustRightInd w:val="0"/>
                    <w:snapToGrid w:val="0"/>
                    <w:jc w:val="center"/>
                    <w:outlineLvl w:val="1"/>
                    <w:rPr>
                      <w:szCs w:val="21"/>
                    </w:rPr>
                  </w:pPr>
                  <w:r>
                    <w:rPr>
                      <w:szCs w:val="21"/>
                    </w:rPr>
                    <w:t>生活设施</w:t>
                  </w:r>
                </w:p>
              </w:tc>
              <w:tc>
                <w:tcPr>
                  <w:tcW w:w="3442" w:type="dxa"/>
                  <w:shd w:val="clear" w:color="auto" w:fill="auto"/>
                  <w:vAlign w:val="center"/>
                </w:tcPr>
                <w:p w14:paraId="6BF2C3F8">
                  <w:pPr>
                    <w:adjustRightInd w:val="0"/>
                    <w:snapToGrid w:val="0"/>
                    <w:jc w:val="center"/>
                    <w:outlineLvl w:val="1"/>
                    <w:rPr>
                      <w:szCs w:val="21"/>
                    </w:rPr>
                  </w:pPr>
                  <w:r>
                    <w:rPr>
                      <w:szCs w:val="21"/>
                    </w:rPr>
                    <w:t>施工人员生活设施</w:t>
                  </w:r>
                </w:p>
              </w:tc>
            </w:tr>
          </w:tbl>
          <w:p w14:paraId="7E871457">
            <w:pPr>
              <w:adjustRightInd w:val="0"/>
              <w:snapToGrid w:val="0"/>
              <w:spacing w:line="480" w:lineRule="exact"/>
              <w:rPr>
                <w:b/>
                <w:sz w:val="24"/>
              </w:rPr>
            </w:pPr>
            <w:r>
              <w:rPr>
                <w:b/>
                <w:sz w:val="24"/>
              </w:rPr>
              <w:t>2.2.2 营运期</w:t>
            </w:r>
            <w:r>
              <w:rPr>
                <w:rFonts w:hint="eastAsia"/>
                <w:b/>
                <w:sz w:val="24"/>
              </w:rPr>
              <w:t>工艺</w:t>
            </w:r>
            <w:r>
              <w:rPr>
                <w:b/>
                <w:sz w:val="24"/>
              </w:rPr>
              <w:t>流程和产排污</w:t>
            </w:r>
            <w:r>
              <w:rPr>
                <w:rFonts w:hint="eastAsia"/>
                <w:b/>
                <w:sz w:val="24"/>
              </w:rPr>
              <w:t>分析</w:t>
            </w:r>
          </w:p>
          <w:p w14:paraId="6B165289">
            <w:pPr>
              <w:snapToGrid w:val="0"/>
              <w:spacing w:line="480" w:lineRule="exact"/>
              <w:ind w:firstLine="480" w:firstLineChars="200"/>
              <w:rPr>
                <w:bCs/>
                <w:sz w:val="24"/>
              </w:rPr>
            </w:pPr>
            <w:r>
              <w:rPr>
                <w:rFonts w:hint="eastAsia"/>
                <w:bCs/>
                <w:sz w:val="24"/>
              </w:rPr>
              <w:t>本项目主要生产纸制品玩具及配套包装盒，生产工艺流程如下图所示。</w:t>
            </w:r>
          </w:p>
          <w:p w14:paraId="3B505A75">
            <w:pPr>
              <w:snapToGrid w:val="0"/>
              <w:spacing w:line="440" w:lineRule="exact"/>
              <w:ind w:firstLine="420" w:firstLineChars="200"/>
              <w:rPr>
                <w:bCs/>
                <w:sz w:val="24"/>
              </w:rPr>
            </w:pPr>
            <w:r>
              <w:drawing>
                <wp:anchor distT="0" distB="0" distL="114300" distR="114300" simplePos="0" relativeHeight="251688960" behindDoc="0" locked="0" layoutInCell="1" allowOverlap="1">
                  <wp:simplePos x="0" y="0"/>
                  <wp:positionH relativeFrom="column">
                    <wp:posOffset>450850</wp:posOffset>
                  </wp:positionH>
                  <wp:positionV relativeFrom="paragraph">
                    <wp:posOffset>44450</wp:posOffset>
                  </wp:positionV>
                  <wp:extent cx="4350385" cy="890270"/>
                  <wp:effectExtent l="19050" t="0" r="0" b="0"/>
                  <wp:wrapNone/>
                  <wp:docPr id="287" name="图片 287" descr="1658920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descr="1658920515(1)"/>
                          <pic:cNvPicPr>
                            <a:picLocks noChangeAspect="1" noChangeArrowheads="1"/>
                          </pic:cNvPicPr>
                        </pic:nvPicPr>
                        <pic:blipFill>
                          <a:blip r:embed="rId7" cstate="print"/>
                          <a:srcRect/>
                          <a:stretch>
                            <a:fillRect/>
                          </a:stretch>
                        </pic:blipFill>
                        <pic:spPr>
                          <a:xfrm>
                            <a:off x="0" y="0"/>
                            <a:ext cx="4350385" cy="890270"/>
                          </a:xfrm>
                          <a:prstGeom prst="rect">
                            <a:avLst/>
                          </a:prstGeom>
                          <a:noFill/>
                          <a:ln w="9525">
                            <a:noFill/>
                            <a:miter lim="800000"/>
                            <a:headEnd/>
                            <a:tailEnd/>
                          </a:ln>
                        </pic:spPr>
                      </pic:pic>
                    </a:graphicData>
                  </a:graphic>
                </wp:anchor>
              </w:drawing>
            </w:r>
          </w:p>
          <w:p w14:paraId="0E3D690E">
            <w:pPr>
              <w:snapToGrid w:val="0"/>
              <w:spacing w:line="440" w:lineRule="exact"/>
              <w:ind w:firstLine="480" w:firstLineChars="200"/>
              <w:rPr>
                <w:bCs/>
                <w:sz w:val="24"/>
              </w:rPr>
            </w:pPr>
          </w:p>
          <w:p w14:paraId="1BE6A907">
            <w:pPr>
              <w:pStyle w:val="62"/>
              <w:snapToGrid w:val="0"/>
              <w:spacing w:line="360" w:lineRule="auto"/>
              <w:ind w:firstLine="0" w:firstLineChars="0"/>
              <w:jc w:val="left"/>
              <w:rPr>
                <w:szCs w:val="24"/>
              </w:rPr>
            </w:pPr>
          </w:p>
          <w:p w14:paraId="0C2AFE20">
            <w:pPr>
              <w:pStyle w:val="62"/>
              <w:snapToGrid w:val="0"/>
              <w:spacing w:line="360" w:lineRule="auto"/>
              <w:ind w:firstLine="0" w:firstLineChars="0"/>
              <w:jc w:val="left"/>
              <w:rPr>
                <w:szCs w:val="24"/>
              </w:rPr>
            </w:pPr>
          </w:p>
          <w:p w14:paraId="05C1CD7C">
            <w:pPr>
              <w:pStyle w:val="62"/>
              <w:snapToGrid w:val="0"/>
              <w:spacing w:line="360" w:lineRule="auto"/>
              <w:ind w:firstLine="0" w:firstLineChars="0"/>
              <w:jc w:val="center"/>
              <w:rPr>
                <w:b/>
                <w:sz w:val="21"/>
                <w:szCs w:val="21"/>
              </w:rPr>
            </w:pPr>
            <w:r>
              <w:rPr>
                <w:rFonts w:hint="eastAsia"/>
                <w:b/>
                <w:sz w:val="21"/>
                <w:szCs w:val="21"/>
              </w:rPr>
              <w:t>图2.2-2 免冲洗CTP印刷版制版工艺流程</w:t>
            </w:r>
          </w:p>
          <w:p w14:paraId="581B2C2B">
            <w:pPr>
              <w:spacing w:line="480" w:lineRule="exact"/>
              <w:ind w:firstLine="482"/>
              <w:jc w:val="left"/>
              <w:rPr>
                <w:b/>
                <w:bCs/>
                <w:sz w:val="24"/>
              </w:rPr>
            </w:pPr>
            <w:r>
              <w:rPr>
                <w:b/>
                <w:bCs/>
                <w:sz w:val="24"/>
              </w:rPr>
              <w:t>工艺流程简介：</w:t>
            </w:r>
          </w:p>
          <w:p w14:paraId="1483109B">
            <w:pPr>
              <w:spacing w:line="480" w:lineRule="exact"/>
              <w:ind w:firstLine="482"/>
              <w:jc w:val="left"/>
              <w:rPr>
                <w:bCs/>
                <w:sz w:val="24"/>
              </w:rPr>
            </w:pPr>
            <w:r>
              <w:rPr>
                <w:rFonts w:hint="eastAsia"/>
                <w:b/>
                <w:bCs/>
                <w:sz w:val="24"/>
              </w:rPr>
              <w:t>免冲洗</w:t>
            </w:r>
            <w:r>
              <w:rPr>
                <w:b/>
                <w:bCs/>
                <w:sz w:val="24"/>
              </w:rPr>
              <w:t>CTP制版机（一体机）工作原理：</w:t>
            </w:r>
            <w:r>
              <w:rPr>
                <w:bCs/>
                <w:sz w:val="24"/>
              </w:rPr>
              <w:t>由激光器产生的单束原始激光，经多路光学纤维或复杂的高速旋转光学裂束系统分裂成多束极细的激光束，每束光分别经声光调制器按计算机中图像信息的亮暗等特征，对激光束的亮暗变化加以调制后变成受控光束，再经聚焦后，几百束微激光直接射到印版表面进行刻板工作，通过扫描刻版后，在印版上形成图像的潜移。经显影后，计算机屏幕上的图像信息就还原到印版上供胶印机直接印刷。</w:t>
            </w:r>
          </w:p>
          <w:p w14:paraId="6EFA9641">
            <w:pPr>
              <w:spacing w:line="480" w:lineRule="exact"/>
              <w:ind w:firstLine="480" w:firstLineChars="200"/>
              <w:jc w:val="left"/>
              <w:rPr>
                <w:bCs/>
                <w:sz w:val="24"/>
              </w:rPr>
            </w:pPr>
            <w:r>
              <w:rPr>
                <w:bCs/>
                <w:sz w:val="24"/>
              </w:rPr>
              <w:t>电脑制图：接到客户订单后在电脑上绘制客户需要的图形。</w:t>
            </w:r>
          </w:p>
          <w:p w14:paraId="1AE44FE5">
            <w:pPr>
              <w:spacing w:line="480" w:lineRule="exact"/>
              <w:ind w:firstLine="480" w:firstLineChars="200"/>
              <w:jc w:val="left"/>
              <w:rPr>
                <w:bCs/>
                <w:sz w:val="24"/>
              </w:rPr>
            </w:pPr>
            <w:r>
              <w:rPr>
                <w:bCs/>
                <w:sz w:val="24"/>
              </w:rPr>
              <w:t>校对：用绘图仪打印出图形进行校对；</w:t>
            </w:r>
          </w:p>
          <w:p w14:paraId="7EE05106">
            <w:pPr>
              <w:spacing w:line="480" w:lineRule="exact"/>
              <w:ind w:firstLine="480" w:firstLineChars="200"/>
              <w:jc w:val="left"/>
              <w:rPr>
                <w:bCs/>
                <w:sz w:val="24"/>
              </w:rPr>
            </w:pPr>
            <w:r>
              <w:rPr>
                <w:bCs/>
                <w:sz w:val="24"/>
              </w:rPr>
              <w:t>制版：经校对后将图形直接用计算机输入到CTP制版机（一体机）上，由CTP制版机发出的激光光源产生的能量聚焦到</w:t>
            </w:r>
            <w:r>
              <w:rPr>
                <w:rFonts w:hint="eastAsia"/>
                <w:bCs/>
                <w:sz w:val="24"/>
              </w:rPr>
              <w:t>免冲洗</w:t>
            </w:r>
            <w:r>
              <w:rPr>
                <w:bCs/>
                <w:sz w:val="24"/>
              </w:rPr>
              <w:t>CTP版材上曝光成像。</w:t>
            </w:r>
          </w:p>
          <w:p w14:paraId="18E49C1D">
            <w:pPr>
              <w:spacing w:line="480" w:lineRule="exact"/>
              <w:ind w:firstLine="480" w:firstLineChars="200"/>
              <w:jc w:val="left"/>
              <w:rPr>
                <w:bCs/>
                <w:sz w:val="24"/>
              </w:rPr>
            </w:pPr>
          </w:p>
          <w:p w14:paraId="17967DC8">
            <w:pPr>
              <w:spacing w:line="480" w:lineRule="exact"/>
              <w:ind w:firstLine="480" w:firstLineChars="200"/>
              <w:jc w:val="left"/>
              <w:rPr>
                <w:bCs/>
                <w:sz w:val="24"/>
              </w:rPr>
            </w:pPr>
          </w:p>
          <w:p w14:paraId="1AF6C99C">
            <w:pPr>
              <w:spacing w:line="480" w:lineRule="exact"/>
              <w:ind w:firstLine="480" w:firstLineChars="200"/>
              <w:jc w:val="left"/>
              <w:rPr>
                <w:bCs/>
                <w:sz w:val="24"/>
              </w:rPr>
            </w:pPr>
          </w:p>
          <w:p w14:paraId="07212CD4">
            <w:pPr>
              <w:spacing w:line="480" w:lineRule="exact"/>
              <w:ind w:firstLine="480" w:firstLineChars="200"/>
              <w:jc w:val="left"/>
              <w:rPr>
                <w:bCs/>
                <w:sz w:val="24"/>
              </w:rPr>
            </w:pPr>
          </w:p>
          <w:p w14:paraId="72F9C510">
            <w:pPr>
              <w:spacing w:line="480" w:lineRule="exact"/>
              <w:ind w:firstLine="480" w:firstLineChars="200"/>
              <w:jc w:val="left"/>
              <w:rPr>
                <w:bCs/>
                <w:sz w:val="24"/>
              </w:rPr>
            </w:pPr>
          </w:p>
          <w:p w14:paraId="149E789D">
            <w:pPr>
              <w:spacing w:line="480" w:lineRule="exact"/>
              <w:ind w:firstLine="480" w:firstLineChars="200"/>
              <w:jc w:val="left"/>
              <w:rPr>
                <w:bCs/>
                <w:sz w:val="24"/>
              </w:rPr>
            </w:pPr>
          </w:p>
          <w:p w14:paraId="2896FCF0">
            <w:pPr>
              <w:pStyle w:val="62"/>
              <w:snapToGrid w:val="0"/>
              <w:spacing w:line="360" w:lineRule="auto"/>
              <w:ind w:firstLine="0" w:firstLineChars="0"/>
              <w:jc w:val="left"/>
              <w:rPr>
                <w:szCs w:val="24"/>
              </w:rPr>
            </w:pPr>
          </w:p>
          <w:p w14:paraId="44C4B265">
            <w:pPr>
              <w:pStyle w:val="62"/>
              <w:snapToGrid w:val="0"/>
              <w:spacing w:line="360" w:lineRule="auto"/>
              <w:ind w:firstLine="0" w:firstLineChars="0"/>
              <w:jc w:val="left"/>
              <w:rPr>
                <w:szCs w:val="24"/>
              </w:rPr>
            </w:pPr>
            <w:r>
              <w:drawing>
                <wp:anchor distT="0" distB="0" distL="114300" distR="114300" simplePos="0" relativeHeight="251710464" behindDoc="0" locked="0" layoutInCell="1" allowOverlap="1">
                  <wp:simplePos x="0" y="0"/>
                  <wp:positionH relativeFrom="column">
                    <wp:posOffset>1153160</wp:posOffset>
                  </wp:positionH>
                  <wp:positionV relativeFrom="paragraph">
                    <wp:posOffset>67945</wp:posOffset>
                  </wp:positionV>
                  <wp:extent cx="3581400" cy="5981700"/>
                  <wp:effectExtent l="19050" t="0" r="0" b="0"/>
                  <wp:wrapNone/>
                  <wp:docPr id="373" name="图片 373" descr="1659330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descr="1659330519(1)"/>
                          <pic:cNvPicPr>
                            <a:picLocks noChangeAspect="1" noChangeArrowheads="1"/>
                          </pic:cNvPicPr>
                        </pic:nvPicPr>
                        <pic:blipFill>
                          <a:blip r:embed="rId8" cstate="print"/>
                          <a:srcRect/>
                          <a:stretch>
                            <a:fillRect/>
                          </a:stretch>
                        </pic:blipFill>
                        <pic:spPr>
                          <a:xfrm>
                            <a:off x="0" y="0"/>
                            <a:ext cx="3581400" cy="5981700"/>
                          </a:xfrm>
                          <a:prstGeom prst="rect">
                            <a:avLst/>
                          </a:prstGeom>
                          <a:noFill/>
                          <a:ln w="9525">
                            <a:noFill/>
                            <a:miter lim="800000"/>
                            <a:headEnd/>
                            <a:tailEnd/>
                          </a:ln>
                        </pic:spPr>
                      </pic:pic>
                    </a:graphicData>
                  </a:graphic>
                </wp:anchor>
              </w:drawing>
            </w:r>
          </w:p>
          <w:p w14:paraId="3138F650">
            <w:pPr>
              <w:pStyle w:val="62"/>
              <w:snapToGrid w:val="0"/>
              <w:spacing w:line="360" w:lineRule="auto"/>
              <w:ind w:firstLine="0" w:firstLineChars="0"/>
              <w:jc w:val="left"/>
              <w:rPr>
                <w:szCs w:val="24"/>
              </w:rPr>
            </w:pPr>
          </w:p>
          <w:p w14:paraId="3C36AE47">
            <w:pPr>
              <w:pStyle w:val="62"/>
              <w:snapToGrid w:val="0"/>
              <w:spacing w:line="360" w:lineRule="auto"/>
              <w:ind w:firstLine="0" w:firstLineChars="0"/>
              <w:jc w:val="left"/>
              <w:rPr>
                <w:szCs w:val="24"/>
              </w:rPr>
            </w:pPr>
          </w:p>
          <w:p w14:paraId="55038862">
            <w:pPr>
              <w:pStyle w:val="62"/>
              <w:snapToGrid w:val="0"/>
              <w:spacing w:line="360" w:lineRule="auto"/>
              <w:ind w:firstLine="0" w:firstLineChars="0"/>
              <w:jc w:val="left"/>
              <w:rPr>
                <w:szCs w:val="24"/>
              </w:rPr>
            </w:pPr>
          </w:p>
          <w:p w14:paraId="43960303">
            <w:pPr>
              <w:pStyle w:val="62"/>
              <w:snapToGrid w:val="0"/>
              <w:spacing w:line="360" w:lineRule="auto"/>
              <w:ind w:firstLine="0" w:firstLineChars="0"/>
              <w:jc w:val="left"/>
              <w:rPr>
                <w:szCs w:val="24"/>
              </w:rPr>
            </w:pPr>
            <w:r>
              <w:rPr>
                <w:szCs w:val="24"/>
              </w:rPr>
              <w:pict>
                <v:shape id="_x0000_s1455" o:spid="_x0000_s1455" o:spt="202" type="#_x0000_t202" style="position:absolute;left:0pt;margin-left:238.7pt;margin-top:6.55pt;height:21.55pt;width:69.05pt;z-index:251747328;mso-width-relative:margin;mso-height-relative:margin;mso-height-percent:200;" filled="f" stroked="f" coordsize="21600,21600">
                  <v:path/>
                  <v:fill on="f" focussize="0,0"/>
                  <v:stroke on="f" joinstyle="miter"/>
                  <v:imagedata o:title=""/>
                  <o:lock v:ext="edit"/>
                  <v:textbox style="mso-fit-shape-to-text:t;">
                    <w:txbxContent>
                      <w:p w14:paraId="6AB519D7">
                        <w:pPr>
                          <w:rPr>
                            <w:b/>
                          </w:rPr>
                        </w:pPr>
                        <w:r>
                          <w:rPr>
                            <w:rFonts w:hint="eastAsia"/>
                            <w:b/>
                          </w:rPr>
                          <w:t>配套说明书</w:t>
                        </w:r>
                      </w:p>
                    </w:txbxContent>
                  </v:textbox>
                </v:shape>
              </w:pict>
            </w:r>
          </w:p>
          <w:p w14:paraId="45E25D22">
            <w:pPr>
              <w:pStyle w:val="62"/>
              <w:snapToGrid w:val="0"/>
              <w:spacing w:line="360" w:lineRule="auto"/>
              <w:ind w:firstLine="0" w:firstLineChars="0"/>
              <w:jc w:val="left"/>
              <w:rPr>
                <w:szCs w:val="24"/>
              </w:rPr>
            </w:pPr>
            <w:r>
              <w:rPr>
                <w:szCs w:val="24"/>
              </w:rPr>
              <w:pict>
                <v:shape id="_x0000_s1447" o:spid="_x0000_s1447" o:spt="32" type="#_x0000_t32" style="position:absolute;left:0pt;margin-left:325.05pt;margin-top:2.45pt;height:83.25pt;width:0pt;z-index:251741184;mso-width-relative:page;mso-height-relative:page;" o:connectortype="straight" filled="f" coordsize="21600,21600">
                  <v:path arrowok="t"/>
                  <v:fill on="f" focussize="0,0"/>
                  <v:stroke endarrow="block"/>
                  <v:imagedata o:title=""/>
                  <o:lock v:ext="edit"/>
                </v:shape>
              </w:pict>
            </w:r>
            <w:r>
              <w:rPr>
                <w:szCs w:val="24"/>
              </w:rPr>
              <w:pict>
                <v:shape id="_x0000_s1446" o:spid="_x0000_s1446" o:spt="32" type="#_x0000_t32" style="position:absolute;left:0pt;margin-left:218.55pt;margin-top:2.45pt;height:0pt;width:106.5pt;z-index:251740160;mso-width-relative:page;mso-height-relative:page;" o:connectortype="straight" filled="f" coordsize="21600,21600">
                  <v:path arrowok="t"/>
                  <v:fill on="f" focussize="0,0"/>
                  <v:stroke/>
                  <v:imagedata o:title=""/>
                  <o:lock v:ext="edit"/>
                </v:shape>
              </w:pict>
            </w:r>
          </w:p>
          <w:p w14:paraId="0DC6DD6F">
            <w:pPr>
              <w:pStyle w:val="62"/>
              <w:snapToGrid w:val="0"/>
              <w:spacing w:line="360" w:lineRule="auto"/>
              <w:ind w:firstLine="0" w:firstLineChars="0"/>
              <w:jc w:val="left"/>
              <w:rPr>
                <w:szCs w:val="24"/>
              </w:rPr>
            </w:pPr>
          </w:p>
          <w:p w14:paraId="444B881D">
            <w:pPr>
              <w:pStyle w:val="62"/>
              <w:snapToGrid w:val="0"/>
              <w:spacing w:line="360" w:lineRule="auto"/>
              <w:ind w:firstLine="0" w:firstLineChars="0"/>
              <w:jc w:val="left"/>
              <w:rPr>
                <w:szCs w:val="24"/>
              </w:rPr>
            </w:pPr>
            <w:r>
              <w:rPr>
                <w:szCs w:val="24"/>
              </w:rPr>
              <w:pict>
                <v:shape id="_x0000_s1458" o:spid="_x0000_s1458" o:spt="202" type="#_x0000_t202" style="position:absolute;left:0pt;margin-left:327.3pt;margin-top:14.3pt;height:19.25pt;width:20.05pt;z-index:251750400;mso-width-relative:margin;mso-height-relative:margin;mso-height-percent:200;" filled="f" stroked="f" coordsize="21600,21600">
                  <v:path/>
                  <v:fill on="f" focussize="0,0"/>
                  <v:stroke on="f" joinstyle="miter"/>
                  <v:imagedata o:title=""/>
                  <o:lock v:ext="edit"/>
                  <v:textbox style="mso-fit-shape-to-text:t;">
                    <w:txbxContent>
                      <w:p w14:paraId="0B3F36A7">
                        <w:r>
                          <w:rPr>
                            <w:rFonts w:hint="eastAsia"/>
                          </w:rPr>
                          <w:t>N</w:t>
                        </w:r>
                      </w:p>
                    </w:txbxContent>
                  </v:textbox>
                </v:shape>
              </w:pict>
            </w:r>
          </w:p>
          <w:p w14:paraId="39D208F3">
            <w:pPr>
              <w:pStyle w:val="62"/>
              <w:snapToGrid w:val="0"/>
              <w:spacing w:line="360" w:lineRule="auto"/>
              <w:ind w:firstLine="0" w:firstLineChars="0"/>
              <w:jc w:val="left"/>
              <w:rPr>
                <w:szCs w:val="24"/>
              </w:rPr>
            </w:pPr>
            <w:r>
              <w:rPr>
                <w:szCs w:val="24"/>
              </w:rPr>
              <w:pict>
                <v:shape id="_x0000_s1456" o:spid="_x0000_s1456" o:spt="32" type="#_x0000_t32" style="position:absolute;left:0pt;flip:y;margin-left:337.95pt;margin-top:7.1pt;height:17.35pt;width:0pt;z-index:251748352;mso-width-relative:page;mso-height-relative:page;" o:connectortype="straight" filled="f" coordsize="21600,21600">
                  <v:path arrowok="t"/>
                  <v:fill on="f" focussize="0,0"/>
                  <v:stroke dashstyle="dash" endarrow="block"/>
                  <v:imagedata o:title=""/>
                  <o:lock v:ext="edit"/>
                </v:shape>
              </w:pict>
            </w:r>
          </w:p>
          <w:p w14:paraId="43D1325E">
            <w:pPr>
              <w:pStyle w:val="62"/>
              <w:snapToGrid w:val="0"/>
              <w:spacing w:line="360" w:lineRule="auto"/>
              <w:ind w:firstLine="0" w:firstLineChars="0"/>
              <w:jc w:val="left"/>
              <w:rPr>
                <w:szCs w:val="24"/>
              </w:rPr>
            </w:pPr>
            <w:r>
              <w:rPr>
                <w:szCs w:val="24"/>
              </w:rPr>
              <w:pict>
                <v:shape id="_x0000_s1449" o:spid="_x0000_s1449" o:spt="202" type="#_x0000_t202" style="position:absolute;left:0pt;margin-left:302.9pt;margin-top:3.3pt;height:23.5pt;width:44.65pt;z-index:251742208;mso-width-relative:margin;mso-height-relative:margin;mso-height-percent:200;" filled="f" coordsize="21600,21600">
                  <v:path/>
                  <v:fill on="f" focussize="0,0"/>
                  <v:stroke joinstyle="miter"/>
                  <v:imagedata o:title=""/>
                  <o:lock v:ext="edit"/>
                  <v:textbox style="mso-fit-shape-to-text:t;">
                    <w:txbxContent>
                      <w:p w14:paraId="5F218054">
                        <w:pPr>
                          <w:jc w:val="center"/>
                          <w:rPr>
                            <w:sz w:val="24"/>
                          </w:rPr>
                        </w:pPr>
                        <w:r>
                          <w:rPr>
                            <w:rFonts w:hint="eastAsia"/>
                            <w:sz w:val="24"/>
                          </w:rPr>
                          <w:t>裁切</w:t>
                        </w:r>
                      </w:p>
                    </w:txbxContent>
                  </v:textbox>
                </v:shape>
              </w:pict>
            </w:r>
          </w:p>
          <w:p w14:paraId="732BF133">
            <w:pPr>
              <w:pStyle w:val="62"/>
              <w:snapToGrid w:val="0"/>
              <w:spacing w:line="360" w:lineRule="auto"/>
              <w:ind w:firstLine="0" w:firstLineChars="0"/>
              <w:jc w:val="left"/>
              <w:rPr>
                <w:szCs w:val="24"/>
              </w:rPr>
            </w:pPr>
            <w:r>
              <w:rPr>
                <w:szCs w:val="24"/>
              </w:rPr>
              <w:pict>
                <v:shape id="_x0000_s1460" o:spid="_x0000_s1460" o:spt="202" type="#_x0000_t202" style="position:absolute;left:0pt;margin-left:326.55pt;margin-top:18.2pt;height:19.25pt;width:29.75pt;z-index:251751424;mso-width-relative:margin;mso-height-relative:margin;mso-height-percent:200;" filled="f" stroked="f" coordsize="21600,21600">
                  <v:path/>
                  <v:fill on="f" focussize="0,0"/>
                  <v:stroke on="f" joinstyle="miter"/>
                  <v:imagedata o:title=""/>
                  <o:lock v:ext="edit"/>
                  <v:textbox style="mso-fit-shape-to-text:t;">
                    <w:txbxContent>
                      <w:p w14:paraId="244C8E11">
                        <w:r>
                          <w:rPr>
                            <w:rFonts w:hint="eastAsia"/>
                          </w:rPr>
                          <w:t>S1</w:t>
                        </w:r>
                      </w:p>
                    </w:txbxContent>
                  </v:textbox>
                </v:shape>
              </w:pict>
            </w:r>
            <w:r>
              <w:rPr>
                <w:szCs w:val="24"/>
              </w:rPr>
              <w:pict>
                <v:shape id="_x0000_s1457" o:spid="_x0000_s1457" o:spt="32" type="#_x0000_t32" style="position:absolute;left:0pt;margin-left:337.95pt;margin-top:6.55pt;height:16.9pt;width:0pt;z-index:251749376;mso-width-relative:page;mso-height-relative:page;" o:connectortype="straight" filled="f" coordsize="21600,21600">
                  <v:path arrowok="t"/>
                  <v:fill on="f" focussize="0,0"/>
                  <v:stroke dashstyle="dash" endarrow="block"/>
                  <v:imagedata o:title=""/>
                  <o:lock v:ext="edit"/>
                </v:shape>
              </w:pict>
            </w:r>
            <w:r>
              <w:rPr>
                <w:szCs w:val="24"/>
              </w:rPr>
              <w:pict>
                <v:shape id="_x0000_s1450" o:spid="_x0000_s1450" o:spt="32" type="#_x0000_t32" style="position:absolute;left:0pt;margin-left:328.8pt;margin-top:6.55pt;height:84.4pt;width:0pt;z-index:251743232;mso-width-relative:page;mso-height-relative:page;" o:connectortype="straight" filled="f" coordsize="21600,21600">
                  <v:path arrowok="t"/>
                  <v:fill on="f" focussize="0,0"/>
                  <v:stroke endarrow="block"/>
                  <v:imagedata o:title=""/>
                  <o:lock v:ext="edit"/>
                </v:shape>
              </w:pict>
            </w:r>
          </w:p>
          <w:p w14:paraId="32EE174F">
            <w:pPr>
              <w:pStyle w:val="62"/>
              <w:snapToGrid w:val="0"/>
              <w:spacing w:line="360" w:lineRule="auto"/>
              <w:ind w:firstLine="0" w:firstLineChars="0"/>
              <w:jc w:val="left"/>
              <w:rPr>
                <w:szCs w:val="24"/>
              </w:rPr>
            </w:pPr>
          </w:p>
          <w:p w14:paraId="51B5133B">
            <w:pPr>
              <w:pStyle w:val="62"/>
              <w:snapToGrid w:val="0"/>
              <w:spacing w:line="360" w:lineRule="auto"/>
              <w:ind w:firstLine="0" w:firstLineChars="0"/>
              <w:jc w:val="left"/>
              <w:rPr>
                <w:szCs w:val="24"/>
              </w:rPr>
            </w:pPr>
          </w:p>
          <w:p w14:paraId="3EDC002F">
            <w:pPr>
              <w:pStyle w:val="62"/>
              <w:snapToGrid w:val="0"/>
              <w:spacing w:line="360" w:lineRule="auto"/>
              <w:ind w:firstLine="0" w:firstLineChars="0"/>
              <w:jc w:val="left"/>
              <w:rPr>
                <w:szCs w:val="24"/>
              </w:rPr>
            </w:pPr>
            <w:r>
              <w:rPr>
                <w:szCs w:val="24"/>
              </w:rPr>
              <w:pict>
                <v:shape id="_x0000_s1463" o:spid="_x0000_s1463" o:spt="202" type="#_x0000_t202" style="position:absolute;left:0pt;margin-left:332.25pt;margin-top:1.1pt;height:19.25pt;width:24.05pt;z-index:251753472;mso-width-relative:margin;mso-height-relative:margin;mso-height-percent:200;" filled="f" stroked="f" coordsize="21600,21600">
                  <v:path/>
                  <v:fill on="f" focussize="0,0"/>
                  <v:stroke on="f" joinstyle="miter"/>
                  <v:imagedata o:title=""/>
                  <o:lock v:ext="edit"/>
                  <v:textbox style="mso-fit-shape-to-text:t;">
                    <w:txbxContent>
                      <w:p w14:paraId="77B23BB2">
                        <w:r>
                          <w:rPr>
                            <w:rFonts w:hint="eastAsia"/>
                          </w:rPr>
                          <w:t>N</w:t>
                        </w:r>
                      </w:p>
                    </w:txbxContent>
                  </v:textbox>
                </v:shape>
              </w:pict>
            </w:r>
            <w:r>
              <w:rPr>
                <w:szCs w:val="24"/>
              </w:rPr>
              <w:pict>
                <v:shape id="_x0000_s1461" o:spid="_x0000_s1461" o:spt="32" type="#_x0000_t32" style="position:absolute;left:0pt;flip:y;margin-left:337.95pt;margin-top:15.35pt;height:14.3pt;width:4.35pt;z-index:251752448;mso-width-relative:page;mso-height-relative:page;" o:connectortype="straight" filled="f" coordsize="21600,21600">
                  <v:path arrowok="t"/>
                  <v:fill on="f" focussize="0,0"/>
                  <v:stroke dashstyle="dash" endarrow="block"/>
                  <v:imagedata o:title=""/>
                  <o:lock v:ext="edit"/>
                </v:shape>
              </w:pict>
            </w:r>
          </w:p>
          <w:p w14:paraId="49A8EAB2">
            <w:pPr>
              <w:pStyle w:val="62"/>
              <w:snapToGrid w:val="0"/>
              <w:spacing w:line="360" w:lineRule="auto"/>
              <w:ind w:firstLine="0" w:firstLineChars="0"/>
              <w:jc w:val="left"/>
              <w:rPr>
                <w:szCs w:val="24"/>
              </w:rPr>
            </w:pPr>
            <w:r>
              <w:rPr>
                <w:szCs w:val="24"/>
              </w:rPr>
              <w:pict>
                <v:shape id="_x0000_s1452" o:spid="_x0000_s1452" o:spt="202" type="#_x0000_t202" style="position:absolute;left:0pt;margin-left:307.3pt;margin-top:8.55pt;height:21.55pt;width:42.8pt;z-index:251744256;mso-width-relative:margin;mso-height-relative:margin;mso-height-percent:200;" filled="f" coordsize="21600,21600">
                  <v:path/>
                  <v:fill on="f" focussize="0,0"/>
                  <v:stroke joinstyle="miter"/>
                  <v:imagedata o:title=""/>
                  <o:lock v:ext="edit"/>
                  <v:textbox style="mso-fit-shape-to-text:t;">
                    <w:txbxContent>
                      <w:p w14:paraId="74287856">
                        <w:r>
                          <w:rPr>
                            <w:rFonts w:hint="eastAsia"/>
                          </w:rPr>
                          <w:t>折书</w:t>
                        </w:r>
                      </w:p>
                    </w:txbxContent>
                  </v:textbox>
                </v:shape>
              </w:pict>
            </w:r>
          </w:p>
          <w:p w14:paraId="5BC0383F">
            <w:pPr>
              <w:pStyle w:val="62"/>
              <w:snapToGrid w:val="0"/>
              <w:spacing w:line="360" w:lineRule="auto"/>
              <w:ind w:firstLine="0" w:firstLineChars="0"/>
              <w:jc w:val="left"/>
              <w:rPr>
                <w:szCs w:val="24"/>
              </w:rPr>
            </w:pPr>
            <w:r>
              <w:rPr>
                <w:szCs w:val="24"/>
              </w:rPr>
              <w:pict>
                <v:shape id="_x0000_s1454" o:spid="_x0000_s1454" o:spt="32" type="#_x0000_t32" style="position:absolute;left:0pt;margin-left:328.8pt;margin-top:9.85pt;height:55.7pt;width:0pt;z-index:251746304;mso-width-relative:page;mso-height-relative:page;" o:connectortype="straight" filled="f" coordsize="21600,21600">
                  <v:path arrowok="t"/>
                  <v:fill on="f" focussize="0,0"/>
                  <v:stroke/>
                  <v:imagedata o:title=""/>
                  <o:lock v:ext="edit"/>
                </v:shape>
              </w:pict>
            </w:r>
          </w:p>
          <w:p w14:paraId="3C6BC8A7">
            <w:pPr>
              <w:pStyle w:val="62"/>
              <w:snapToGrid w:val="0"/>
              <w:spacing w:line="360" w:lineRule="auto"/>
              <w:ind w:firstLine="0" w:firstLineChars="0"/>
              <w:jc w:val="left"/>
              <w:rPr>
                <w:szCs w:val="24"/>
              </w:rPr>
            </w:pPr>
          </w:p>
          <w:p w14:paraId="70EA5520">
            <w:pPr>
              <w:pStyle w:val="62"/>
              <w:snapToGrid w:val="0"/>
              <w:spacing w:line="360" w:lineRule="auto"/>
              <w:ind w:firstLine="0" w:firstLineChars="0"/>
              <w:jc w:val="left"/>
              <w:rPr>
                <w:szCs w:val="24"/>
              </w:rPr>
            </w:pPr>
          </w:p>
          <w:p w14:paraId="67DD966E">
            <w:pPr>
              <w:pStyle w:val="62"/>
              <w:snapToGrid w:val="0"/>
              <w:spacing w:line="360" w:lineRule="auto"/>
              <w:ind w:firstLine="0" w:firstLineChars="0"/>
              <w:jc w:val="left"/>
              <w:rPr>
                <w:szCs w:val="24"/>
              </w:rPr>
            </w:pPr>
            <w:r>
              <w:rPr>
                <w:szCs w:val="24"/>
              </w:rPr>
              <w:pict>
                <v:shape id="_x0000_s1453" o:spid="_x0000_s1453" o:spt="32" type="#_x0000_t32" style="position:absolute;left:0pt;flip:x;margin-left:214.8pt;margin-top:3.4pt;height:0.05pt;width:114pt;z-index:251745280;mso-width-relative:page;mso-height-relative:page;" o:connectortype="straight" filled="f" coordsize="21600,21600">
                  <v:path arrowok="t"/>
                  <v:fill on="f" focussize="0,0"/>
                  <v:stroke endarrow="block"/>
                  <v:imagedata o:title=""/>
                  <o:lock v:ext="edit"/>
                </v:shape>
              </w:pict>
            </w:r>
          </w:p>
          <w:p w14:paraId="1F7C2651">
            <w:pPr>
              <w:pStyle w:val="62"/>
              <w:snapToGrid w:val="0"/>
              <w:spacing w:line="360" w:lineRule="auto"/>
              <w:ind w:firstLine="0" w:firstLineChars="0"/>
              <w:jc w:val="left"/>
              <w:rPr>
                <w:szCs w:val="24"/>
              </w:rPr>
            </w:pPr>
          </w:p>
          <w:p w14:paraId="0D047A7E">
            <w:pPr>
              <w:pStyle w:val="62"/>
              <w:snapToGrid w:val="0"/>
              <w:spacing w:line="360" w:lineRule="auto"/>
              <w:ind w:firstLine="0" w:firstLineChars="0"/>
              <w:jc w:val="left"/>
              <w:rPr>
                <w:szCs w:val="24"/>
              </w:rPr>
            </w:pPr>
          </w:p>
          <w:p w14:paraId="3D4CF407">
            <w:pPr>
              <w:pStyle w:val="62"/>
              <w:snapToGrid w:val="0"/>
              <w:spacing w:line="360" w:lineRule="auto"/>
              <w:ind w:firstLine="0" w:firstLineChars="0"/>
              <w:jc w:val="left"/>
              <w:rPr>
                <w:szCs w:val="24"/>
              </w:rPr>
            </w:pPr>
          </w:p>
          <w:p w14:paraId="01B30FBA">
            <w:pPr>
              <w:pStyle w:val="62"/>
              <w:snapToGrid w:val="0"/>
              <w:spacing w:line="360" w:lineRule="auto"/>
              <w:ind w:firstLine="0" w:firstLineChars="0"/>
              <w:jc w:val="left"/>
              <w:rPr>
                <w:szCs w:val="24"/>
              </w:rPr>
            </w:pPr>
          </w:p>
          <w:p w14:paraId="073EE745">
            <w:pPr>
              <w:pStyle w:val="62"/>
              <w:snapToGrid w:val="0"/>
              <w:spacing w:line="360" w:lineRule="auto"/>
              <w:ind w:firstLine="0" w:firstLineChars="0"/>
              <w:jc w:val="center"/>
              <w:rPr>
                <w:b/>
                <w:sz w:val="21"/>
                <w:szCs w:val="21"/>
              </w:rPr>
            </w:pPr>
            <w:r>
              <w:rPr>
                <w:rFonts w:hint="eastAsia"/>
                <w:b/>
                <w:sz w:val="21"/>
                <w:szCs w:val="21"/>
              </w:rPr>
              <w:t>图2.2-3  纸制品玩具及配套包装盒、配套说明书生产工艺流程</w:t>
            </w:r>
          </w:p>
          <w:p w14:paraId="27D94A84">
            <w:pPr>
              <w:spacing w:line="480" w:lineRule="exact"/>
              <w:ind w:firstLine="482"/>
              <w:rPr>
                <w:sz w:val="24"/>
              </w:rPr>
            </w:pPr>
            <w:r>
              <w:rPr>
                <w:rFonts w:hint="eastAsia"/>
                <w:b/>
                <w:sz w:val="24"/>
              </w:rPr>
              <w:t>裁切：</w:t>
            </w:r>
            <w:r>
              <w:rPr>
                <w:rFonts w:hint="eastAsia"/>
                <w:sz w:val="24"/>
              </w:rPr>
              <w:t>将购买的原纸按要求的规格进行裁切，此工序会产生废纸S1、机器噪声N。</w:t>
            </w:r>
          </w:p>
          <w:p w14:paraId="78781332">
            <w:pPr>
              <w:spacing w:line="480" w:lineRule="exact"/>
              <w:ind w:firstLine="482"/>
              <w:rPr>
                <w:rFonts w:hAnsi="宋体"/>
                <w:kern w:val="0"/>
                <w:sz w:val="24"/>
              </w:rPr>
            </w:pPr>
            <w:r>
              <w:rPr>
                <w:rFonts w:hint="eastAsia"/>
                <w:b/>
                <w:sz w:val="24"/>
              </w:rPr>
              <w:t>印刷：</w:t>
            </w:r>
            <w:r>
              <w:rPr>
                <w:rFonts w:hint="eastAsia"/>
                <w:sz w:val="24"/>
              </w:rPr>
              <w:t>本项目采用平板印刷工艺。“平板印刷”是指印刷部分与非印刷部分</w:t>
            </w:r>
            <w:r>
              <w:rPr>
                <w:rFonts w:hAnsi="宋体"/>
                <w:sz w:val="24"/>
              </w:rPr>
              <w:t>均处于同一平面。利用水、油相斥的原理，图文部分抗水亲油，空白部分抗油亲水而不沾油墨，在压力作用下使着墨部分的油墨转移到橡皮布上，再利用橡皮滚筒与压印滚筒之间的压力，将橡皮布上的油墨转移到承印物上，完成一次印刷。</w:t>
            </w:r>
            <w:r>
              <w:rPr>
                <w:rFonts w:hAnsi="宋体"/>
                <w:kern w:val="0"/>
                <w:sz w:val="24"/>
              </w:rPr>
              <w:t>印刷过程为人工将制作好的</w:t>
            </w:r>
            <w:r>
              <w:rPr>
                <w:rFonts w:hint="eastAsia"/>
                <w:kern w:val="0"/>
                <w:sz w:val="24"/>
              </w:rPr>
              <w:t>CTP</w:t>
            </w:r>
            <w:r>
              <w:rPr>
                <w:rFonts w:hAnsi="宋体"/>
                <w:kern w:val="0"/>
                <w:sz w:val="24"/>
              </w:rPr>
              <w:t>印版装入印刷机内，再通过自动供应油墨的设备装入所需的油墨，再人工装入纸张，最后开机运行。</w:t>
            </w:r>
          </w:p>
          <w:p w14:paraId="20492FFF">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sz w:val="24"/>
              </w:rPr>
              <w:t>印刷过程为了防止脏版，使用润版液在印刷空白部分形成水膜，以抵制图文上的油墨向空白部分浸润，</w:t>
            </w:r>
            <w:r>
              <w:rPr>
                <w:rFonts w:hAnsiTheme="minorEastAsia" w:eastAsiaTheme="minorEastAsia"/>
                <w:kern w:val="0"/>
                <w:sz w:val="24"/>
              </w:rPr>
              <w:t>润版废液收集后作为危险废物交由有资质的单位处理。使用胶印油墨印刷时。每一张纸印刷后要进行喷粉，喷粉目的是为了防止印刷品之间粘黏</w:t>
            </w:r>
            <w:r>
              <w:rPr>
                <w:rFonts w:hint="eastAsia" w:hAnsiTheme="minorEastAsia" w:eastAsiaTheme="minorEastAsia"/>
                <w:kern w:val="0"/>
                <w:sz w:val="24"/>
              </w:rPr>
              <w:t>。印刷后</w:t>
            </w:r>
            <w:r>
              <w:rPr>
                <w:bCs/>
                <w:sz w:val="24"/>
              </w:rPr>
              <w:t>采用沾有洗车水的棉纱</w:t>
            </w:r>
            <w:r>
              <w:rPr>
                <w:rFonts w:hint="eastAsia"/>
                <w:bCs/>
                <w:sz w:val="24"/>
              </w:rPr>
              <w:t>对免冲洗</w:t>
            </w:r>
            <w:r>
              <w:rPr>
                <w:bCs/>
                <w:sz w:val="24"/>
              </w:rPr>
              <w:t>CPT版</w:t>
            </w:r>
            <w:r>
              <w:rPr>
                <w:rFonts w:hint="eastAsia"/>
                <w:bCs/>
                <w:sz w:val="24"/>
              </w:rPr>
              <w:t>及墨辊进行擦拭清洁，不产生洗车废水。</w:t>
            </w:r>
          </w:p>
          <w:p w14:paraId="2D676C79">
            <w:pPr>
              <w:spacing w:line="480" w:lineRule="exact"/>
              <w:ind w:firstLine="480" w:firstLineChars="200"/>
              <w:rPr>
                <w:sz w:val="24"/>
              </w:rPr>
            </w:pPr>
            <w:r>
              <w:rPr>
                <w:rFonts w:hint="eastAsia"/>
                <w:sz w:val="24"/>
              </w:rPr>
              <w:t>整个印刷及印后清洁工序会产生油墨废气G1、洗车水擦拭清洁废气G2、喷粉粉尘G3、废油墨桶S2、废棉纱S3、废洗车水桶S4、废润版液桶S5、喷粉袋S6、废润版液W1、噪声N。</w:t>
            </w:r>
          </w:p>
          <w:p w14:paraId="5A4E130F">
            <w:pPr>
              <w:spacing w:line="480" w:lineRule="exact"/>
              <w:ind w:firstLine="482"/>
              <w:rPr>
                <w:bCs/>
                <w:sz w:val="24"/>
              </w:rPr>
            </w:pPr>
            <w:r>
              <w:rPr>
                <w:rFonts w:hint="eastAsia"/>
                <w:b/>
                <w:bCs/>
                <w:sz w:val="24"/>
              </w:rPr>
              <w:t>过油：</w:t>
            </w:r>
            <w:r>
              <w:rPr>
                <w:rFonts w:hint="eastAsia"/>
                <w:bCs/>
                <w:sz w:val="24"/>
              </w:rPr>
              <w:t>根据产品需要，利用过油机将水性上光油涂在需要过油处理的纸面表面，使纸面表面呈现光泽，过油机末端配有烘干机，对过油的纸面进行烘干，烘干温度为110℃~120℃。该工序会产生过油废气G4、噪声N及废水性光油桶S7。</w:t>
            </w:r>
          </w:p>
          <w:p w14:paraId="52E41621">
            <w:pPr>
              <w:spacing w:line="480" w:lineRule="exact"/>
              <w:ind w:firstLine="482"/>
              <w:rPr>
                <w:bCs/>
                <w:sz w:val="24"/>
              </w:rPr>
            </w:pPr>
            <w:r>
              <w:rPr>
                <w:rFonts w:hint="eastAsia"/>
                <w:b/>
                <w:sz w:val="24"/>
              </w:rPr>
              <w:t>裱纸（纸品玩具）：</w:t>
            </w:r>
            <w:r>
              <w:rPr>
                <w:bCs/>
                <w:sz w:val="24"/>
              </w:rPr>
              <w:t>将</w:t>
            </w:r>
            <w:r>
              <w:rPr>
                <w:rFonts w:hint="eastAsia"/>
                <w:bCs/>
                <w:sz w:val="24"/>
              </w:rPr>
              <w:t>过油</w:t>
            </w:r>
            <w:r>
              <w:rPr>
                <w:bCs/>
                <w:sz w:val="24"/>
              </w:rPr>
              <w:t>后的</w:t>
            </w:r>
            <w:r>
              <w:rPr>
                <w:rFonts w:hint="eastAsia"/>
                <w:bCs/>
                <w:sz w:val="24"/>
              </w:rPr>
              <w:t>面纸与底纸采</w:t>
            </w:r>
            <w:r>
              <w:rPr>
                <w:bCs/>
                <w:sz w:val="24"/>
              </w:rPr>
              <w:t>用</w:t>
            </w:r>
            <w:bookmarkStart w:id="1" w:name="_Hlk108104242"/>
            <w:r>
              <w:rPr>
                <w:rFonts w:hint="eastAsia"/>
                <w:bCs/>
                <w:sz w:val="24"/>
              </w:rPr>
              <w:t>水基性胶粘剂（MA-7033）</w:t>
            </w:r>
            <w:bookmarkEnd w:id="1"/>
            <w:r>
              <w:rPr>
                <w:bCs/>
                <w:sz w:val="24"/>
              </w:rPr>
              <w:t>在裱纸机上粘合在一起</w:t>
            </w:r>
            <w:r>
              <w:rPr>
                <w:rFonts w:hint="eastAsia"/>
                <w:bCs/>
                <w:sz w:val="24"/>
              </w:rPr>
              <w:t>。该</w:t>
            </w:r>
            <w:r>
              <w:rPr>
                <w:bCs/>
                <w:sz w:val="24"/>
              </w:rPr>
              <w:t>过程</w:t>
            </w:r>
            <w:r>
              <w:rPr>
                <w:rFonts w:hint="eastAsia"/>
                <w:bCs/>
                <w:sz w:val="24"/>
              </w:rPr>
              <w:t>会</w:t>
            </w:r>
            <w:r>
              <w:rPr>
                <w:bCs/>
                <w:sz w:val="24"/>
              </w:rPr>
              <w:t>产生</w:t>
            </w:r>
            <w:r>
              <w:rPr>
                <w:rFonts w:hint="eastAsia"/>
                <w:bCs/>
                <w:sz w:val="24"/>
              </w:rPr>
              <w:t>胶粘废气G5</w:t>
            </w:r>
            <w:r>
              <w:rPr>
                <w:bCs/>
                <w:sz w:val="24"/>
              </w:rPr>
              <w:t>，</w:t>
            </w:r>
            <w:r>
              <w:rPr>
                <w:rFonts w:hint="eastAsia"/>
                <w:bCs/>
                <w:sz w:val="24"/>
              </w:rPr>
              <w:t>废胶粘剂空桶S8</w:t>
            </w:r>
            <w:r>
              <w:rPr>
                <w:bCs/>
                <w:sz w:val="24"/>
              </w:rPr>
              <w:t>。</w:t>
            </w:r>
          </w:p>
          <w:p w14:paraId="41AE7EB0">
            <w:pPr>
              <w:autoSpaceDE w:val="0"/>
              <w:autoSpaceDN w:val="0"/>
              <w:spacing w:line="480" w:lineRule="exact"/>
              <w:ind w:firstLine="482"/>
              <w:jc w:val="left"/>
              <w:rPr>
                <w:b/>
                <w:sz w:val="24"/>
              </w:rPr>
            </w:pPr>
            <w:r>
              <w:rPr>
                <w:rFonts w:hint="eastAsia"/>
                <w:b/>
                <w:sz w:val="24"/>
              </w:rPr>
              <w:t>模切（纸品玩具、包装盒）：</w:t>
            </w:r>
            <w:r>
              <w:rPr>
                <w:rFonts w:hAnsi="宋体"/>
                <w:kern w:val="0"/>
                <w:sz w:val="24"/>
              </w:rPr>
              <w:t>利用模切机根据产品设计要求的图样组合成模切版，在压力的作用下使用模切机将印刷品切成所需形状和切痕的工艺。</w:t>
            </w:r>
            <w:r>
              <w:rPr>
                <w:bCs/>
                <w:sz w:val="24"/>
              </w:rPr>
              <w:t>该工序会产生噪声N、废</w:t>
            </w:r>
            <w:r>
              <w:rPr>
                <w:rFonts w:hint="eastAsia"/>
                <w:bCs/>
                <w:sz w:val="24"/>
              </w:rPr>
              <w:t>边角料</w:t>
            </w:r>
            <w:r>
              <w:rPr>
                <w:bCs/>
                <w:sz w:val="24"/>
              </w:rPr>
              <w:t>S</w:t>
            </w:r>
            <w:r>
              <w:rPr>
                <w:rFonts w:hint="eastAsia"/>
                <w:bCs/>
                <w:sz w:val="24"/>
              </w:rPr>
              <w:t>9。</w:t>
            </w:r>
          </w:p>
          <w:p w14:paraId="5DD87206">
            <w:pPr>
              <w:spacing w:line="480" w:lineRule="exact"/>
              <w:ind w:firstLine="482"/>
              <w:rPr>
                <w:bCs/>
                <w:sz w:val="24"/>
              </w:rPr>
            </w:pPr>
            <w:r>
              <w:rPr>
                <w:rFonts w:hint="eastAsia"/>
                <w:b/>
                <w:sz w:val="24"/>
              </w:rPr>
              <w:t>糊盒（包装盒）：</w:t>
            </w:r>
            <w:r>
              <w:rPr>
                <w:rFonts w:hint="eastAsia"/>
                <w:sz w:val="24"/>
              </w:rPr>
              <w:t>原纸经印刷、模切工序后，采用自动糊盒机使用</w:t>
            </w:r>
            <w:r>
              <w:rPr>
                <w:rFonts w:hint="eastAsia"/>
                <w:bCs/>
                <w:sz w:val="24"/>
              </w:rPr>
              <w:t>水基性胶粘剂（MA-7033）</w:t>
            </w:r>
            <w:r>
              <w:rPr>
                <w:rFonts w:hint="eastAsia"/>
                <w:sz w:val="24"/>
              </w:rPr>
              <w:t>将原纸粘贴成包装盒。</w:t>
            </w:r>
            <w:r>
              <w:rPr>
                <w:rFonts w:hint="eastAsia"/>
                <w:bCs/>
                <w:sz w:val="24"/>
              </w:rPr>
              <w:t>该</w:t>
            </w:r>
            <w:r>
              <w:rPr>
                <w:bCs/>
                <w:sz w:val="24"/>
              </w:rPr>
              <w:t>过程</w:t>
            </w:r>
            <w:r>
              <w:rPr>
                <w:rFonts w:hint="eastAsia"/>
                <w:bCs/>
                <w:sz w:val="24"/>
              </w:rPr>
              <w:t>会</w:t>
            </w:r>
            <w:r>
              <w:rPr>
                <w:bCs/>
                <w:sz w:val="24"/>
              </w:rPr>
              <w:t>产生</w:t>
            </w:r>
            <w:r>
              <w:rPr>
                <w:rFonts w:hint="eastAsia"/>
                <w:bCs/>
                <w:sz w:val="24"/>
              </w:rPr>
              <w:t>胶粘废气G5</w:t>
            </w:r>
            <w:r>
              <w:rPr>
                <w:bCs/>
                <w:sz w:val="24"/>
              </w:rPr>
              <w:t>，</w:t>
            </w:r>
            <w:r>
              <w:rPr>
                <w:rFonts w:hint="eastAsia"/>
                <w:bCs/>
                <w:sz w:val="24"/>
              </w:rPr>
              <w:t>废胶粘剂空桶S8</w:t>
            </w:r>
            <w:r>
              <w:rPr>
                <w:bCs/>
                <w:sz w:val="24"/>
              </w:rPr>
              <w:t>。</w:t>
            </w:r>
          </w:p>
          <w:p w14:paraId="432F14F0">
            <w:pPr>
              <w:spacing w:line="480" w:lineRule="exact"/>
              <w:ind w:firstLine="482"/>
              <w:rPr>
                <w:bCs/>
                <w:sz w:val="24"/>
              </w:rPr>
            </w:pPr>
            <w:r>
              <w:rPr>
                <w:rFonts w:hint="eastAsia"/>
                <w:b/>
                <w:bCs/>
                <w:sz w:val="24"/>
              </w:rPr>
              <w:t>折书：</w:t>
            </w:r>
            <w:r>
              <w:rPr>
                <w:rFonts w:hint="eastAsia"/>
                <w:bCs/>
                <w:sz w:val="24"/>
              </w:rPr>
              <w:t>将印刷、裁切好的配套说明书在折书机上加工，该过程会产生噪声N。</w:t>
            </w:r>
          </w:p>
          <w:p w14:paraId="251BA885">
            <w:pPr>
              <w:spacing w:line="480" w:lineRule="exact"/>
              <w:ind w:firstLine="482"/>
              <w:rPr>
                <w:sz w:val="24"/>
              </w:rPr>
            </w:pPr>
            <w:r>
              <w:rPr>
                <w:rFonts w:hint="eastAsia"/>
                <w:b/>
                <w:sz w:val="24"/>
              </w:rPr>
              <w:t>检验、装配：</w:t>
            </w:r>
            <w:r>
              <w:rPr>
                <w:rFonts w:hint="eastAsia"/>
                <w:sz w:val="24"/>
              </w:rPr>
              <w:t>对印刷后的纸制品进行检查，不合格的产品作为废品。将制作好的纸制品玩具及配套包装盒、配套说明书进行人工装配，根据产品需求，有些包装盒内需要装配外购的塑胶配件。该工序会产生不合格废制品S10。</w:t>
            </w:r>
          </w:p>
          <w:p w14:paraId="68C14C1E">
            <w:pPr>
              <w:autoSpaceDE w:val="0"/>
              <w:autoSpaceDN w:val="0"/>
              <w:spacing w:line="480" w:lineRule="exact"/>
              <w:ind w:firstLine="482"/>
              <w:jc w:val="left"/>
              <w:rPr>
                <w:sz w:val="24"/>
              </w:rPr>
            </w:pPr>
            <w:r>
              <w:rPr>
                <w:rFonts w:hint="eastAsia"/>
                <w:b/>
                <w:sz w:val="24"/>
              </w:rPr>
              <w:t>打包入库</w:t>
            </w:r>
            <w:r>
              <w:rPr>
                <w:rFonts w:hint="eastAsia"/>
                <w:sz w:val="24"/>
              </w:rPr>
              <w:t>：</w:t>
            </w:r>
            <w:r>
              <w:rPr>
                <w:rFonts w:hint="eastAsia" w:ascii="宋体" w:cs="宋体"/>
                <w:kern w:val="0"/>
                <w:sz w:val="24"/>
              </w:rPr>
              <w:t>将装配完成的纸制品玩具采用纸箱装箱打包。打包完成后的产品，放入成品暂存区，由建设单位分批次运送。</w:t>
            </w:r>
          </w:p>
        </w:tc>
      </w:tr>
      <w:tr w14:paraId="24AC3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96" w:type="dxa"/>
            <w:vAlign w:val="center"/>
          </w:tcPr>
          <w:p w14:paraId="3728D9BC">
            <w:pPr>
              <w:pStyle w:val="20"/>
              <w:adjustRightInd w:val="0"/>
              <w:snapToGrid w:val="0"/>
              <w:spacing w:before="0" w:beforeAutospacing="0" w:after="0" w:afterAutospacing="0"/>
              <w:jc w:val="center"/>
              <w:rPr>
                <w:rFonts w:ascii="Times New Roman" w:hAnsi="Times New Roman"/>
                <w:szCs w:val="24"/>
              </w:rPr>
            </w:pPr>
            <w:r>
              <w:rPr>
                <w:rFonts w:ascii="Times New Roman"/>
                <w:bCs/>
                <w:kern w:val="2"/>
                <w:szCs w:val="24"/>
              </w:rPr>
              <w:t>与项目有关的原有环境污染问题</w:t>
            </w:r>
          </w:p>
        </w:tc>
        <w:tc>
          <w:tcPr>
            <w:tcW w:w="8488" w:type="dxa"/>
          </w:tcPr>
          <w:p w14:paraId="35AD04AC">
            <w:pPr>
              <w:spacing w:line="360" w:lineRule="auto"/>
              <w:ind w:firstLine="480" w:firstLineChars="200"/>
              <w:jc w:val="center"/>
              <w:rPr>
                <w:sz w:val="24"/>
              </w:rPr>
            </w:pPr>
            <w:bookmarkStart w:id="2" w:name="_Toc373324724"/>
            <w:bookmarkStart w:id="3" w:name="_Toc187074188"/>
            <w:bookmarkStart w:id="4" w:name="_Toc189562583"/>
            <w:bookmarkStart w:id="5" w:name="_Toc363037675"/>
            <w:bookmarkStart w:id="6" w:name="_Toc187227802"/>
            <w:bookmarkStart w:id="7" w:name="_Toc362339405"/>
            <w:bookmarkStart w:id="8" w:name="_Toc362339698"/>
          </w:p>
          <w:p w14:paraId="6E52BF67">
            <w:pPr>
              <w:spacing w:line="360" w:lineRule="auto"/>
              <w:ind w:firstLine="480" w:firstLineChars="200"/>
              <w:jc w:val="center"/>
              <w:rPr>
                <w:sz w:val="24"/>
              </w:rPr>
            </w:pPr>
          </w:p>
          <w:p w14:paraId="7855A32C">
            <w:pPr>
              <w:spacing w:line="360" w:lineRule="auto"/>
              <w:ind w:firstLine="480" w:firstLineChars="200"/>
              <w:jc w:val="center"/>
              <w:rPr>
                <w:sz w:val="24"/>
              </w:rPr>
            </w:pPr>
          </w:p>
          <w:p w14:paraId="09A6AACC">
            <w:pPr>
              <w:spacing w:line="360" w:lineRule="auto"/>
              <w:ind w:firstLine="480" w:firstLineChars="200"/>
              <w:jc w:val="center"/>
              <w:rPr>
                <w:sz w:val="24"/>
              </w:rPr>
            </w:pPr>
          </w:p>
          <w:p w14:paraId="77D82BFD">
            <w:pPr>
              <w:spacing w:line="360" w:lineRule="auto"/>
              <w:ind w:firstLine="480" w:firstLineChars="200"/>
              <w:jc w:val="center"/>
              <w:rPr>
                <w:sz w:val="24"/>
              </w:rPr>
            </w:pPr>
            <w:r>
              <w:rPr>
                <w:sz w:val="24"/>
              </w:rPr>
              <w:t>拟建项目为新建工程，无现有环境问题。</w:t>
            </w:r>
          </w:p>
          <w:p w14:paraId="0875318D">
            <w:pPr>
              <w:spacing w:line="360" w:lineRule="auto"/>
              <w:ind w:firstLine="480" w:firstLineChars="200"/>
              <w:rPr>
                <w:sz w:val="24"/>
              </w:rPr>
            </w:pPr>
          </w:p>
          <w:p w14:paraId="057565A3">
            <w:pPr>
              <w:spacing w:line="360" w:lineRule="auto"/>
              <w:ind w:firstLine="480" w:firstLineChars="200"/>
              <w:rPr>
                <w:sz w:val="24"/>
              </w:rPr>
            </w:pPr>
          </w:p>
          <w:bookmarkEnd w:id="2"/>
          <w:bookmarkEnd w:id="3"/>
          <w:bookmarkEnd w:id="4"/>
          <w:bookmarkEnd w:id="5"/>
          <w:bookmarkEnd w:id="6"/>
          <w:bookmarkEnd w:id="7"/>
          <w:bookmarkEnd w:id="8"/>
          <w:p w14:paraId="21A3198F">
            <w:pPr>
              <w:snapToGrid w:val="0"/>
              <w:spacing w:line="360" w:lineRule="auto"/>
              <w:ind w:firstLine="480" w:firstLineChars="200"/>
              <w:rPr>
                <w:sz w:val="24"/>
              </w:rPr>
            </w:pPr>
          </w:p>
        </w:tc>
      </w:tr>
    </w:tbl>
    <w:p w14:paraId="393285E3">
      <w:pPr>
        <w:pStyle w:val="20"/>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14:paraId="378C34BF">
      <w:pPr>
        <w:pStyle w:val="20"/>
        <w:adjustRightInd w:val="0"/>
        <w:snapToGrid w:val="0"/>
        <w:spacing w:before="0" w:beforeAutospacing="0" w:after="0" w:afterAutospacing="0" w:line="14" w:lineRule="auto"/>
        <w:jc w:val="center"/>
        <w:outlineLvl w:val="0"/>
        <w:rPr>
          <w:rFonts w:ascii="黑体" w:hAnsi="黑体" w:eastAsia="黑体"/>
          <w:snapToGrid w:val="0"/>
          <w:sz w:val="30"/>
          <w:szCs w:val="30"/>
        </w:rPr>
      </w:pPr>
    </w:p>
    <w:p w14:paraId="5A2A38F1">
      <w:pPr>
        <w:pStyle w:val="20"/>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223"/>
      </w:tblGrid>
      <w:tr w14:paraId="13A7C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03" w:type="dxa"/>
            <w:vAlign w:val="center"/>
          </w:tcPr>
          <w:p w14:paraId="7F7E8A71">
            <w:pPr>
              <w:adjustRightInd w:val="0"/>
              <w:snapToGrid w:val="0"/>
              <w:jc w:val="center"/>
              <w:rPr>
                <w:rFonts w:ascii="宋体" w:hAnsi="宋体" w:cs="宋体"/>
                <w:kern w:val="0"/>
                <w:sz w:val="24"/>
              </w:rPr>
            </w:pPr>
            <w:r>
              <w:rPr>
                <w:rFonts w:hint="eastAsia" w:ascii="宋体" w:hAnsi="宋体" w:cs="宋体"/>
                <w:kern w:val="0"/>
                <w:sz w:val="24"/>
              </w:rPr>
              <w:t>区域</w:t>
            </w:r>
          </w:p>
          <w:p w14:paraId="5E0E7067">
            <w:pPr>
              <w:adjustRightInd w:val="0"/>
              <w:snapToGrid w:val="0"/>
              <w:jc w:val="center"/>
              <w:rPr>
                <w:rFonts w:ascii="宋体" w:hAnsi="宋体" w:cs="宋体"/>
                <w:kern w:val="0"/>
                <w:sz w:val="24"/>
              </w:rPr>
            </w:pPr>
            <w:r>
              <w:rPr>
                <w:rFonts w:hint="eastAsia" w:ascii="宋体" w:hAnsi="宋体" w:cs="宋体"/>
                <w:kern w:val="0"/>
                <w:sz w:val="24"/>
              </w:rPr>
              <w:t>环境</w:t>
            </w:r>
          </w:p>
          <w:p w14:paraId="32F35E2A">
            <w:pPr>
              <w:adjustRightInd w:val="0"/>
              <w:snapToGrid w:val="0"/>
              <w:jc w:val="center"/>
              <w:rPr>
                <w:rFonts w:ascii="宋体" w:hAnsi="宋体" w:cs="宋体"/>
                <w:kern w:val="0"/>
                <w:sz w:val="24"/>
              </w:rPr>
            </w:pPr>
            <w:r>
              <w:rPr>
                <w:rFonts w:hint="eastAsia" w:ascii="宋体" w:hAnsi="宋体" w:cs="宋体"/>
                <w:kern w:val="0"/>
                <w:sz w:val="24"/>
              </w:rPr>
              <w:t>质量</w:t>
            </w:r>
          </w:p>
          <w:p w14:paraId="0893BB46">
            <w:pPr>
              <w:adjustRightInd w:val="0"/>
              <w:snapToGrid w:val="0"/>
              <w:jc w:val="center"/>
              <w:rPr>
                <w:rFonts w:ascii="宋体" w:hAnsi="宋体" w:cs="宋体"/>
                <w:kern w:val="0"/>
                <w:sz w:val="24"/>
              </w:rPr>
            </w:pPr>
            <w:r>
              <w:rPr>
                <w:rFonts w:hint="eastAsia" w:ascii="宋体" w:hAnsi="宋体" w:cs="宋体"/>
                <w:kern w:val="0"/>
                <w:sz w:val="24"/>
              </w:rPr>
              <w:t>现状</w:t>
            </w:r>
          </w:p>
        </w:tc>
        <w:tc>
          <w:tcPr>
            <w:tcW w:w="8217" w:type="dxa"/>
            <w:vAlign w:val="center"/>
          </w:tcPr>
          <w:p w14:paraId="45D3900E">
            <w:pPr>
              <w:pStyle w:val="10"/>
              <w:spacing w:line="360" w:lineRule="auto"/>
              <w:rPr>
                <w:rFonts w:ascii="Times New Roman" w:hAnsi="宋体" w:cs="Courier New"/>
                <w:b/>
                <w:sz w:val="24"/>
                <w:szCs w:val="24"/>
              </w:rPr>
            </w:pPr>
            <w:r>
              <w:rPr>
                <w:rFonts w:hint="eastAsia" w:ascii="Times New Roman" w:hAnsi="宋体" w:cs="Courier New"/>
                <w:b/>
                <w:sz w:val="24"/>
                <w:szCs w:val="24"/>
              </w:rPr>
              <w:t>3.1.1环境空气质量现状及评价</w:t>
            </w:r>
          </w:p>
          <w:p w14:paraId="50842F12">
            <w:pPr>
              <w:adjustRightInd w:val="0"/>
              <w:snapToGrid w:val="0"/>
              <w:spacing w:line="360" w:lineRule="auto"/>
              <w:ind w:firstLine="480" w:firstLineChars="200"/>
              <w:rPr>
                <w:sz w:val="24"/>
              </w:rPr>
            </w:pPr>
            <w:r>
              <w:rPr>
                <w:rFonts w:hint="eastAsia"/>
                <w:bCs/>
                <w:sz w:val="24"/>
              </w:rPr>
              <w:t>根据《重庆市环境空气质量功能区划分规定》（渝府发</w:t>
            </w:r>
            <w:r>
              <w:rPr>
                <w:bCs/>
                <w:sz w:val="24"/>
              </w:rPr>
              <w:t>[2016]19</w:t>
            </w:r>
            <w:r>
              <w:rPr>
                <w:rFonts w:hint="eastAsia"/>
                <w:bCs/>
                <w:sz w:val="24"/>
              </w:rPr>
              <w:t>）的相关规定，项目所在地环境空气功能区划为二类区，环境空气质量执行《环境空气质量标准》</w:t>
            </w:r>
            <w:r>
              <w:rPr>
                <w:bCs/>
                <w:sz w:val="24"/>
              </w:rPr>
              <w:t>(GB3095-2012)</w:t>
            </w:r>
            <w:r>
              <w:rPr>
                <w:rFonts w:hint="eastAsia"/>
                <w:bCs/>
                <w:sz w:val="24"/>
              </w:rPr>
              <w:t>中二级标准</w:t>
            </w:r>
            <w:r>
              <w:rPr>
                <w:rFonts w:hint="eastAsia"/>
                <w:sz w:val="24"/>
              </w:rPr>
              <w:t>。</w:t>
            </w:r>
          </w:p>
          <w:p w14:paraId="59B4DF8C">
            <w:pPr>
              <w:adjustRightInd w:val="0"/>
              <w:snapToGrid w:val="0"/>
              <w:spacing w:line="360" w:lineRule="auto"/>
              <w:ind w:firstLine="480" w:firstLineChars="200"/>
              <w:rPr>
                <w:sz w:val="24"/>
              </w:rPr>
            </w:pPr>
            <w:r>
              <w:rPr>
                <w:sz w:val="24"/>
              </w:rPr>
              <w:t>本次评价</w:t>
            </w:r>
            <w:r>
              <w:rPr>
                <w:rFonts w:hint="eastAsia"/>
                <w:sz w:val="24"/>
              </w:rPr>
              <w:t>引用《2021年重庆市生态环境状况公报》中涪陵区环境空气质量状况的数据，监测因子为</w:t>
            </w:r>
            <w:r>
              <w:rPr>
                <w:sz w:val="24"/>
              </w:rPr>
              <w:t>SO</w:t>
            </w:r>
            <w:r>
              <w:rPr>
                <w:sz w:val="24"/>
                <w:vertAlign w:val="subscript"/>
              </w:rPr>
              <w:t>2</w:t>
            </w:r>
            <w:r>
              <w:rPr>
                <w:sz w:val="24"/>
              </w:rPr>
              <w:t>、NO</w:t>
            </w:r>
            <w:r>
              <w:rPr>
                <w:sz w:val="24"/>
                <w:vertAlign w:val="subscript"/>
              </w:rPr>
              <w:t>2</w:t>
            </w:r>
            <w:r>
              <w:rPr>
                <w:sz w:val="24"/>
              </w:rPr>
              <w:t>、PM</w:t>
            </w:r>
            <w:r>
              <w:rPr>
                <w:sz w:val="24"/>
                <w:vertAlign w:val="subscript"/>
              </w:rPr>
              <w:t>10</w:t>
            </w:r>
            <w:r>
              <w:rPr>
                <w:sz w:val="24"/>
              </w:rPr>
              <w:t>、PM</w:t>
            </w:r>
            <w:r>
              <w:rPr>
                <w:sz w:val="24"/>
                <w:vertAlign w:val="subscript"/>
              </w:rPr>
              <w:t>2.5</w:t>
            </w:r>
            <w:r>
              <w:rPr>
                <w:sz w:val="24"/>
              </w:rPr>
              <w:t>、CO</w:t>
            </w:r>
            <w:r>
              <w:rPr>
                <w:rFonts w:hint="eastAsia"/>
                <w:sz w:val="24"/>
              </w:rPr>
              <w:t>和</w:t>
            </w:r>
            <w:r>
              <w:rPr>
                <w:sz w:val="24"/>
              </w:rPr>
              <w:t>O</w:t>
            </w:r>
            <w:r>
              <w:rPr>
                <w:sz w:val="24"/>
                <w:vertAlign w:val="subscript"/>
              </w:rPr>
              <w:t>3</w:t>
            </w:r>
            <w:r>
              <w:rPr>
                <w:rFonts w:hint="eastAsia"/>
                <w:sz w:val="24"/>
              </w:rPr>
              <w:t>，监测频率为24小时连续自动监测。涪陵区</w:t>
            </w:r>
            <w:r>
              <w:rPr>
                <w:rFonts w:hint="eastAsia" w:hAnsi="宋体"/>
                <w:sz w:val="24"/>
              </w:rPr>
              <w:t>2021年环境空气质量现状评价见表3.1</w:t>
            </w:r>
            <w:r>
              <w:rPr>
                <w:rFonts w:hAnsi="宋体"/>
                <w:sz w:val="24"/>
              </w:rPr>
              <w:t>-</w:t>
            </w:r>
            <w:r>
              <w:rPr>
                <w:rFonts w:hint="eastAsia" w:hAnsi="宋体"/>
                <w:sz w:val="24"/>
              </w:rPr>
              <w:t>1。</w:t>
            </w:r>
          </w:p>
          <w:p w14:paraId="79F0B694">
            <w:pPr>
              <w:jc w:val="center"/>
              <w:rPr>
                <w:b/>
                <w:szCs w:val="21"/>
                <w:vertAlign w:val="superscript"/>
              </w:rPr>
            </w:pPr>
            <w:r>
              <w:rPr>
                <w:rFonts w:hAnsi="宋体"/>
                <w:b/>
                <w:szCs w:val="21"/>
              </w:rPr>
              <w:t>表</w:t>
            </w:r>
            <w:r>
              <w:rPr>
                <w:b/>
                <w:szCs w:val="21"/>
              </w:rPr>
              <w:t>3</w:t>
            </w:r>
            <w:r>
              <w:rPr>
                <w:rFonts w:hint="eastAsia"/>
                <w:b/>
                <w:szCs w:val="21"/>
              </w:rPr>
              <w:t>.1</w:t>
            </w:r>
            <w:r>
              <w:rPr>
                <w:b/>
                <w:szCs w:val="21"/>
              </w:rPr>
              <w:t>-</w:t>
            </w:r>
            <w:r>
              <w:rPr>
                <w:rFonts w:hint="eastAsia"/>
                <w:b/>
                <w:szCs w:val="21"/>
              </w:rPr>
              <w:t xml:space="preserve">1 </w:t>
            </w:r>
            <w:r>
              <w:rPr>
                <w:b/>
                <w:szCs w:val="21"/>
              </w:rPr>
              <w:t xml:space="preserve"> </w:t>
            </w:r>
            <w:r>
              <w:rPr>
                <w:rFonts w:hint="eastAsia"/>
                <w:b/>
                <w:szCs w:val="21"/>
              </w:rPr>
              <w:t>2021年涪陵区环境空气</w:t>
            </w:r>
            <w:r>
              <w:rPr>
                <w:rFonts w:hAnsi="宋体"/>
                <w:b/>
                <w:szCs w:val="21"/>
              </w:rPr>
              <w:t>质量现状表</w:t>
            </w:r>
            <w:r>
              <w:rPr>
                <w:b/>
                <w:szCs w:val="21"/>
              </w:rPr>
              <w:t xml:space="preserve">    </w:t>
            </w:r>
            <w:r>
              <w:rPr>
                <w:rFonts w:hAnsi="宋体"/>
                <w:b/>
                <w:szCs w:val="21"/>
              </w:rPr>
              <w:t>单位：</w:t>
            </w:r>
            <w:r>
              <w:rPr>
                <w:b/>
                <w:spacing w:val="-20"/>
                <w:szCs w:val="21"/>
              </w:rPr>
              <w:t>μg</w:t>
            </w:r>
            <w:r>
              <w:rPr>
                <w:b/>
                <w:szCs w:val="21"/>
              </w:rPr>
              <w:t>/m</w:t>
            </w:r>
            <w:r>
              <w:rPr>
                <w:b/>
                <w:szCs w:val="21"/>
                <w:vertAlign w:val="superscript"/>
              </w:rPr>
              <w:t>3</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23"/>
              <w:gridCol w:w="1993"/>
              <w:gridCol w:w="1288"/>
              <w:gridCol w:w="1248"/>
              <w:gridCol w:w="1159"/>
              <w:gridCol w:w="881"/>
            </w:tblGrid>
            <w:tr w14:paraId="5D9B7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0" w:type="pct"/>
                  <w:vAlign w:val="center"/>
                </w:tcPr>
                <w:p w14:paraId="57D50521">
                  <w:pPr>
                    <w:jc w:val="center"/>
                    <w:rPr>
                      <w:bCs/>
                      <w:szCs w:val="21"/>
                    </w:rPr>
                  </w:pPr>
                  <w:r>
                    <w:rPr>
                      <w:bCs/>
                      <w:szCs w:val="21"/>
                    </w:rPr>
                    <w:t>监测项目</w:t>
                  </w:r>
                </w:p>
              </w:tc>
              <w:tc>
                <w:tcPr>
                  <w:tcW w:w="1247" w:type="pct"/>
                  <w:vAlign w:val="center"/>
                </w:tcPr>
                <w:p w14:paraId="6BA5BFD8">
                  <w:pPr>
                    <w:jc w:val="center"/>
                    <w:rPr>
                      <w:bCs/>
                      <w:szCs w:val="21"/>
                    </w:rPr>
                  </w:pPr>
                  <w:r>
                    <w:rPr>
                      <w:bCs/>
                      <w:szCs w:val="21"/>
                    </w:rPr>
                    <w:t>平时间</w:t>
                  </w:r>
                </w:p>
              </w:tc>
              <w:tc>
                <w:tcPr>
                  <w:tcW w:w="806" w:type="pct"/>
                  <w:vAlign w:val="center"/>
                </w:tcPr>
                <w:p w14:paraId="775A8C1E">
                  <w:pPr>
                    <w:jc w:val="center"/>
                    <w:rPr>
                      <w:bCs/>
                      <w:szCs w:val="21"/>
                    </w:rPr>
                  </w:pPr>
                  <w:r>
                    <w:rPr>
                      <w:bCs/>
                      <w:szCs w:val="21"/>
                    </w:rPr>
                    <w:t>评价标准</w:t>
                  </w:r>
                </w:p>
              </w:tc>
              <w:tc>
                <w:tcPr>
                  <w:tcW w:w="781" w:type="pct"/>
                  <w:vAlign w:val="center"/>
                </w:tcPr>
                <w:p w14:paraId="1B619EC1">
                  <w:pPr>
                    <w:jc w:val="center"/>
                    <w:rPr>
                      <w:bCs/>
                      <w:szCs w:val="21"/>
                    </w:rPr>
                  </w:pPr>
                  <w:r>
                    <w:rPr>
                      <w:bCs/>
                      <w:szCs w:val="21"/>
                    </w:rPr>
                    <w:t>浓度</w:t>
                  </w:r>
                  <w:r>
                    <w:rPr>
                      <w:rFonts w:hint="eastAsia"/>
                      <w:bCs/>
                      <w:szCs w:val="21"/>
                    </w:rPr>
                    <w:t>值</w:t>
                  </w:r>
                </w:p>
              </w:tc>
              <w:tc>
                <w:tcPr>
                  <w:tcW w:w="725" w:type="pct"/>
                  <w:vAlign w:val="center"/>
                </w:tcPr>
                <w:p w14:paraId="00D483B0">
                  <w:pPr>
                    <w:jc w:val="center"/>
                    <w:rPr>
                      <w:bCs/>
                      <w:szCs w:val="21"/>
                    </w:rPr>
                  </w:pPr>
                  <w:r>
                    <w:rPr>
                      <w:bCs/>
                      <w:szCs w:val="21"/>
                    </w:rPr>
                    <w:t>最大占标率（%）</w:t>
                  </w:r>
                </w:p>
              </w:tc>
              <w:tc>
                <w:tcPr>
                  <w:tcW w:w="551" w:type="pct"/>
                  <w:vAlign w:val="center"/>
                </w:tcPr>
                <w:p w14:paraId="08FA341B">
                  <w:pPr>
                    <w:jc w:val="center"/>
                    <w:rPr>
                      <w:bCs/>
                      <w:szCs w:val="21"/>
                    </w:rPr>
                  </w:pPr>
                  <w:r>
                    <w:rPr>
                      <w:bCs/>
                      <w:szCs w:val="21"/>
                    </w:rPr>
                    <w:t>达标</w:t>
                  </w:r>
                </w:p>
                <w:p w14:paraId="1EAABE1A">
                  <w:pPr>
                    <w:jc w:val="center"/>
                    <w:rPr>
                      <w:bCs/>
                      <w:szCs w:val="21"/>
                    </w:rPr>
                  </w:pPr>
                  <w:r>
                    <w:rPr>
                      <w:bCs/>
                      <w:szCs w:val="21"/>
                    </w:rPr>
                    <w:t>情况</w:t>
                  </w:r>
                </w:p>
              </w:tc>
            </w:tr>
            <w:tr w14:paraId="2DBF4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890" w:type="pct"/>
                  <w:vAlign w:val="center"/>
                </w:tcPr>
                <w:p w14:paraId="6294791E">
                  <w:pPr>
                    <w:jc w:val="center"/>
                    <w:rPr>
                      <w:bCs/>
                      <w:szCs w:val="21"/>
                    </w:rPr>
                  </w:pPr>
                  <w:r>
                    <w:rPr>
                      <w:bCs/>
                      <w:szCs w:val="21"/>
                    </w:rPr>
                    <w:t>SO</w:t>
                  </w:r>
                  <w:r>
                    <w:rPr>
                      <w:bCs/>
                      <w:szCs w:val="21"/>
                      <w:vertAlign w:val="subscript"/>
                    </w:rPr>
                    <w:t>2</w:t>
                  </w:r>
                </w:p>
              </w:tc>
              <w:tc>
                <w:tcPr>
                  <w:tcW w:w="1247" w:type="pct"/>
                  <w:vAlign w:val="center"/>
                </w:tcPr>
                <w:p w14:paraId="1F6F28CA">
                  <w:pPr>
                    <w:jc w:val="center"/>
                    <w:rPr>
                      <w:snapToGrid w:val="0"/>
                      <w:szCs w:val="21"/>
                    </w:rPr>
                  </w:pPr>
                  <w:r>
                    <w:rPr>
                      <w:snapToGrid w:val="0"/>
                      <w:szCs w:val="21"/>
                    </w:rPr>
                    <w:t>年平均</w:t>
                  </w:r>
                </w:p>
              </w:tc>
              <w:tc>
                <w:tcPr>
                  <w:tcW w:w="806" w:type="pct"/>
                  <w:vAlign w:val="center"/>
                </w:tcPr>
                <w:p w14:paraId="123BDEF2">
                  <w:pPr>
                    <w:jc w:val="center"/>
                    <w:rPr>
                      <w:snapToGrid w:val="0"/>
                      <w:szCs w:val="21"/>
                    </w:rPr>
                  </w:pPr>
                  <w:r>
                    <w:rPr>
                      <w:snapToGrid w:val="0"/>
                      <w:szCs w:val="21"/>
                    </w:rPr>
                    <w:t>6</w:t>
                  </w:r>
                  <w:r>
                    <w:rPr>
                      <w:rFonts w:hint="eastAsia"/>
                      <w:snapToGrid w:val="0"/>
                      <w:szCs w:val="21"/>
                    </w:rPr>
                    <w:t>0</w:t>
                  </w:r>
                </w:p>
              </w:tc>
              <w:tc>
                <w:tcPr>
                  <w:tcW w:w="781" w:type="pct"/>
                  <w:vAlign w:val="center"/>
                </w:tcPr>
                <w:p w14:paraId="192809CF">
                  <w:pPr>
                    <w:jc w:val="center"/>
                    <w:rPr>
                      <w:bCs/>
                      <w:szCs w:val="21"/>
                    </w:rPr>
                  </w:pPr>
                  <w:r>
                    <w:rPr>
                      <w:rFonts w:hint="eastAsia"/>
                      <w:bCs/>
                      <w:szCs w:val="21"/>
                    </w:rPr>
                    <w:t>11</w:t>
                  </w:r>
                </w:p>
              </w:tc>
              <w:tc>
                <w:tcPr>
                  <w:tcW w:w="725" w:type="pct"/>
                  <w:vAlign w:val="center"/>
                </w:tcPr>
                <w:p w14:paraId="5865D35B">
                  <w:pPr>
                    <w:jc w:val="center"/>
                    <w:rPr>
                      <w:bCs/>
                      <w:szCs w:val="21"/>
                    </w:rPr>
                  </w:pPr>
                  <w:r>
                    <w:rPr>
                      <w:rFonts w:hint="eastAsia"/>
                      <w:bCs/>
                      <w:szCs w:val="21"/>
                    </w:rPr>
                    <w:t>18.3</w:t>
                  </w:r>
                </w:p>
              </w:tc>
              <w:tc>
                <w:tcPr>
                  <w:tcW w:w="551" w:type="pct"/>
                  <w:vAlign w:val="center"/>
                </w:tcPr>
                <w:p w14:paraId="46FABE61">
                  <w:pPr>
                    <w:jc w:val="center"/>
                    <w:rPr>
                      <w:bCs/>
                      <w:szCs w:val="21"/>
                    </w:rPr>
                  </w:pPr>
                  <w:r>
                    <w:rPr>
                      <w:bCs/>
                      <w:szCs w:val="21"/>
                    </w:rPr>
                    <w:t>达标</w:t>
                  </w:r>
                </w:p>
              </w:tc>
            </w:tr>
            <w:tr w14:paraId="21260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0" w:type="pct"/>
                  <w:vAlign w:val="center"/>
                </w:tcPr>
                <w:p w14:paraId="078752F7">
                  <w:pPr>
                    <w:jc w:val="center"/>
                    <w:rPr>
                      <w:bCs/>
                      <w:szCs w:val="21"/>
                    </w:rPr>
                  </w:pPr>
                  <w:r>
                    <w:rPr>
                      <w:bCs/>
                      <w:szCs w:val="21"/>
                    </w:rPr>
                    <w:t>NO</w:t>
                  </w:r>
                  <w:r>
                    <w:rPr>
                      <w:bCs/>
                      <w:szCs w:val="21"/>
                      <w:vertAlign w:val="subscript"/>
                    </w:rPr>
                    <w:t>2</w:t>
                  </w:r>
                </w:p>
              </w:tc>
              <w:tc>
                <w:tcPr>
                  <w:tcW w:w="1247" w:type="pct"/>
                  <w:vAlign w:val="center"/>
                </w:tcPr>
                <w:p w14:paraId="38FB26C0">
                  <w:pPr>
                    <w:jc w:val="center"/>
                    <w:rPr>
                      <w:snapToGrid w:val="0"/>
                      <w:szCs w:val="21"/>
                    </w:rPr>
                  </w:pPr>
                  <w:r>
                    <w:rPr>
                      <w:snapToGrid w:val="0"/>
                      <w:szCs w:val="21"/>
                    </w:rPr>
                    <w:t>年平均</w:t>
                  </w:r>
                </w:p>
              </w:tc>
              <w:tc>
                <w:tcPr>
                  <w:tcW w:w="806" w:type="pct"/>
                  <w:vAlign w:val="center"/>
                </w:tcPr>
                <w:p w14:paraId="62205768">
                  <w:pPr>
                    <w:jc w:val="center"/>
                    <w:rPr>
                      <w:snapToGrid w:val="0"/>
                      <w:szCs w:val="21"/>
                    </w:rPr>
                  </w:pPr>
                  <w:r>
                    <w:rPr>
                      <w:snapToGrid w:val="0"/>
                      <w:szCs w:val="21"/>
                    </w:rPr>
                    <w:t>40</w:t>
                  </w:r>
                </w:p>
              </w:tc>
              <w:tc>
                <w:tcPr>
                  <w:tcW w:w="781" w:type="pct"/>
                  <w:vAlign w:val="center"/>
                </w:tcPr>
                <w:p w14:paraId="5116707F">
                  <w:pPr>
                    <w:jc w:val="center"/>
                    <w:rPr>
                      <w:bCs/>
                      <w:szCs w:val="21"/>
                    </w:rPr>
                  </w:pPr>
                  <w:r>
                    <w:rPr>
                      <w:rFonts w:hint="eastAsia"/>
                      <w:bCs/>
                      <w:szCs w:val="21"/>
                    </w:rPr>
                    <w:t>32</w:t>
                  </w:r>
                </w:p>
              </w:tc>
              <w:tc>
                <w:tcPr>
                  <w:tcW w:w="725" w:type="pct"/>
                  <w:vAlign w:val="center"/>
                </w:tcPr>
                <w:p w14:paraId="4FCDDEE4">
                  <w:pPr>
                    <w:jc w:val="center"/>
                    <w:rPr>
                      <w:bCs/>
                      <w:szCs w:val="21"/>
                    </w:rPr>
                  </w:pPr>
                  <w:r>
                    <w:rPr>
                      <w:rFonts w:hint="eastAsia"/>
                      <w:bCs/>
                      <w:szCs w:val="21"/>
                    </w:rPr>
                    <w:t>80</w:t>
                  </w:r>
                </w:p>
              </w:tc>
              <w:tc>
                <w:tcPr>
                  <w:tcW w:w="551" w:type="pct"/>
                  <w:vAlign w:val="center"/>
                </w:tcPr>
                <w:p w14:paraId="543C0C80">
                  <w:pPr>
                    <w:jc w:val="center"/>
                    <w:rPr>
                      <w:bCs/>
                      <w:szCs w:val="21"/>
                    </w:rPr>
                  </w:pPr>
                  <w:r>
                    <w:rPr>
                      <w:bCs/>
                      <w:szCs w:val="21"/>
                    </w:rPr>
                    <w:t>达标</w:t>
                  </w:r>
                </w:p>
              </w:tc>
            </w:tr>
            <w:tr w14:paraId="6C6A3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0" w:type="pct"/>
                  <w:vAlign w:val="center"/>
                </w:tcPr>
                <w:p w14:paraId="70EDDAC4">
                  <w:pPr>
                    <w:jc w:val="center"/>
                    <w:rPr>
                      <w:bCs/>
                      <w:szCs w:val="21"/>
                    </w:rPr>
                  </w:pPr>
                  <w:r>
                    <w:rPr>
                      <w:bCs/>
                      <w:szCs w:val="21"/>
                    </w:rPr>
                    <w:t>PM</w:t>
                  </w:r>
                  <w:r>
                    <w:rPr>
                      <w:bCs/>
                      <w:szCs w:val="21"/>
                      <w:vertAlign w:val="subscript"/>
                    </w:rPr>
                    <w:t>10</w:t>
                  </w:r>
                </w:p>
              </w:tc>
              <w:tc>
                <w:tcPr>
                  <w:tcW w:w="1247" w:type="pct"/>
                  <w:vAlign w:val="center"/>
                </w:tcPr>
                <w:p w14:paraId="608F2329">
                  <w:pPr>
                    <w:jc w:val="center"/>
                    <w:rPr>
                      <w:snapToGrid w:val="0"/>
                      <w:szCs w:val="21"/>
                    </w:rPr>
                  </w:pPr>
                  <w:r>
                    <w:rPr>
                      <w:snapToGrid w:val="0"/>
                      <w:szCs w:val="21"/>
                    </w:rPr>
                    <w:t>年平均</w:t>
                  </w:r>
                </w:p>
              </w:tc>
              <w:tc>
                <w:tcPr>
                  <w:tcW w:w="806" w:type="pct"/>
                  <w:vAlign w:val="center"/>
                </w:tcPr>
                <w:p w14:paraId="01636360">
                  <w:pPr>
                    <w:jc w:val="center"/>
                    <w:rPr>
                      <w:snapToGrid w:val="0"/>
                      <w:szCs w:val="21"/>
                    </w:rPr>
                  </w:pPr>
                  <w:r>
                    <w:rPr>
                      <w:snapToGrid w:val="0"/>
                      <w:szCs w:val="21"/>
                    </w:rPr>
                    <w:t>70</w:t>
                  </w:r>
                </w:p>
              </w:tc>
              <w:tc>
                <w:tcPr>
                  <w:tcW w:w="781" w:type="pct"/>
                  <w:vAlign w:val="center"/>
                </w:tcPr>
                <w:p w14:paraId="6CE7831E">
                  <w:pPr>
                    <w:jc w:val="center"/>
                    <w:rPr>
                      <w:bCs/>
                      <w:szCs w:val="21"/>
                    </w:rPr>
                  </w:pPr>
                  <w:r>
                    <w:rPr>
                      <w:rFonts w:hint="eastAsia"/>
                      <w:bCs/>
                      <w:szCs w:val="21"/>
                    </w:rPr>
                    <w:t>52</w:t>
                  </w:r>
                </w:p>
              </w:tc>
              <w:tc>
                <w:tcPr>
                  <w:tcW w:w="725" w:type="pct"/>
                  <w:vAlign w:val="center"/>
                </w:tcPr>
                <w:p w14:paraId="2330B966">
                  <w:pPr>
                    <w:jc w:val="center"/>
                    <w:rPr>
                      <w:bCs/>
                      <w:szCs w:val="21"/>
                    </w:rPr>
                  </w:pPr>
                  <w:r>
                    <w:rPr>
                      <w:rFonts w:hint="eastAsia"/>
                      <w:bCs/>
                      <w:szCs w:val="21"/>
                    </w:rPr>
                    <w:t>74.3</w:t>
                  </w:r>
                </w:p>
              </w:tc>
              <w:tc>
                <w:tcPr>
                  <w:tcW w:w="551" w:type="pct"/>
                  <w:vAlign w:val="center"/>
                </w:tcPr>
                <w:p w14:paraId="028F0B32">
                  <w:pPr>
                    <w:jc w:val="center"/>
                    <w:rPr>
                      <w:bCs/>
                      <w:szCs w:val="21"/>
                    </w:rPr>
                  </w:pPr>
                  <w:r>
                    <w:rPr>
                      <w:bCs/>
                      <w:szCs w:val="21"/>
                    </w:rPr>
                    <w:t>达标</w:t>
                  </w:r>
                </w:p>
              </w:tc>
            </w:tr>
            <w:tr w14:paraId="45FE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0" w:type="pct"/>
                  <w:vAlign w:val="center"/>
                </w:tcPr>
                <w:p w14:paraId="3889FACB">
                  <w:pPr>
                    <w:jc w:val="center"/>
                    <w:rPr>
                      <w:bCs/>
                      <w:szCs w:val="21"/>
                    </w:rPr>
                  </w:pPr>
                  <w:r>
                    <w:rPr>
                      <w:bCs/>
                      <w:szCs w:val="21"/>
                    </w:rPr>
                    <w:t>PM</w:t>
                  </w:r>
                  <w:r>
                    <w:rPr>
                      <w:bCs/>
                      <w:szCs w:val="21"/>
                      <w:vertAlign w:val="subscript"/>
                    </w:rPr>
                    <w:t>2.5</w:t>
                  </w:r>
                </w:p>
              </w:tc>
              <w:tc>
                <w:tcPr>
                  <w:tcW w:w="1247" w:type="pct"/>
                  <w:vAlign w:val="center"/>
                </w:tcPr>
                <w:p w14:paraId="098B9821">
                  <w:pPr>
                    <w:jc w:val="center"/>
                    <w:rPr>
                      <w:snapToGrid w:val="0"/>
                      <w:szCs w:val="21"/>
                    </w:rPr>
                  </w:pPr>
                  <w:r>
                    <w:rPr>
                      <w:snapToGrid w:val="0"/>
                      <w:szCs w:val="21"/>
                    </w:rPr>
                    <w:t>年平均</w:t>
                  </w:r>
                </w:p>
              </w:tc>
              <w:tc>
                <w:tcPr>
                  <w:tcW w:w="806" w:type="pct"/>
                  <w:vAlign w:val="center"/>
                </w:tcPr>
                <w:p w14:paraId="781E7F5C">
                  <w:pPr>
                    <w:jc w:val="center"/>
                    <w:rPr>
                      <w:snapToGrid w:val="0"/>
                      <w:szCs w:val="21"/>
                    </w:rPr>
                  </w:pPr>
                  <w:r>
                    <w:rPr>
                      <w:snapToGrid w:val="0"/>
                      <w:szCs w:val="21"/>
                    </w:rPr>
                    <w:t>35</w:t>
                  </w:r>
                </w:p>
              </w:tc>
              <w:tc>
                <w:tcPr>
                  <w:tcW w:w="781" w:type="pct"/>
                  <w:vAlign w:val="center"/>
                </w:tcPr>
                <w:p w14:paraId="7BCF2EC1">
                  <w:pPr>
                    <w:jc w:val="center"/>
                    <w:rPr>
                      <w:snapToGrid w:val="0"/>
                      <w:szCs w:val="21"/>
                    </w:rPr>
                  </w:pPr>
                  <w:r>
                    <w:rPr>
                      <w:rFonts w:hint="eastAsia"/>
                      <w:snapToGrid w:val="0"/>
                      <w:szCs w:val="21"/>
                    </w:rPr>
                    <w:t>34</w:t>
                  </w:r>
                </w:p>
              </w:tc>
              <w:tc>
                <w:tcPr>
                  <w:tcW w:w="725" w:type="pct"/>
                  <w:vAlign w:val="center"/>
                </w:tcPr>
                <w:p w14:paraId="5B0729D0">
                  <w:pPr>
                    <w:jc w:val="center"/>
                    <w:rPr>
                      <w:bCs/>
                      <w:szCs w:val="21"/>
                    </w:rPr>
                  </w:pPr>
                  <w:r>
                    <w:rPr>
                      <w:rFonts w:hint="eastAsia"/>
                      <w:bCs/>
                      <w:szCs w:val="21"/>
                    </w:rPr>
                    <w:t>97.1</w:t>
                  </w:r>
                </w:p>
              </w:tc>
              <w:tc>
                <w:tcPr>
                  <w:tcW w:w="551" w:type="pct"/>
                  <w:vAlign w:val="center"/>
                </w:tcPr>
                <w:p w14:paraId="316AA3B0">
                  <w:pPr>
                    <w:jc w:val="center"/>
                    <w:rPr>
                      <w:bCs/>
                      <w:szCs w:val="21"/>
                    </w:rPr>
                  </w:pPr>
                  <w:r>
                    <w:rPr>
                      <w:bCs/>
                      <w:szCs w:val="21"/>
                    </w:rPr>
                    <w:t>达标</w:t>
                  </w:r>
                </w:p>
              </w:tc>
            </w:tr>
            <w:tr w14:paraId="73246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0" w:type="pct"/>
                  <w:vAlign w:val="center"/>
                </w:tcPr>
                <w:p w14:paraId="00D5D3C9">
                  <w:pPr>
                    <w:jc w:val="center"/>
                    <w:rPr>
                      <w:bCs/>
                      <w:szCs w:val="21"/>
                    </w:rPr>
                  </w:pPr>
                  <w:r>
                    <w:rPr>
                      <w:bCs/>
                      <w:szCs w:val="21"/>
                    </w:rPr>
                    <w:t>O</w:t>
                  </w:r>
                  <w:r>
                    <w:rPr>
                      <w:bCs/>
                      <w:szCs w:val="21"/>
                      <w:vertAlign w:val="subscript"/>
                    </w:rPr>
                    <w:t>3</w:t>
                  </w:r>
                </w:p>
              </w:tc>
              <w:tc>
                <w:tcPr>
                  <w:tcW w:w="1247" w:type="pct"/>
                  <w:vAlign w:val="center"/>
                </w:tcPr>
                <w:p w14:paraId="285CB189">
                  <w:pPr>
                    <w:jc w:val="center"/>
                    <w:rPr>
                      <w:snapToGrid w:val="0"/>
                      <w:szCs w:val="21"/>
                    </w:rPr>
                  </w:pPr>
                  <w:r>
                    <w:rPr>
                      <w:snapToGrid w:val="0"/>
                      <w:szCs w:val="21"/>
                    </w:rPr>
                    <w:t>日最大8h平均浓度</w:t>
                  </w:r>
                  <w:r>
                    <w:rPr>
                      <w:snapToGrid w:val="0"/>
                      <w:szCs w:val="21"/>
                    </w:rPr>
                    <w:cr/>
                  </w:r>
                  <w:r>
                    <w:rPr>
                      <w:snapToGrid w:val="0"/>
                      <w:szCs w:val="21"/>
                    </w:rPr>
                    <w:t>第90百分位数</w:t>
                  </w:r>
                </w:p>
              </w:tc>
              <w:tc>
                <w:tcPr>
                  <w:tcW w:w="806" w:type="pct"/>
                  <w:vAlign w:val="center"/>
                </w:tcPr>
                <w:p w14:paraId="416A1264">
                  <w:pPr>
                    <w:jc w:val="center"/>
                    <w:rPr>
                      <w:snapToGrid w:val="0"/>
                      <w:szCs w:val="21"/>
                    </w:rPr>
                  </w:pPr>
                  <w:r>
                    <w:rPr>
                      <w:snapToGrid w:val="0"/>
                      <w:szCs w:val="21"/>
                    </w:rPr>
                    <w:t>16</w:t>
                  </w:r>
                  <w:r>
                    <w:rPr>
                      <w:rFonts w:hint="eastAsia"/>
                      <w:snapToGrid w:val="0"/>
                      <w:szCs w:val="21"/>
                    </w:rPr>
                    <w:t>0</w:t>
                  </w:r>
                </w:p>
              </w:tc>
              <w:tc>
                <w:tcPr>
                  <w:tcW w:w="781" w:type="pct"/>
                  <w:vAlign w:val="center"/>
                </w:tcPr>
                <w:p w14:paraId="235E9617">
                  <w:pPr>
                    <w:jc w:val="center"/>
                    <w:rPr>
                      <w:snapToGrid w:val="0"/>
                      <w:szCs w:val="21"/>
                    </w:rPr>
                  </w:pPr>
                  <w:r>
                    <w:rPr>
                      <w:rFonts w:hint="eastAsia"/>
                      <w:snapToGrid w:val="0"/>
                      <w:szCs w:val="21"/>
                    </w:rPr>
                    <w:t>126</w:t>
                  </w:r>
                </w:p>
              </w:tc>
              <w:tc>
                <w:tcPr>
                  <w:tcW w:w="725" w:type="pct"/>
                  <w:vAlign w:val="center"/>
                </w:tcPr>
                <w:p w14:paraId="0F3B2E02">
                  <w:pPr>
                    <w:jc w:val="center"/>
                    <w:rPr>
                      <w:bCs/>
                      <w:szCs w:val="21"/>
                    </w:rPr>
                  </w:pPr>
                  <w:r>
                    <w:rPr>
                      <w:rFonts w:hint="eastAsia"/>
                      <w:bCs/>
                      <w:szCs w:val="21"/>
                    </w:rPr>
                    <w:t>78.8</w:t>
                  </w:r>
                </w:p>
              </w:tc>
              <w:tc>
                <w:tcPr>
                  <w:tcW w:w="551" w:type="pct"/>
                  <w:vAlign w:val="center"/>
                </w:tcPr>
                <w:p w14:paraId="1311BDB1">
                  <w:pPr>
                    <w:jc w:val="center"/>
                    <w:rPr>
                      <w:bCs/>
                      <w:szCs w:val="21"/>
                    </w:rPr>
                  </w:pPr>
                  <w:r>
                    <w:rPr>
                      <w:rFonts w:hint="eastAsia"/>
                      <w:bCs/>
                      <w:szCs w:val="21"/>
                    </w:rPr>
                    <w:t>达标</w:t>
                  </w:r>
                </w:p>
              </w:tc>
            </w:tr>
            <w:tr w14:paraId="61ED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0" w:type="pct"/>
                  <w:vAlign w:val="center"/>
                </w:tcPr>
                <w:p w14:paraId="20B503BB">
                  <w:pPr>
                    <w:jc w:val="center"/>
                    <w:rPr>
                      <w:bCs/>
                      <w:szCs w:val="21"/>
                    </w:rPr>
                  </w:pPr>
                  <w:r>
                    <w:rPr>
                      <w:bCs/>
                      <w:szCs w:val="21"/>
                    </w:rPr>
                    <w:t>CO（mg/m</w:t>
                  </w:r>
                  <w:r>
                    <w:rPr>
                      <w:bCs/>
                      <w:szCs w:val="21"/>
                      <w:vertAlign w:val="superscript"/>
                    </w:rPr>
                    <w:t>3</w:t>
                  </w:r>
                  <w:r>
                    <w:rPr>
                      <w:bCs/>
                      <w:szCs w:val="21"/>
                    </w:rPr>
                    <w:t>）</w:t>
                  </w:r>
                </w:p>
              </w:tc>
              <w:tc>
                <w:tcPr>
                  <w:tcW w:w="1247" w:type="pct"/>
                  <w:vAlign w:val="center"/>
                </w:tcPr>
                <w:p w14:paraId="07A0C406">
                  <w:pPr>
                    <w:jc w:val="center"/>
                    <w:rPr>
                      <w:snapToGrid w:val="0"/>
                      <w:szCs w:val="21"/>
                    </w:rPr>
                  </w:pPr>
                  <w:r>
                    <w:rPr>
                      <w:snapToGrid w:val="0"/>
                      <w:szCs w:val="21"/>
                    </w:rPr>
                    <w:t>日均浓度的第95百分位数</w:t>
                  </w:r>
                </w:p>
              </w:tc>
              <w:tc>
                <w:tcPr>
                  <w:tcW w:w="806" w:type="pct"/>
                  <w:vAlign w:val="center"/>
                </w:tcPr>
                <w:p w14:paraId="6DDFBE43">
                  <w:pPr>
                    <w:jc w:val="center"/>
                    <w:rPr>
                      <w:snapToGrid w:val="0"/>
                      <w:szCs w:val="21"/>
                    </w:rPr>
                  </w:pPr>
                  <w:r>
                    <w:rPr>
                      <w:snapToGrid w:val="0"/>
                      <w:szCs w:val="21"/>
                    </w:rPr>
                    <w:t>4</w:t>
                  </w:r>
                </w:p>
              </w:tc>
              <w:tc>
                <w:tcPr>
                  <w:tcW w:w="781" w:type="pct"/>
                  <w:vAlign w:val="center"/>
                </w:tcPr>
                <w:p w14:paraId="62B53CEA">
                  <w:pPr>
                    <w:jc w:val="center"/>
                    <w:rPr>
                      <w:snapToGrid w:val="0"/>
                      <w:szCs w:val="21"/>
                    </w:rPr>
                  </w:pPr>
                  <w:r>
                    <w:rPr>
                      <w:rFonts w:hint="eastAsia"/>
                      <w:snapToGrid w:val="0"/>
                      <w:szCs w:val="21"/>
                    </w:rPr>
                    <w:t>1.2</w:t>
                  </w:r>
                </w:p>
              </w:tc>
              <w:tc>
                <w:tcPr>
                  <w:tcW w:w="725" w:type="pct"/>
                  <w:vAlign w:val="center"/>
                </w:tcPr>
                <w:p w14:paraId="4F12FA90">
                  <w:pPr>
                    <w:jc w:val="center"/>
                    <w:rPr>
                      <w:bCs/>
                      <w:szCs w:val="21"/>
                    </w:rPr>
                  </w:pPr>
                  <w:r>
                    <w:rPr>
                      <w:rFonts w:hint="eastAsia"/>
                      <w:bCs/>
                      <w:szCs w:val="21"/>
                    </w:rPr>
                    <w:t>30</w:t>
                  </w:r>
                </w:p>
              </w:tc>
              <w:tc>
                <w:tcPr>
                  <w:tcW w:w="551" w:type="pct"/>
                  <w:vAlign w:val="center"/>
                </w:tcPr>
                <w:p w14:paraId="4863B5D3">
                  <w:pPr>
                    <w:jc w:val="center"/>
                    <w:rPr>
                      <w:bCs/>
                      <w:szCs w:val="21"/>
                    </w:rPr>
                  </w:pPr>
                  <w:r>
                    <w:rPr>
                      <w:bCs/>
                      <w:szCs w:val="21"/>
                    </w:rPr>
                    <w:t>达标</w:t>
                  </w:r>
                </w:p>
              </w:tc>
            </w:tr>
          </w:tbl>
          <w:p w14:paraId="0226A8C3">
            <w:pPr>
              <w:spacing w:line="480" w:lineRule="exact"/>
              <w:ind w:firstLine="480" w:firstLineChars="200"/>
              <w:rPr>
                <w:sz w:val="24"/>
              </w:rPr>
            </w:pPr>
            <w:r>
              <w:rPr>
                <w:sz w:val="24"/>
              </w:rPr>
              <w:t>由表</w:t>
            </w:r>
            <w:r>
              <w:rPr>
                <w:rFonts w:hint="eastAsia"/>
                <w:sz w:val="24"/>
              </w:rPr>
              <w:t>3.1</w:t>
            </w:r>
            <w:r>
              <w:rPr>
                <w:sz w:val="24"/>
              </w:rPr>
              <w:t>-</w:t>
            </w:r>
            <w:r>
              <w:rPr>
                <w:rFonts w:hint="eastAsia"/>
                <w:sz w:val="24"/>
              </w:rPr>
              <w:t>1</w:t>
            </w:r>
            <w:r>
              <w:rPr>
                <w:sz w:val="24"/>
              </w:rPr>
              <w:t>可知，</w:t>
            </w:r>
            <w:r>
              <w:rPr>
                <w:rFonts w:hint="eastAsia"/>
                <w:sz w:val="24"/>
              </w:rPr>
              <w:t>涪陵区</w:t>
            </w:r>
            <w:r>
              <w:rPr>
                <w:sz w:val="24"/>
              </w:rPr>
              <w:t xml:space="preserve"> SO</w:t>
            </w:r>
            <w:r>
              <w:rPr>
                <w:sz w:val="24"/>
                <w:vertAlign w:val="subscript"/>
              </w:rPr>
              <w:t>2</w:t>
            </w:r>
            <w:r>
              <w:rPr>
                <w:sz w:val="24"/>
              </w:rPr>
              <w:t>、NO</w:t>
            </w:r>
            <w:r>
              <w:rPr>
                <w:sz w:val="24"/>
                <w:vertAlign w:val="subscript"/>
              </w:rPr>
              <w:t>2</w:t>
            </w:r>
            <w:r>
              <w:rPr>
                <w:rFonts w:hint="eastAsia"/>
                <w:sz w:val="24"/>
              </w:rPr>
              <w:t>、</w:t>
            </w:r>
            <w:r>
              <w:rPr>
                <w:sz w:val="24"/>
              </w:rPr>
              <w:t>PM</w:t>
            </w:r>
            <w:r>
              <w:rPr>
                <w:sz w:val="24"/>
                <w:vertAlign w:val="subscript"/>
              </w:rPr>
              <w:t>2.5</w:t>
            </w:r>
            <w:r>
              <w:rPr>
                <w:rFonts w:hint="eastAsia"/>
                <w:sz w:val="24"/>
              </w:rPr>
              <w:t>、</w:t>
            </w:r>
            <w:r>
              <w:rPr>
                <w:sz w:val="24"/>
              </w:rPr>
              <w:t>PM</w:t>
            </w:r>
            <w:r>
              <w:rPr>
                <w:sz w:val="24"/>
                <w:vertAlign w:val="subscript"/>
              </w:rPr>
              <w:t>10</w:t>
            </w:r>
            <w:r>
              <w:rPr>
                <w:sz w:val="24"/>
              </w:rPr>
              <w:t>、O</w:t>
            </w:r>
            <w:r>
              <w:rPr>
                <w:sz w:val="24"/>
                <w:vertAlign w:val="subscript"/>
              </w:rPr>
              <w:t>3</w:t>
            </w:r>
            <w:r>
              <w:rPr>
                <w:rFonts w:hint="eastAsia"/>
                <w:sz w:val="24"/>
              </w:rPr>
              <w:t>和</w:t>
            </w:r>
            <w:r>
              <w:rPr>
                <w:sz w:val="24"/>
              </w:rPr>
              <w:t>CO</w:t>
            </w:r>
            <w:r>
              <w:rPr>
                <w:rFonts w:hint="eastAsia"/>
                <w:sz w:val="24"/>
              </w:rPr>
              <w:t>浓度均</w:t>
            </w:r>
            <w:r>
              <w:rPr>
                <w:sz w:val="24"/>
              </w:rPr>
              <w:t>满足《环境空气质量标准》（GB3095-2012）二级标准</w:t>
            </w:r>
            <w:r>
              <w:rPr>
                <w:rFonts w:hint="eastAsia"/>
                <w:sz w:val="24"/>
              </w:rPr>
              <w:t>要求，判断区域环境空气质量涪陵区为达标区。</w:t>
            </w:r>
          </w:p>
          <w:p w14:paraId="2365CB17">
            <w:pPr>
              <w:pStyle w:val="10"/>
              <w:spacing w:line="480" w:lineRule="exact"/>
              <w:rPr>
                <w:rFonts w:ascii="Times New Roman" w:hAnsi="宋体" w:cs="Courier New"/>
                <w:b/>
                <w:sz w:val="24"/>
                <w:szCs w:val="24"/>
              </w:rPr>
            </w:pPr>
            <w:r>
              <w:rPr>
                <w:rFonts w:hint="eastAsia" w:ascii="Times New Roman" w:hAnsi="宋体" w:cs="Courier New"/>
                <w:b/>
                <w:sz w:val="24"/>
                <w:szCs w:val="24"/>
              </w:rPr>
              <w:t>3.1.2 特征因子环境空气质量现状</w:t>
            </w:r>
          </w:p>
          <w:p w14:paraId="171F091A">
            <w:pPr>
              <w:adjustRightInd w:val="0"/>
              <w:snapToGrid w:val="0"/>
              <w:spacing w:line="480" w:lineRule="exact"/>
              <w:ind w:firstLine="472" w:firstLineChars="200"/>
              <w:rPr>
                <w:spacing w:val="-2"/>
                <w:position w:val="2"/>
                <w:sz w:val="24"/>
              </w:rPr>
            </w:pPr>
            <w:r>
              <w:rPr>
                <w:rFonts w:hint="eastAsia"/>
                <w:spacing w:val="-2"/>
                <w:position w:val="2"/>
                <w:sz w:val="24"/>
              </w:rPr>
              <w:t>本次非甲烷总烃环境质量评价引用</w:t>
            </w:r>
            <w:r>
              <w:rPr>
                <w:rFonts w:hint="eastAsia" w:cs="宋体"/>
                <w:sz w:val="24"/>
              </w:rPr>
              <w:t>《重庆江陶科技有限公司年产3亿件电子烟陶瓷雾化芯核心部件一期生产项目环境现状监测报告》（中机检测（环）检字[2020]第HP096号）中监测数据</w:t>
            </w:r>
            <w:r>
              <w:rPr>
                <w:rFonts w:hint="eastAsia"/>
                <w:spacing w:val="-2"/>
                <w:position w:val="2"/>
                <w:sz w:val="24"/>
              </w:rPr>
              <w:t>，监测点位于拟建项目东南侧约300米处，监测时间为20</w:t>
            </w:r>
            <w:r>
              <w:rPr>
                <w:spacing w:val="-2"/>
                <w:position w:val="2"/>
                <w:sz w:val="24"/>
              </w:rPr>
              <w:t>20</w:t>
            </w:r>
            <w:r>
              <w:rPr>
                <w:rFonts w:hint="eastAsia"/>
                <w:spacing w:val="-2"/>
                <w:position w:val="2"/>
                <w:sz w:val="24"/>
              </w:rPr>
              <w:t>年9月2日~</w:t>
            </w:r>
            <w:r>
              <w:rPr>
                <w:spacing w:val="-2"/>
                <w:position w:val="2"/>
                <w:sz w:val="24"/>
              </w:rPr>
              <w:t>2020</w:t>
            </w:r>
            <w:r>
              <w:rPr>
                <w:rFonts w:hint="eastAsia"/>
                <w:spacing w:val="-2"/>
                <w:position w:val="2"/>
                <w:sz w:val="24"/>
              </w:rPr>
              <w:t>年9月3日，监测时间未超过3年</w:t>
            </w:r>
            <w:r>
              <w:rPr>
                <w:spacing w:val="-2"/>
                <w:position w:val="2"/>
                <w:sz w:val="24"/>
              </w:rPr>
              <w:t>。</w:t>
            </w:r>
            <w:r>
              <w:rPr>
                <w:rFonts w:hint="eastAsia"/>
                <w:spacing w:val="-2"/>
                <w:position w:val="2"/>
                <w:sz w:val="24"/>
              </w:rPr>
              <w:t>且</w:t>
            </w:r>
            <w:r>
              <w:rPr>
                <w:spacing w:val="-2"/>
                <w:position w:val="2"/>
                <w:sz w:val="24"/>
              </w:rPr>
              <w:t>监测至今拟建项目周围</w:t>
            </w:r>
            <w:r>
              <w:rPr>
                <w:rFonts w:hint="eastAsia"/>
                <w:spacing w:val="-2"/>
                <w:position w:val="2"/>
                <w:sz w:val="24"/>
              </w:rPr>
              <w:t>基本</w:t>
            </w:r>
            <w:r>
              <w:rPr>
                <w:spacing w:val="-2"/>
                <w:position w:val="2"/>
                <w:sz w:val="24"/>
              </w:rPr>
              <w:t>无新增污染源，区域环境空气环境本底值未发生明显变化，故本评价引用上述监测数据有效。</w:t>
            </w:r>
          </w:p>
          <w:p w14:paraId="5E0E6D19">
            <w:pPr>
              <w:adjustRightInd w:val="0"/>
              <w:snapToGrid w:val="0"/>
              <w:spacing w:line="480" w:lineRule="exact"/>
              <w:ind w:firstLine="472" w:firstLineChars="200"/>
              <w:rPr>
                <w:spacing w:val="-2"/>
                <w:position w:val="2"/>
                <w:sz w:val="24"/>
              </w:rPr>
            </w:pPr>
            <w:r>
              <w:rPr>
                <w:rFonts w:hint="eastAsia"/>
                <w:spacing w:val="-2"/>
                <w:position w:val="2"/>
                <w:sz w:val="24"/>
              </w:rPr>
              <w:t>（1）</w:t>
            </w:r>
            <w:r>
              <w:rPr>
                <w:spacing w:val="-2"/>
                <w:position w:val="2"/>
                <w:sz w:val="24"/>
              </w:rPr>
              <w:t>监测</w:t>
            </w:r>
            <w:r>
              <w:rPr>
                <w:rFonts w:hint="eastAsia"/>
                <w:spacing w:val="-2"/>
                <w:position w:val="2"/>
                <w:sz w:val="24"/>
              </w:rPr>
              <w:t>项目</w:t>
            </w:r>
          </w:p>
          <w:p w14:paraId="03939017">
            <w:pPr>
              <w:adjustRightInd w:val="0"/>
              <w:snapToGrid w:val="0"/>
              <w:spacing w:line="480" w:lineRule="exact"/>
              <w:ind w:firstLine="472" w:firstLineChars="200"/>
              <w:rPr>
                <w:spacing w:val="-2"/>
                <w:position w:val="2"/>
                <w:sz w:val="24"/>
              </w:rPr>
            </w:pPr>
            <w:r>
              <w:rPr>
                <w:rFonts w:hint="eastAsia"/>
                <w:spacing w:val="-2"/>
                <w:position w:val="2"/>
                <w:sz w:val="24"/>
              </w:rPr>
              <w:t>非甲烷总烃</w:t>
            </w:r>
          </w:p>
          <w:p w14:paraId="7FBBD0BD">
            <w:pPr>
              <w:adjustRightInd w:val="0"/>
              <w:snapToGrid w:val="0"/>
              <w:spacing w:line="480" w:lineRule="exact"/>
              <w:ind w:firstLine="472" w:firstLineChars="200"/>
              <w:rPr>
                <w:spacing w:val="-2"/>
                <w:position w:val="2"/>
                <w:sz w:val="24"/>
              </w:rPr>
            </w:pPr>
            <w:r>
              <w:rPr>
                <w:rFonts w:hint="eastAsia"/>
                <w:spacing w:val="-2"/>
                <w:position w:val="2"/>
                <w:sz w:val="24"/>
              </w:rPr>
              <w:t>（2）</w:t>
            </w:r>
            <w:r>
              <w:rPr>
                <w:spacing w:val="-2"/>
                <w:position w:val="2"/>
                <w:sz w:val="24"/>
              </w:rPr>
              <w:t>监测频率</w:t>
            </w:r>
          </w:p>
          <w:p w14:paraId="4AAA9DEC">
            <w:pPr>
              <w:adjustRightInd w:val="0"/>
              <w:snapToGrid w:val="0"/>
              <w:spacing w:line="480" w:lineRule="exact"/>
              <w:ind w:firstLine="472" w:firstLineChars="200"/>
              <w:rPr>
                <w:spacing w:val="-2"/>
                <w:position w:val="2"/>
                <w:sz w:val="24"/>
              </w:rPr>
            </w:pPr>
            <w:r>
              <w:rPr>
                <w:spacing w:val="-2"/>
                <w:position w:val="2"/>
                <w:sz w:val="24"/>
              </w:rPr>
              <w:t>非甲烷总烃连续监测7天，</w:t>
            </w:r>
            <w:r>
              <w:rPr>
                <w:rFonts w:hint="eastAsia"/>
                <w:spacing w:val="-2"/>
                <w:position w:val="2"/>
                <w:sz w:val="24"/>
              </w:rPr>
              <w:t>每天监测4次。</w:t>
            </w:r>
          </w:p>
          <w:p w14:paraId="44DC7B9C">
            <w:pPr>
              <w:adjustRightInd w:val="0"/>
              <w:snapToGrid w:val="0"/>
              <w:spacing w:line="480" w:lineRule="exact"/>
              <w:ind w:firstLine="472" w:firstLineChars="200"/>
              <w:rPr>
                <w:spacing w:val="-2"/>
                <w:position w:val="2"/>
                <w:sz w:val="24"/>
              </w:rPr>
            </w:pPr>
            <w:r>
              <w:rPr>
                <w:rFonts w:hint="eastAsia"/>
                <w:spacing w:val="-2"/>
                <w:position w:val="2"/>
                <w:sz w:val="24"/>
              </w:rPr>
              <w:t>（3）</w:t>
            </w:r>
            <w:r>
              <w:rPr>
                <w:spacing w:val="-2"/>
                <w:position w:val="2"/>
                <w:sz w:val="24"/>
              </w:rPr>
              <w:t>监测结果分析评价</w:t>
            </w:r>
          </w:p>
          <w:p w14:paraId="7690188D">
            <w:pPr>
              <w:adjustRightInd w:val="0"/>
              <w:snapToGrid w:val="0"/>
              <w:spacing w:line="480" w:lineRule="exact"/>
              <w:ind w:firstLine="480" w:firstLineChars="200"/>
              <w:rPr>
                <w:sz w:val="24"/>
              </w:rPr>
            </w:pPr>
            <w:r>
              <w:rPr>
                <w:sz w:val="24"/>
              </w:rPr>
              <w:t>采用最大占标率进行评价，</w:t>
            </w:r>
            <w:r>
              <w:rPr>
                <w:rFonts w:hint="eastAsia"/>
                <w:sz w:val="24"/>
              </w:rPr>
              <w:t>计算</w:t>
            </w:r>
            <w:r>
              <w:rPr>
                <w:sz w:val="24"/>
              </w:rPr>
              <w:t>公式如下：</w:t>
            </w:r>
          </w:p>
          <w:p w14:paraId="3A198A14">
            <w:pPr>
              <w:adjustRightInd w:val="0"/>
              <w:snapToGrid w:val="0"/>
              <w:spacing w:line="360" w:lineRule="auto"/>
              <w:jc w:val="center"/>
              <w:rPr>
                <w:sz w:val="24"/>
              </w:rPr>
            </w:pPr>
            <w:r>
              <w:rPr>
                <w:sz w:val="24"/>
              </w:rPr>
              <w:object>
                <v:shape id="_x0000_i1025" o:spt="75" type="#_x0000_t75" style="height:36pt;width:79.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56B00163">
            <w:pPr>
              <w:adjustRightInd w:val="0"/>
              <w:snapToGrid w:val="0"/>
              <w:spacing w:line="480" w:lineRule="exact"/>
              <w:ind w:firstLine="480" w:firstLineChars="200"/>
              <w:rPr>
                <w:sz w:val="24"/>
              </w:rPr>
            </w:pPr>
            <w:r>
              <w:rPr>
                <w:rFonts w:hint="eastAsia"/>
                <w:sz w:val="24"/>
              </w:rPr>
              <w:t>式中：P</w:t>
            </w:r>
            <w:r>
              <w:rPr>
                <w:rFonts w:hint="eastAsia"/>
                <w:sz w:val="24"/>
                <w:vertAlign w:val="subscript"/>
              </w:rPr>
              <w:t>i</w:t>
            </w:r>
            <w:r>
              <w:rPr>
                <w:rFonts w:hint="eastAsia"/>
                <w:sz w:val="24"/>
              </w:rPr>
              <w:t>为占标率，%；</w:t>
            </w:r>
          </w:p>
          <w:p w14:paraId="6B630125">
            <w:pPr>
              <w:adjustRightInd w:val="0"/>
              <w:snapToGrid w:val="0"/>
              <w:spacing w:line="480" w:lineRule="exact"/>
              <w:ind w:firstLine="1200" w:firstLineChars="500"/>
              <w:rPr>
                <w:sz w:val="24"/>
              </w:rPr>
            </w:pPr>
            <w:r>
              <w:rPr>
                <w:rFonts w:hint="eastAsia"/>
                <w:sz w:val="24"/>
              </w:rPr>
              <w:t>C</w:t>
            </w:r>
            <w:r>
              <w:rPr>
                <w:rFonts w:hint="eastAsia"/>
                <w:sz w:val="24"/>
                <w:vertAlign w:val="subscript"/>
              </w:rPr>
              <w:t>i</w:t>
            </w:r>
            <w:r>
              <w:rPr>
                <w:rFonts w:hint="eastAsia"/>
                <w:sz w:val="24"/>
              </w:rPr>
              <w:t>为污染物的监测值，</w:t>
            </w:r>
            <w:r>
              <w:rPr>
                <w:sz w:val="24"/>
              </w:rPr>
              <w:t>μ</w:t>
            </w:r>
            <w:r>
              <w:rPr>
                <w:rFonts w:hint="eastAsia"/>
                <w:sz w:val="24"/>
              </w:rPr>
              <w:t>g/m</w:t>
            </w:r>
            <w:r>
              <w:rPr>
                <w:rFonts w:hint="eastAsia"/>
                <w:sz w:val="24"/>
                <w:vertAlign w:val="superscript"/>
              </w:rPr>
              <w:t>3</w:t>
            </w:r>
            <w:r>
              <w:rPr>
                <w:rFonts w:hint="eastAsia"/>
                <w:sz w:val="24"/>
              </w:rPr>
              <w:t>；</w:t>
            </w:r>
          </w:p>
          <w:p w14:paraId="11101591">
            <w:pPr>
              <w:adjustRightInd w:val="0"/>
              <w:snapToGrid w:val="0"/>
              <w:spacing w:line="480" w:lineRule="exact"/>
              <w:ind w:firstLine="1200" w:firstLineChars="500"/>
              <w:rPr>
                <w:sz w:val="24"/>
              </w:rPr>
            </w:pPr>
            <w:r>
              <w:rPr>
                <w:rFonts w:hint="eastAsia"/>
                <w:sz w:val="24"/>
              </w:rPr>
              <w:t>S</w:t>
            </w:r>
            <w:r>
              <w:rPr>
                <w:rFonts w:hint="eastAsia"/>
                <w:sz w:val="24"/>
                <w:vertAlign w:val="subscript"/>
              </w:rPr>
              <w:t>i</w:t>
            </w:r>
            <w:r>
              <w:rPr>
                <w:rFonts w:hint="eastAsia"/>
                <w:sz w:val="24"/>
              </w:rPr>
              <w:t>为污染物在环境空气中相应标准值，</w:t>
            </w:r>
            <w:r>
              <w:rPr>
                <w:sz w:val="24"/>
              </w:rPr>
              <w:t>μ</w:t>
            </w:r>
            <w:r>
              <w:rPr>
                <w:rFonts w:hint="eastAsia"/>
                <w:sz w:val="24"/>
              </w:rPr>
              <w:t>g/m</w:t>
            </w:r>
            <w:r>
              <w:rPr>
                <w:rFonts w:hint="eastAsia"/>
                <w:sz w:val="24"/>
                <w:vertAlign w:val="superscript"/>
              </w:rPr>
              <w:t>3</w:t>
            </w:r>
            <w:r>
              <w:rPr>
                <w:rFonts w:hint="eastAsia"/>
                <w:sz w:val="24"/>
              </w:rPr>
              <w:t>。</w:t>
            </w:r>
          </w:p>
          <w:p w14:paraId="7BC80C0A">
            <w:pPr>
              <w:adjustRightInd w:val="0"/>
              <w:snapToGrid w:val="0"/>
              <w:spacing w:line="480" w:lineRule="exact"/>
              <w:ind w:firstLine="472" w:firstLineChars="200"/>
              <w:rPr>
                <w:spacing w:val="-2"/>
                <w:position w:val="2"/>
                <w:sz w:val="24"/>
              </w:rPr>
            </w:pPr>
            <w:r>
              <w:rPr>
                <w:rFonts w:hint="eastAsia"/>
                <w:spacing w:val="-2"/>
                <w:position w:val="2"/>
                <w:sz w:val="24"/>
              </w:rPr>
              <w:t>（4）</w:t>
            </w:r>
            <w:r>
              <w:rPr>
                <w:spacing w:val="-2"/>
                <w:position w:val="2"/>
                <w:sz w:val="24"/>
              </w:rPr>
              <w:t>评价结果</w:t>
            </w:r>
          </w:p>
          <w:p w14:paraId="30029F5A">
            <w:pPr>
              <w:spacing w:line="480" w:lineRule="exact"/>
              <w:jc w:val="center"/>
              <w:rPr>
                <w:b/>
                <w:szCs w:val="21"/>
              </w:rPr>
            </w:pPr>
            <w:r>
              <w:rPr>
                <w:rFonts w:hAnsi="宋体"/>
                <w:b/>
                <w:szCs w:val="21"/>
              </w:rPr>
              <w:t>表</w:t>
            </w:r>
            <w:r>
              <w:rPr>
                <w:b/>
                <w:szCs w:val="21"/>
              </w:rPr>
              <w:t>3.1-</w:t>
            </w:r>
            <w:r>
              <w:rPr>
                <w:rFonts w:hint="eastAsia"/>
                <w:b/>
                <w:szCs w:val="21"/>
              </w:rPr>
              <w:t>2</w:t>
            </w:r>
            <w:r>
              <w:rPr>
                <w:b/>
                <w:szCs w:val="21"/>
              </w:rPr>
              <w:t xml:space="preserve">   </w:t>
            </w:r>
            <w:r>
              <w:rPr>
                <w:rFonts w:hAnsi="宋体"/>
                <w:b/>
                <w:szCs w:val="21"/>
              </w:rPr>
              <w:t>其他污染物环境质量现状（监测结果）表</w:t>
            </w:r>
            <w:r>
              <w:rPr>
                <w:b/>
                <w:szCs w:val="21"/>
              </w:rPr>
              <w:t xml:space="preserve">  mg/m</w:t>
            </w:r>
            <w:r>
              <w:rPr>
                <w:b/>
                <w:szCs w:val="21"/>
                <w:vertAlign w:val="superscript"/>
              </w:rPr>
              <w:t>3</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1134"/>
              <w:gridCol w:w="1701"/>
              <w:gridCol w:w="1453"/>
              <w:gridCol w:w="1524"/>
              <w:gridCol w:w="855"/>
            </w:tblGrid>
            <w:tr w14:paraId="3F00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73992F14">
                  <w:pPr>
                    <w:adjustRightInd w:val="0"/>
                    <w:snapToGrid w:val="0"/>
                    <w:jc w:val="center"/>
                    <w:rPr>
                      <w:szCs w:val="21"/>
                    </w:rPr>
                  </w:pPr>
                  <w:r>
                    <w:rPr>
                      <w:szCs w:val="21"/>
                    </w:rPr>
                    <w:t>监测项目</w:t>
                  </w:r>
                </w:p>
              </w:tc>
              <w:tc>
                <w:tcPr>
                  <w:tcW w:w="1134" w:type="dxa"/>
                  <w:tcBorders>
                    <w:top w:val="single" w:color="auto" w:sz="4" w:space="0"/>
                    <w:left w:val="single" w:color="auto" w:sz="4" w:space="0"/>
                    <w:bottom w:val="single" w:color="auto" w:sz="4" w:space="0"/>
                    <w:right w:val="single" w:color="auto" w:sz="4" w:space="0"/>
                  </w:tcBorders>
                  <w:vAlign w:val="center"/>
                </w:tcPr>
                <w:p w14:paraId="67CF8B4D">
                  <w:pPr>
                    <w:adjustRightInd w:val="0"/>
                    <w:snapToGrid w:val="0"/>
                    <w:jc w:val="center"/>
                    <w:rPr>
                      <w:szCs w:val="21"/>
                    </w:rPr>
                  </w:pPr>
                  <w:r>
                    <w:rPr>
                      <w:szCs w:val="21"/>
                    </w:rPr>
                    <w:t>平均时间</w:t>
                  </w:r>
                </w:p>
              </w:tc>
              <w:tc>
                <w:tcPr>
                  <w:tcW w:w="1701" w:type="dxa"/>
                  <w:tcBorders>
                    <w:top w:val="single" w:color="auto" w:sz="4" w:space="0"/>
                    <w:left w:val="single" w:color="auto" w:sz="4" w:space="0"/>
                    <w:bottom w:val="single" w:color="auto" w:sz="4" w:space="0"/>
                    <w:right w:val="single" w:color="auto" w:sz="4" w:space="0"/>
                  </w:tcBorders>
                  <w:vAlign w:val="center"/>
                </w:tcPr>
                <w:p w14:paraId="4068F568">
                  <w:pPr>
                    <w:adjustRightInd w:val="0"/>
                    <w:snapToGrid w:val="0"/>
                    <w:jc w:val="center"/>
                    <w:rPr>
                      <w:szCs w:val="21"/>
                    </w:rPr>
                  </w:pPr>
                  <w:r>
                    <w:rPr>
                      <w:szCs w:val="21"/>
                    </w:rPr>
                    <w:t>评价标准</w:t>
                  </w:r>
                  <w:r>
                    <w:rPr>
                      <w:rFonts w:hint="eastAsia"/>
                      <w:szCs w:val="21"/>
                    </w:rPr>
                    <w:t>（</w:t>
                  </w:r>
                  <w:r>
                    <w:rPr>
                      <w:szCs w:val="21"/>
                    </w:rPr>
                    <w:t>ug/m</w:t>
                  </w:r>
                  <w:r>
                    <w:rPr>
                      <w:szCs w:val="21"/>
                      <w:vertAlign w:val="superscript"/>
                    </w:rPr>
                    <w:t>3</w:t>
                  </w:r>
                  <w:r>
                    <w:rPr>
                      <w:rFonts w:hint="eastAsia"/>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14:paraId="2EAEA70F">
                  <w:pPr>
                    <w:adjustRightInd w:val="0"/>
                    <w:snapToGrid w:val="0"/>
                    <w:jc w:val="center"/>
                    <w:rPr>
                      <w:szCs w:val="21"/>
                    </w:rPr>
                  </w:pPr>
                  <w:r>
                    <w:rPr>
                      <w:szCs w:val="21"/>
                    </w:rPr>
                    <w:t>浓度范围</w:t>
                  </w:r>
                  <w:r>
                    <w:rPr>
                      <w:rFonts w:hint="eastAsia"/>
                      <w:szCs w:val="21"/>
                    </w:rPr>
                    <w:t>（</w:t>
                  </w:r>
                  <w:r>
                    <w:rPr>
                      <w:szCs w:val="21"/>
                    </w:rPr>
                    <w:t>ug/m</w:t>
                  </w:r>
                  <w:r>
                    <w:rPr>
                      <w:szCs w:val="21"/>
                      <w:vertAlign w:val="superscript"/>
                    </w:rPr>
                    <w:t>3</w:t>
                  </w:r>
                  <w:r>
                    <w:rPr>
                      <w:rFonts w:hint="eastAsia"/>
                      <w:szCs w:val="21"/>
                    </w:rPr>
                    <w:t>）</w:t>
                  </w:r>
                </w:p>
              </w:tc>
              <w:tc>
                <w:tcPr>
                  <w:tcW w:w="1524" w:type="dxa"/>
                  <w:tcBorders>
                    <w:top w:val="single" w:color="auto" w:sz="4" w:space="0"/>
                    <w:left w:val="single" w:color="auto" w:sz="4" w:space="0"/>
                    <w:bottom w:val="single" w:color="auto" w:sz="4" w:space="0"/>
                    <w:right w:val="single" w:color="auto" w:sz="4" w:space="0"/>
                  </w:tcBorders>
                  <w:vAlign w:val="center"/>
                </w:tcPr>
                <w:p w14:paraId="03795380">
                  <w:pPr>
                    <w:adjustRightInd w:val="0"/>
                    <w:snapToGrid w:val="0"/>
                    <w:jc w:val="center"/>
                    <w:rPr>
                      <w:szCs w:val="21"/>
                    </w:rPr>
                  </w:pPr>
                  <w:r>
                    <w:rPr>
                      <w:szCs w:val="21"/>
                    </w:rPr>
                    <w:t>最大占标率（%）</w:t>
                  </w:r>
                </w:p>
              </w:tc>
              <w:tc>
                <w:tcPr>
                  <w:tcW w:w="855" w:type="dxa"/>
                  <w:tcBorders>
                    <w:top w:val="single" w:color="auto" w:sz="4" w:space="0"/>
                    <w:left w:val="single" w:color="auto" w:sz="4" w:space="0"/>
                    <w:bottom w:val="single" w:color="auto" w:sz="4" w:space="0"/>
                    <w:right w:val="single" w:color="auto" w:sz="4" w:space="0"/>
                  </w:tcBorders>
                  <w:vAlign w:val="center"/>
                </w:tcPr>
                <w:p w14:paraId="02F86F8E">
                  <w:pPr>
                    <w:adjustRightInd w:val="0"/>
                    <w:snapToGrid w:val="0"/>
                    <w:jc w:val="center"/>
                    <w:rPr>
                      <w:szCs w:val="21"/>
                    </w:rPr>
                  </w:pPr>
                  <w:r>
                    <w:rPr>
                      <w:szCs w:val="21"/>
                    </w:rPr>
                    <w:t>超标率</w:t>
                  </w:r>
                </w:p>
              </w:tc>
            </w:tr>
            <w:tr w14:paraId="64DA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0" w:type="dxa"/>
                  <w:tcBorders>
                    <w:top w:val="single" w:color="auto" w:sz="4" w:space="0"/>
                    <w:left w:val="single" w:color="auto" w:sz="4" w:space="0"/>
                    <w:bottom w:val="single" w:color="auto" w:sz="4" w:space="0"/>
                    <w:right w:val="single" w:color="auto" w:sz="4" w:space="0"/>
                  </w:tcBorders>
                  <w:vAlign w:val="center"/>
                </w:tcPr>
                <w:p w14:paraId="25C84369">
                  <w:pPr>
                    <w:adjustRightInd w:val="0"/>
                    <w:snapToGrid w:val="0"/>
                    <w:jc w:val="center"/>
                    <w:rPr>
                      <w:szCs w:val="21"/>
                    </w:rPr>
                  </w:pPr>
                  <w:r>
                    <w:rPr>
                      <w:rFonts w:hint="eastAsia"/>
                      <w:szCs w:val="21"/>
                    </w:rPr>
                    <w:t>非甲烷总烃</w:t>
                  </w:r>
                </w:p>
              </w:tc>
              <w:tc>
                <w:tcPr>
                  <w:tcW w:w="1134" w:type="dxa"/>
                  <w:tcBorders>
                    <w:top w:val="single" w:color="auto" w:sz="4" w:space="0"/>
                    <w:left w:val="single" w:color="auto" w:sz="4" w:space="0"/>
                    <w:bottom w:val="single" w:color="auto" w:sz="4" w:space="0"/>
                    <w:right w:val="single" w:color="auto" w:sz="4" w:space="0"/>
                  </w:tcBorders>
                  <w:vAlign w:val="center"/>
                </w:tcPr>
                <w:p w14:paraId="367D1B16">
                  <w:pPr>
                    <w:adjustRightInd w:val="0"/>
                    <w:snapToGrid w:val="0"/>
                    <w:jc w:val="center"/>
                    <w:rPr>
                      <w:szCs w:val="21"/>
                    </w:rPr>
                  </w:pPr>
                  <w:r>
                    <w:rPr>
                      <w:rFonts w:hint="eastAsia"/>
                      <w:szCs w:val="21"/>
                    </w:rPr>
                    <w:t>1</w:t>
                  </w:r>
                  <w:r>
                    <w:rPr>
                      <w:szCs w:val="21"/>
                    </w:rPr>
                    <w:t>h</w:t>
                  </w:r>
                  <w:r>
                    <w:rPr>
                      <w:rFonts w:hint="eastAsia"/>
                      <w:szCs w:val="21"/>
                    </w:rPr>
                    <w:t>平均值</w:t>
                  </w:r>
                </w:p>
              </w:tc>
              <w:tc>
                <w:tcPr>
                  <w:tcW w:w="1701" w:type="dxa"/>
                  <w:tcBorders>
                    <w:top w:val="single" w:color="auto" w:sz="4" w:space="0"/>
                    <w:left w:val="single" w:color="auto" w:sz="4" w:space="0"/>
                    <w:bottom w:val="single" w:color="auto" w:sz="4" w:space="0"/>
                    <w:right w:val="single" w:color="auto" w:sz="4" w:space="0"/>
                  </w:tcBorders>
                  <w:vAlign w:val="center"/>
                </w:tcPr>
                <w:p w14:paraId="1C48E718">
                  <w:pPr>
                    <w:adjustRightInd w:val="0"/>
                    <w:snapToGrid w:val="0"/>
                    <w:jc w:val="center"/>
                    <w:rPr>
                      <w:szCs w:val="21"/>
                    </w:rPr>
                  </w:pPr>
                  <w:r>
                    <w:rPr>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14:paraId="1C59AD19">
                  <w:pPr>
                    <w:adjustRightInd w:val="0"/>
                    <w:snapToGrid w:val="0"/>
                    <w:jc w:val="center"/>
                    <w:rPr>
                      <w:szCs w:val="21"/>
                    </w:rPr>
                  </w:pPr>
                  <w:r>
                    <w:rPr>
                      <w:szCs w:val="21"/>
                    </w:rPr>
                    <w:t>0.</w:t>
                  </w:r>
                  <w:r>
                    <w:rPr>
                      <w:rFonts w:hint="eastAsia"/>
                      <w:szCs w:val="21"/>
                    </w:rPr>
                    <w:t>10</w:t>
                  </w:r>
                  <w:r>
                    <w:rPr>
                      <w:szCs w:val="21"/>
                    </w:rPr>
                    <w:t>~0.</w:t>
                  </w:r>
                  <w:r>
                    <w:rPr>
                      <w:rFonts w:hint="eastAsia"/>
                      <w:szCs w:val="21"/>
                    </w:rPr>
                    <w:t>35</w:t>
                  </w:r>
                </w:p>
              </w:tc>
              <w:tc>
                <w:tcPr>
                  <w:tcW w:w="1524" w:type="dxa"/>
                  <w:tcBorders>
                    <w:top w:val="single" w:color="auto" w:sz="4" w:space="0"/>
                    <w:left w:val="single" w:color="auto" w:sz="4" w:space="0"/>
                    <w:bottom w:val="single" w:color="auto" w:sz="4" w:space="0"/>
                    <w:right w:val="single" w:color="auto" w:sz="4" w:space="0"/>
                  </w:tcBorders>
                  <w:vAlign w:val="center"/>
                </w:tcPr>
                <w:p w14:paraId="61706596">
                  <w:pPr>
                    <w:adjustRightInd w:val="0"/>
                    <w:snapToGrid w:val="0"/>
                    <w:jc w:val="center"/>
                    <w:rPr>
                      <w:szCs w:val="21"/>
                    </w:rPr>
                  </w:pPr>
                  <w:r>
                    <w:rPr>
                      <w:rFonts w:hint="eastAsia"/>
                      <w:szCs w:val="21"/>
                    </w:rPr>
                    <w:t>17.5</w:t>
                  </w:r>
                </w:p>
              </w:tc>
              <w:tc>
                <w:tcPr>
                  <w:tcW w:w="855" w:type="dxa"/>
                  <w:tcBorders>
                    <w:top w:val="single" w:color="auto" w:sz="4" w:space="0"/>
                    <w:left w:val="single" w:color="auto" w:sz="4" w:space="0"/>
                    <w:bottom w:val="single" w:color="auto" w:sz="4" w:space="0"/>
                    <w:right w:val="single" w:color="auto" w:sz="4" w:space="0"/>
                  </w:tcBorders>
                  <w:vAlign w:val="center"/>
                </w:tcPr>
                <w:p w14:paraId="11E5CB5C">
                  <w:pPr>
                    <w:adjustRightInd w:val="0"/>
                    <w:snapToGrid w:val="0"/>
                    <w:jc w:val="center"/>
                    <w:rPr>
                      <w:szCs w:val="21"/>
                    </w:rPr>
                  </w:pPr>
                  <w:r>
                    <w:rPr>
                      <w:szCs w:val="21"/>
                    </w:rPr>
                    <w:t>0</w:t>
                  </w:r>
                </w:p>
              </w:tc>
            </w:tr>
          </w:tbl>
          <w:p w14:paraId="76F42DFB">
            <w:pPr>
              <w:spacing w:line="440" w:lineRule="exact"/>
              <w:ind w:firstLine="480"/>
              <w:rPr>
                <w:sz w:val="24"/>
              </w:rPr>
            </w:pPr>
            <w:r>
              <w:rPr>
                <w:sz w:val="24"/>
              </w:rPr>
              <w:t>监测结果表明</w:t>
            </w:r>
            <w:r>
              <w:rPr>
                <w:rFonts w:hint="eastAsia"/>
                <w:sz w:val="24"/>
              </w:rPr>
              <w:t>，项目所在区域非甲烷总烃</w:t>
            </w:r>
            <w:r>
              <w:rPr>
                <w:sz w:val="24"/>
              </w:rPr>
              <w:t>的Pi值小于1</w:t>
            </w:r>
            <w:r>
              <w:rPr>
                <w:rFonts w:hint="eastAsia"/>
                <w:sz w:val="24"/>
              </w:rPr>
              <w:t>00%</w:t>
            </w:r>
            <w:r>
              <w:rPr>
                <w:sz w:val="24"/>
              </w:rPr>
              <w:t>，满足《环境空气质量标准》（GB3095-2012）中二级标准要求。</w:t>
            </w:r>
          </w:p>
          <w:p w14:paraId="38379CCF">
            <w:pPr>
              <w:pStyle w:val="10"/>
              <w:spacing w:line="480" w:lineRule="exact"/>
              <w:rPr>
                <w:rFonts w:ascii="Times New Roman" w:hAnsi="宋体" w:cs="Courier New"/>
                <w:b/>
                <w:sz w:val="24"/>
                <w:szCs w:val="24"/>
              </w:rPr>
            </w:pPr>
            <w:r>
              <w:rPr>
                <w:rFonts w:hint="eastAsia" w:ascii="Times New Roman" w:hAnsi="宋体" w:cs="Courier New"/>
                <w:b/>
                <w:sz w:val="24"/>
                <w:szCs w:val="24"/>
              </w:rPr>
              <w:t>3.1.3地表水环境质量现状及评价</w:t>
            </w:r>
          </w:p>
          <w:p w14:paraId="1EA49F24">
            <w:pPr>
              <w:pStyle w:val="121"/>
              <w:wordWrap/>
              <w:spacing w:line="480" w:lineRule="exact"/>
              <w:ind w:firstLine="480"/>
              <w:jc w:val="both"/>
              <w:rPr>
                <w:rFonts w:hAnsi="宋体"/>
                <w:szCs w:val="24"/>
              </w:rPr>
            </w:pPr>
            <w:r>
              <w:rPr>
                <w:rFonts w:hAnsi="宋体"/>
                <w:szCs w:val="24"/>
              </w:rPr>
              <w:t>项目受纳水体为长江。根据《重庆市人民政府批转重庆市地表水环境功能类别调整方案的通知》（渝府发</w:t>
            </w:r>
            <w:r>
              <w:rPr>
                <w:szCs w:val="24"/>
              </w:rPr>
              <w:t>[2012]4</w:t>
            </w:r>
            <w:r>
              <w:rPr>
                <w:rFonts w:hAnsi="宋体"/>
                <w:szCs w:val="24"/>
              </w:rPr>
              <w:t>号），长江涪陵区</w:t>
            </w:r>
            <w:r>
              <w:rPr>
                <w:szCs w:val="24"/>
              </w:rPr>
              <w:t>“</w:t>
            </w:r>
            <w:r>
              <w:rPr>
                <w:rFonts w:hAnsi="宋体"/>
                <w:szCs w:val="24"/>
              </w:rPr>
              <w:t>河凤滩</w:t>
            </w:r>
            <w:r>
              <w:rPr>
                <w:szCs w:val="24"/>
              </w:rPr>
              <w:t>~</w:t>
            </w:r>
            <w:r>
              <w:rPr>
                <w:rFonts w:hAnsi="宋体"/>
                <w:szCs w:val="24"/>
              </w:rPr>
              <w:t>三堆子</w:t>
            </w:r>
            <w:r>
              <w:rPr>
                <w:szCs w:val="24"/>
              </w:rPr>
              <w:t>”</w:t>
            </w:r>
            <w:r>
              <w:rPr>
                <w:rFonts w:hAnsi="宋体"/>
                <w:szCs w:val="24"/>
              </w:rPr>
              <w:t>段属于Ⅲ类水域，执行《地表水环境质量标准》（</w:t>
            </w:r>
            <w:r>
              <w:rPr>
                <w:szCs w:val="24"/>
              </w:rPr>
              <w:t>GB3838-2002</w:t>
            </w:r>
            <w:r>
              <w:rPr>
                <w:rFonts w:hAnsi="宋体"/>
                <w:szCs w:val="24"/>
              </w:rPr>
              <w:t>）Ⅲ类水域水质标准。</w:t>
            </w:r>
          </w:p>
          <w:p w14:paraId="5C1BF6FD">
            <w:pPr>
              <w:autoSpaceDE w:val="0"/>
              <w:autoSpaceDN w:val="0"/>
              <w:adjustRightInd w:val="0"/>
              <w:spacing w:line="480" w:lineRule="exact"/>
              <w:ind w:firstLine="480" w:firstLineChars="200"/>
              <w:jc w:val="left"/>
              <w:rPr>
                <w:kern w:val="0"/>
                <w:sz w:val="24"/>
              </w:rPr>
            </w:pPr>
            <w:r>
              <w:rPr>
                <w:rFonts w:hAnsi="宋体"/>
                <w:kern w:val="0"/>
                <w:sz w:val="24"/>
              </w:rPr>
              <w:t>根据</w:t>
            </w:r>
            <w:r>
              <w:rPr>
                <w:rFonts w:hint="eastAsia" w:hAnsi="宋体"/>
                <w:kern w:val="0"/>
                <w:sz w:val="24"/>
              </w:rPr>
              <w:t>重庆市涪陵区生态环境局2022年7月19日公布的“涪陵2022年6月地表水</w:t>
            </w:r>
            <w:r>
              <w:rPr>
                <w:rFonts w:hAnsiTheme="minorEastAsia" w:eastAsiaTheme="minorEastAsia"/>
                <w:kern w:val="0"/>
                <w:sz w:val="24"/>
              </w:rPr>
              <w:t>水质状况</w:t>
            </w:r>
            <w:r>
              <w:rPr>
                <w:rFonts w:eastAsiaTheme="minorEastAsia"/>
                <w:kern w:val="0"/>
                <w:sz w:val="24"/>
              </w:rPr>
              <w:t>”</w:t>
            </w:r>
            <w:r>
              <w:rPr>
                <w:rFonts w:hAnsiTheme="minorEastAsia" w:eastAsiaTheme="minorEastAsia"/>
                <w:kern w:val="0"/>
                <w:sz w:val="24"/>
              </w:rPr>
              <w:t>可知：</w:t>
            </w:r>
            <w:r>
              <w:rPr>
                <w:rFonts w:eastAsiaTheme="minorEastAsia"/>
                <w:kern w:val="0"/>
                <w:sz w:val="24"/>
              </w:rPr>
              <w:t>2022</w:t>
            </w:r>
            <w:r>
              <w:rPr>
                <w:rFonts w:hAnsiTheme="minorEastAsia" w:eastAsiaTheme="minorEastAsia"/>
                <w:kern w:val="0"/>
                <w:sz w:val="24"/>
              </w:rPr>
              <w:t>年</w:t>
            </w:r>
            <w:r>
              <w:rPr>
                <w:rFonts w:eastAsiaTheme="minorEastAsia"/>
                <w:kern w:val="0"/>
                <w:sz w:val="24"/>
              </w:rPr>
              <w:t>6</w:t>
            </w:r>
            <w:r>
              <w:rPr>
                <w:rFonts w:hAnsiTheme="minorEastAsia" w:eastAsiaTheme="minorEastAsia"/>
                <w:kern w:val="0"/>
                <w:sz w:val="24"/>
              </w:rPr>
              <w:t>月，涪陵区地表水总体水质为优。监测的</w:t>
            </w:r>
            <w:r>
              <w:rPr>
                <w:rFonts w:eastAsiaTheme="minorEastAsia"/>
                <w:kern w:val="0"/>
                <w:sz w:val="24"/>
              </w:rPr>
              <w:t>11</w:t>
            </w:r>
            <w:r>
              <w:rPr>
                <w:rFonts w:hAnsiTheme="minorEastAsia" w:eastAsiaTheme="minorEastAsia"/>
                <w:kern w:val="0"/>
                <w:sz w:val="24"/>
              </w:rPr>
              <w:t>个断面中，</w:t>
            </w:r>
            <w:r>
              <w:rPr>
                <w:rFonts w:hint="eastAsia" w:hAnsiTheme="minorEastAsia" w:eastAsiaTheme="minorEastAsia"/>
                <w:kern w:val="0"/>
                <w:sz w:val="24"/>
              </w:rPr>
              <w:t>Ⅰ</w:t>
            </w:r>
            <w:r>
              <w:rPr>
                <w:rFonts w:eastAsiaTheme="minorEastAsia"/>
                <w:kern w:val="0"/>
                <w:sz w:val="24"/>
              </w:rPr>
              <w:t>~</w:t>
            </w:r>
            <w:r>
              <w:rPr>
                <w:rFonts w:hAnsiTheme="minorEastAsia" w:eastAsiaTheme="minorEastAsia"/>
                <w:kern w:val="0"/>
                <w:sz w:val="24"/>
              </w:rPr>
              <w:t>Ⅲ</w:t>
            </w:r>
            <w:r>
              <w:rPr>
                <w:rFonts w:hint="eastAsia" w:hAnsiTheme="minorEastAsia" w:eastAsiaTheme="minorEastAsia"/>
                <w:kern w:val="0"/>
                <w:sz w:val="24"/>
              </w:rPr>
              <w:t>类水质断面占100%</w:t>
            </w:r>
            <w:r>
              <w:rPr>
                <w:rFonts w:hAnsi="宋体"/>
                <w:kern w:val="0"/>
                <w:sz w:val="24"/>
              </w:rPr>
              <w:t>。由此可知，项目所在地地表水环境质量现状良好。</w:t>
            </w:r>
          </w:p>
          <w:p w14:paraId="6C390345">
            <w:pPr>
              <w:pStyle w:val="121"/>
              <w:wordWrap/>
              <w:spacing w:line="480" w:lineRule="exact"/>
              <w:ind w:firstLine="480"/>
              <w:jc w:val="both"/>
              <w:rPr>
                <w:rFonts w:hAnsi="宋体"/>
                <w:szCs w:val="24"/>
              </w:rPr>
            </w:pPr>
            <w:r>
              <w:rPr>
                <w:rFonts w:hAnsi="宋体"/>
                <w:szCs w:val="24"/>
              </w:rPr>
              <w:t>本次评引用《重庆万达薄板有限公司废油渣分离处理项目环境影响报告书》中地表水环境质量现状监测数据，在长江设置了两个监测断面，监测时间为</w:t>
            </w:r>
            <w:r>
              <w:rPr>
                <w:szCs w:val="24"/>
              </w:rPr>
              <w:t>2020</w:t>
            </w:r>
            <w:r>
              <w:rPr>
                <w:rFonts w:hAnsi="宋体"/>
                <w:szCs w:val="24"/>
              </w:rPr>
              <w:t>年</w:t>
            </w:r>
            <w:r>
              <w:rPr>
                <w:szCs w:val="24"/>
              </w:rPr>
              <w:t>6</w:t>
            </w:r>
            <w:r>
              <w:rPr>
                <w:rFonts w:hAnsi="宋体"/>
                <w:szCs w:val="24"/>
              </w:rPr>
              <w:t>月</w:t>
            </w:r>
            <w:r>
              <w:rPr>
                <w:szCs w:val="24"/>
              </w:rPr>
              <w:t>18</w:t>
            </w:r>
            <w:r>
              <w:rPr>
                <w:rFonts w:hAnsi="宋体"/>
                <w:szCs w:val="24"/>
              </w:rPr>
              <w:t>日</w:t>
            </w:r>
            <w:r>
              <w:rPr>
                <w:szCs w:val="24"/>
              </w:rPr>
              <w:t>~20</w:t>
            </w:r>
            <w:r>
              <w:rPr>
                <w:rFonts w:hAnsi="宋体"/>
                <w:szCs w:val="24"/>
              </w:rPr>
              <w:t>日，监测数据满足</w:t>
            </w:r>
            <w:r>
              <w:rPr>
                <w:szCs w:val="24"/>
              </w:rPr>
              <w:t>3</w:t>
            </w:r>
            <w:r>
              <w:rPr>
                <w:rFonts w:hAnsi="宋体"/>
                <w:szCs w:val="24"/>
              </w:rPr>
              <w:t>年有效引用时间范围内，监测至今项目所在区域水污染物排放无大的变化，且引用时间有效，故评价利用监测数据能较好地反应长江的水质状况。</w:t>
            </w:r>
          </w:p>
          <w:p w14:paraId="03423718">
            <w:pPr>
              <w:pStyle w:val="121"/>
              <w:wordWrap/>
              <w:spacing w:line="480" w:lineRule="exact"/>
              <w:ind w:firstLine="480"/>
              <w:jc w:val="both"/>
              <w:rPr>
                <w:szCs w:val="24"/>
              </w:rPr>
            </w:pPr>
            <w:r>
              <w:rPr>
                <w:rFonts w:hAnsi="宋体"/>
                <w:szCs w:val="24"/>
              </w:rPr>
              <w:t>（</w:t>
            </w:r>
            <w:r>
              <w:rPr>
                <w:szCs w:val="24"/>
              </w:rPr>
              <w:t>1</w:t>
            </w:r>
            <w:r>
              <w:rPr>
                <w:rFonts w:hAnsi="宋体"/>
                <w:szCs w:val="24"/>
              </w:rPr>
              <w:t>）引用监测断面：</w:t>
            </w:r>
            <w:r>
              <w:rPr>
                <w:szCs w:val="24"/>
              </w:rPr>
              <w:t>B1—</w:t>
            </w:r>
            <w:r>
              <w:rPr>
                <w:rFonts w:hAnsi="宋体"/>
                <w:szCs w:val="24"/>
              </w:rPr>
              <w:t>李渡大耍坝污水处理厂长江上游</w:t>
            </w:r>
            <w:r>
              <w:rPr>
                <w:szCs w:val="24"/>
              </w:rPr>
              <w:t>500m</w:t>
            </w:r>
            <w:r>
              <w:rPr>
                <w:rFonts w:hAnsi="宋体"/>
                <w:szCs w:val="24"/>
              </w:rPr>
              <w:t>，</w:t>
            </w:r>
            <w:r>
              <w:rPr>
                <w:szCs w:val="24"/>
              </w:rPr>
              <w:t>B2—</w:t>
            </w:r>
            <w:r>
              <w:rPr>
                <w:rFonts w:hAnsi="宋体"/>
                <w:szCs w:val="24"/>
              </w:rPr>
              <w:t>李渡大耍坝污水处理厂长江下游</w:t>
            </w:r>
            <w:r>
              <w:rPr>
                <w:szCs w:val="24"/>
              </w:rPr>
              <w:t>1500m</w:t>
            </w:r>
          </w:p>
          <w:p w14:paraId="6E222085">
            <w:pPr>
              <w:pStyle w:val="121"/>
              <w:wordWrap/>
              <w:spacing w:line="480" w:lineRule="exact"/>
              <w:ind w:firstLine="480"/>
              <w:jc w:val="both"/>
              <w:rPr>
                <w:rFonts w:hAnsi="宋体"/>
                <w:szCs w:val="24"/>
              </w:rPr>
            </w:pPr>
            <w:r>
              <w:rPr>
                <w:rFonts w:hAnsi="宋体"/>
                <w:szCs w:val="24"/>
              </w:rPr>
              <w:t>（</w:t>
            </w:r>
            <w:r>
              <w:rPr>
                <w:szCs w:val="24"/>
              </w:rPr>
              <w:t>2</w:t>
            </w:r>
            <w:r>
              <w:rPr>
                <w:rFonts w:hAnsi="宋体"/>
                <w:szCs w:val="24"/>
              </w:rPr>
              <w:t>）引用监测时间：</w:t>
            </w:r>
            <w:r>
              <w:rPr>
                <w:szCs w:val="24"/>
              </w:rPr>
              <w:t>2020</w:t>
            </w:r>
            <w:r>
              <w:rPr>
                <w:rFonts w:hAnsi="宋体"/>
                <w:szCs w:val="24"/>
              </w:rPr>
              <w:t>年</w:t>
            </w:r>
            <w:r>
              <w:rPr>
                <w:szCs w:val="24"/>
              </w:rPr>
              <w:t>6</w:t>
            </w:r>
            <w:r>
              <w:rPr>
                <w:rFonts w:hAnsi="宋体"/>
                <w:szCs w:val="24"/>
              </w:rPr>
              <w:t>月</w:t>
            </w:r>
            <w:r>
              <w:rPr>
                <w:szCs w:val="24"/>
              </w:rPr>
              <w:t>18</w:t>
            </w:r>
            <w:r>
              <w:rPr>
                <w:rFonts w:hAnsi="宋体"/>
                <w:szCs w:val="24"/>
              </w:rPr>
              <w:t>日</w:t>
            </w:r>
            <w:r>
              <w:rPr>
                <w:szCs w:val="24"/>
              </w:rPr>
              <w:t>-20</w:t>
            </w:r>
            <w:r>
              <w:rPr>
                <w:rFonts w:hAnsi="宋体"/>
                <w:szCs w:val="24"/>
              </w:rPr>
              <w:t>日</w:t>
            </w:r>
          </w:p>
          <w:p w14:paraId="71EB85D2">
            <w:pPr>
              <w:pStyle w:val="121"/>
              <w:wordWrap/>
              <w:spacing w:line="480" w:lineRule="exact"/>
              <w:ind w:firstLine="480"/>
              <w:jc w:val="both"/>
              <w:rPr>
                <w:rFonts w:hAnsi="宋体"/>
                <w:szCs w:val="24"/>
              </w:rPr>
            </w:pPr>
            <w:r>
              <w:rPr>
                <w:rFonts w:hAnsi="宋体"/>
                <w:szCs w:val="24"/>
              </w:rPr>
              <w:t>（</w:t>
            </w:r>
            <w:r>
              <w:rPr>
                <w:szCs w:val="24"/>
              </w:rPr>
              <w:t>3</w:t>
            </w:r>
            <w:r>
              <w:rPr>
                <w:rFonts w:hAnsi="宋体"/>
                <w:szCs w:val="24"/>
              </w:rPr>
              <w:t>）引用监测因子：</w:t>
            </w:r>
            <w:r>
              <w:rPr>
                <w:szCs w:val="24"/>
              </w:rPr>
              <w:t>pH</w:t>
            </w:r>
            <w:r>
              <w:rPr>
                <w:rFonts w:hAnsi="宋体"/>
                <w:szCs w:val="24"/>
              </w:rPr>
              <w:t>、</w:t>
            </w:r>
            <w:r>
              <w:rPr>
                <w:szCs w:val="24"/>
              </w:rPr>
              <w:t>COD</w:t>
            </w:r>
            <w:r>
              <w:rPr>
                <w:rFonts w:hAnsi="宋体"/>
                <w:szCs w:val="24"/>
              </w:rPr>
              <w:t>、</w:t>
            </w:r>
            <w:r>
              <w:rPr>
                <w:szCs w:val="24"/>
              </w:rPr>
              <w:t>BOD</w:t>
            </w:r>
            <w:r>
              <w:rPr>
                <w:szCs w:val="24"/>
                <w:vertAlign w:val="subscript"/>
              </w:rPr>
              <w:t>5</w:t>
            </w:r>
            <w:r>
              <w:rPr>
                <w:rFonts w:hAnsi="宋体"/>
                <w:szCs w:val="24"/>
              </w:rPr>
              <w:t>、氨氮、粪大肠菌群、石油类</w:t>
            </w:r>
          </w:p>
          <w:p w14:paraId="7527301B">
            <w:pPr>
              <w:pStyle w:val="121"/>
              <w:wordWrap/>
              <w:spacing w:line="480" w:lineRule="exact"/>
              <w:ind w:firstLine="480"/>
              <w:jc w:val="both"/>
              <w:rPr>
                <w:szCs w:val="24"/>
              </w:rPr>
            </w:pPr>
            <w:r>
              <w:rPr>
                <w:rFonts w:hAnsi="宋体"/>
                <w:szCs w:val="24"/>
              </w:rPr>
              <w:t>（</w:t>
            </w:r>
            <w:r>
              <w:rPr>
                <w:szCs w:val="24"/>
              </w:rPr>
              <w:t>4</w:t>
            </w:r>
            <w:r>
              <w:rPr>
                <w:rFonts w:hAnsi="宋体"/>
                <w:szCs w:val="24"/>
              </w:rPr>
              <w:t>）引用监测频率：连续监测</w:t>
            </w:r>
            <w:r>
              <w:rPr>
                <w:szCs w:val="24"/>
              </w:rPr>
              <w:t>3</w:t>
            </w:r>
            <w:r>
              <w:rPr>
                <w:rFonts w:hAnsi="宋体"/>
                <w:szCs w:val="24"/>
              </w:rPr>
              <w:t>天，每天</w:t>
            </w:r>
            <w:r>
              <w:rPr>
                <w:szCs w:val="24"/>
              </w:rPr>
              <w:t>1</w:t>
            </w:r>
            <w:r>
              <w:rPr>
                <w:rFonts w:hAnsi="宋体"/>
                <w:szCs w:val="24"/>
              </w:rPr>
              <w:t>次</w:t>
            </w:r>
          </w:p>
          <w:p w14:paraId="393213A6">
            <w:pPr>
              <w:adjustRightInd w:val="0"/>
              <w:snapToGrid w:val="0"/>
              <w:spacing w:line="480" w:lineRule="exact"/>
              <w:ind w:firstLine="480"/>
              <w:textAlignment w:val="center"/>
              <w:rPr>
                <w:snapToGrid w:val="0"/>
                <w:sz w:val="24"/>
              </w:rPr>
            </w:pPr>
            <w:r>
              <w:rPr>
                <w:rFonts w:hAnsi="宋体"/>
                <w:sz w:val="24"/>
              </w:rPr>
              <w:t>（</w:t>
            </w:r>
            <w:r>
              <w:rPr>
                <w:sz w:val="24"/>
              </w:rPr>
              <w:t>5</w:t>
            </w:r>
            <w:r>
              <w:rPr>
                <w:rFonts w:hAnsi="宋体"/>
                <w:sz w:val="24"/>
              </w:rPr>
              <w:t>）评价方法：</w:t>
            </w:r>
            <w:r>
              <w:rPr>
                <w:rFonts w:hAnsi="宋体"/>
                <w:snapToGrid w:val="0"/>
                <w:sz w:val="24"/>
              </w:rPr>
              <w:t>参照《环境影响评价技术导则</w:t>
            </w:r>
            <w:r>
              <w:rPr>
                <w:snapToGrid w:val="0"/>
                <w:sz w:val="24"/>
              </w:rPr>
              <w:t xml:space="preserve"> </w:t>
            </w:r>
            <w:r>
              <w:rPr>
                <w:rFonts w:hAnsi="宋体"/>
                <w:snapToGrid w:val="0"/>
                <w:sz w:val="24"/>
              </w:rPr>
              <w:t>地表水环境》（</w:t>
            </w:r>
            <w:r>
              <w:rPr>
                <w:snapToGrid w:val="0"/>
                <w:sz w:val="24"/>
              </w:rPr>
              <w:t>HJ2.3-2018</w:t>
            </w:r>
            <w:r>
              <w:rPr>
                <w:rFonts w:hAnsi="宋体"/>
                <w:snapToGrid w:val="0"/>
                <w:sz w:val="24"/>
              </w:rPr>
              <w:t>）中规定方法进行。评价采用水质指数法进行评价。</w:t>
            </w:r>
          </w:p>
          <w:p w14:paraId="344F244D">
            <w:pPr>
              <w:adjustRightInd w:val="0"/>
              <w:snapToGrid w:val="0"/>
              <w:spacing w:line="480" w:lineRule="exact"/>
              <w:ind w:firstLine="480"/>
              <w:textAlignment w:val="center"/>
              <w:rPr>
                <w:snapToGrid w:val="0"/>
                <w:sz w:val="24"/>
              </w:rPr>
            </w:pPr>
            <w:r>
              <w:rPr>
                <w:rFonts w:hAnsi="宋体"/>
                <w:snapToGrid w:val="0"/>
                <w:sz w:val="24"/>
              </w:rPr>
              <w:t>①一般水质因子（随水质浓度增加而水质变差的水质因子）：</w:t>
            </w:r>
          </w:p>
          <w:p w14:paraId="542ECCB3">
            <w:pPr>
              <w:adjustRightInd w:val="0"/>
              <w:snapToGrid w:val="0"/>
              <w:spacing w:line="360" w:lineRule="auto"/>
              <w:ind w:firstLine="482"/>
              <w:jc w:val="center"/>
              <w:textAlignment w:val="center"/>
              <w:rPr>
                <w:snapToGrid w:val="0"/>
                <w:sz w:val="24"/>
              </w:rPr>
            </w:pPr>
            <w:r>
              <w:rPr>
                <w:position w:val="-32"/>
                <w:sz w:val="24"/>
              </w:rPr>
              <w:drawing>
                <wp:inline distT="0" distB="0" distL="0" distR="0">
                  <wp:extent cx="676275" cy="466725"/>
                  <wp:effectExtent l="19050" t="0" r="0" b="0"/>
                  <wp:docPr id="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pic:cNvPicPr>
                            <a:picLocks noChangeAspect="1" noChangeArrowheads="1"/>
                          </pic:cNvPicPr>
                        </pic:nvPicPr>
                        <pic:blipFill>
                          <a:blip r:embed="rId11" cstate="print"/>
                          <a:srcRect/>
                          <a:stretch>
                            <a:fillRect/>
                          </a:stretch>
                        </pic:blipFill>
                        <pic:spPr>
                          <a:xfrm>
                            <a:off x="0" y="0"/>
                            <a:ext cx="676275" cy="466725"/>
                          </a:xfrm>
                          <a:prstGeom prst="rect">
                            <a:avLst/>
                          </a:prstGeom>
                          <a:noFill/>
                          <a:ln w="9525">
                            <a:noFill/>
                            <a:miter lim="800000"/>
                            <a:headEnd/>
                            <a:tailEnd/>
                          </a:ln>
                        </pic:spPr>
                      </pic:pic>
                    </a:graphicData>
                  </a:graphic>
                </wp:inline>
              </w:drawing>
            </w:r>
          </w:p>
          <w:p w14:paraId="0B1E5F40">
            <w:pPr>
              <w:adjustRightInd w:val="0"/>
              <w:snapToGrid w:val="0"/>
              <w:spacing w:line="480" w:lineRule="exact"/>
              <w:ind w:firstLine="480"/>
              <w:textAlignment w:val="center"/>
              <w:rPr>
                <w:snapToGrid w:val="0"/>
                <w:sz w:val="24"/>
              </w:rPr>
            </w:pPr>
            <w:r>
              <w:rPr>
                <w:rFonts w:hAnsi="宋体"/>
                <w:snapToGrid w:val="0"/>
                <w:sz w:val="24"/>
              </w:rPr>
              <w:t>式中：</w:t>
            </w:r>
            <w:r>
              <w:rPr>
                <w:snapToGrid w:val="0"/>
                <w:position w:val="-14"/>
                <w:sz w:val="24"/>
              </w:rPr>
              <w:object>
                <v:shape id="_x0000_i1026" o:spt="75" type="#_x0000_t75" style="height:18.75pt;width:18.75pt;" o:ole="t" filled="f" o:preferrelative="t" stroked="f" coordsize="21600,21600">
                  <v:path/>
                  <v:fill on="f" focussize="0,0"/>
                  <v:stroke on="f" joinstyle="miter"/>
                  <v:imagedata r:id="rId13" o:title=""/>
                  <o:lock v:ext="edit" aspectratio="f"/>
                  <w10:wrap type="none"/>
                  <w10:anchorlock/>
                </v:shape>
                <o:OLEObject Type="Embed" ProgID="Equation.3" ShapeID="_x0000_i1026" DrawAspect="Content" ObjectID="_1468075726" r:id="rId12">
                  <o:LockedField>false</o:LockedField>
                </o:OLEObject>
              </w:object>
            </w:r>
            <w:r>
              <w:rPr>
                <w:snapToGrid w:val="0"/>
                <w:sz w:val="24"/>
              </w:rPr>
              <w:t>——</w:t>
            </w:r>
            <w:r>
              <w:rPr>
                <w:rFonts w:hAnsi="宋体"/>
                <w:snapToGrid w:val="0"/>
                <w:sz w:val="24"/>
              </w:rPr>
              <w:t>评价因子</w:t>
            </w:r>
            <w:r>
              <w:rPr>
                <w:snapToGrid w:val="0"/>
                <w:sz w:val="24"/>
              </w:rPr>
              <w:t>i</w:t>
            </w:r>
            <w:r>
              <w:rPr>
                <w:rFonts w:hAnsi="宋体"/>
                <w:snapToGrid w:val="0"/>
                <w:sz w:val="24"/>
              </w:rPr>
              <w:t>的水质指数；</w:t>
            </w:r>
          </w:p>
          <w:p w14:paraId="04E0E1EA">
            <w:pPr>
              <w:adjustRightInd w:val="0"/>
              <w:snapToGrid w:val="0"/>
              <w:spacing w:line="480" w:lineRule="exact"/>
              <w:ind w:firstLine="1200" w:firstLineChars="500"/>
              <w:textAlignment w:val="center"/>
              <w:rPr>
                <w:snapToGrid w:val="0"/>
                <w:sz w:val="24"/>
              </w:rPr>
            </w:pPr>
            <w:r>
              <w:rPr>
                <w:snapToGrid w:val="0"/>
                <w:position w:val="-14"/>
                <w:sz w:val="24"/>
              </w:rPr>
              <w:object>
                <v:shape id="_x0000_i1027" o:spt="75" type="#_x0000_t75" style="height:18.75pt;width:20.25pt;" o:ole="t" filled="f" o:preferrelative="t" stroked="f" coordsize="21600,21600">
                  <v:path/>
                  <v:fill on="f" focussize="0,0"/>
                  <v:stroke on="f" joinstyle="miter"/>
                  <v:imagedata r:id="rId15" o:title=""/>
                  <o:lock v:ext="edit" aspectratio="f"/>
                  <w10:wrap type="none"/>
                  <w10:anchorlock/>
                </v:shape>
                <o:OLEObject Type="Embed" ProgID="Equation.3" ShapeID="_x0000_i1027" DrawAspect="Content" ObjectID="_1468075727" r:id="rId14">
                  <o:LockedField>false</o:LockedField>
                </o:OLEObject>
              </w:object>
            </w:r>
            <w:r>
              <w:rPr>
                <w:snapToGrid w:val="0"/>
                <w:sz w:val="24"/>
              </w:rPr>
              <w:t>——</w:t>
            </w:r>
            <w:r>
              <w:rPr>
                <w:rFonts w:hAnsi="宋体"/>
                <w:snapToGrid w:val="0"/>
                <w:sz w:val="24"/>
              </w:rPr>
              <w:t>评价因子</w:t>
            </w:r>
            <w:r>
              <w:rPr>
                <w:snapToGrid w:val="0"/>
                <w:sz w:val="24"/>
              </w:rPr>
              <w:t>i</w:t>
            </w:r>
            <w:r>
              <w:rPr>
                <w:rFonts w:hAnsi="宋体"/>
                <w:snapToGrid w:val="0"/>
                <w:sz w:val="24"/>
              </w:rPr>
              <w:t>在</w:t>
            </w:r>
            <w:r>
              <w:rPr>
                <w:snapToGrid w:val="0"/>
                <w:sz w:val="24"/>
              </w:rPr>
              <w:t>j</w:t>
            </w:r>
            <w:r>
              <w:rPr>
                <w:rFonts w:hAnsi="宋体"/>
                <w:snapToGrid w:val="0"/>
                <w:sz w:val="24"/>
              </w:rPr>
              <w:t>点的实测统计代表值（</w:t>
            </w:r>
            <w:r>
              <w:rPr>
                <w:snapToGrid w:val="0"/>
                <w:sz w:val="24"/>
              </w:rPr>
              <w:t>mg/L</w:t>
            </w:r>
            <w:r>
              <w:rPr>
                <w:rFonts w:hAnsi="宋体"/>
                <w:snapToGrid w:val="0"/>
                <w:sz w:val="24"/>
              </w:rPr>
              <w:t>）；</w:t>
            </w:r>
          </w:p>
          <w:p w14:paraId="187BAB1B">
            <w:pPr>
              <w:adjustRightInd w:val="0"/>
              <w:snapToGrid w:val="0"/>
              <w:spacing w:line="480" w:lineRule="exact"/>
              <w:ind w:firstLine="1200" w:firstLineChars="500"/>
              <w:textAlignment w:val="center"/>
              <w:rPr>
                <w:snapToGrid w:val="0"/>
                <w:sz w:val="24"/>
              </w:rPr>
            </w:pPr>
            <w:r>
              <w:rPr>
                <w:snapToGrid w:val="0"/>
                <w:position w:val="-12"/>
                <w:sz w:val="24"/>
              </w:rPr>
              <w:object>
                <v:shape id="_x0000_i1028" o:spt="75" type="#_x0000_t75" style="height:17.25pt;width:17.25pt;" o:ole="t" filled="f" o:preferrelative="t" stroked="f" coordsize="21600,21600">
                  <v:path/>
                  <v:fill on="f" focussize="0,0"/>
                  <v:stroke on="f" joinstyle="miter"/>
                  <v:imagedata r:id="rId17" o:title=""/>
                  <o:lock v:ext="edit" aspectratio="f"/>
                  <w10:wrap type="none"/>
                  <w10:anchorlock/>
                </v:shape>
                <o:OLEObject Type="Embed" ProgID="Equation.3" ShapeID="_x0000_i1028" DrawAspect="Content" ObjectID="_1468075728" r:id="rId16">
                  <o:LockedField>false</o:LockedField>
                </o:OLEObject>
              </w:object>
            </w:r>
            <w:r>
              <w:rPr>
                <w:snapToGrid w:val="0"/>
                <w:sz w:val="24"/>
              </w:rPr>
              <w:t>——</w:t>
            </w:r>
            <w:r>
              <w:rPr>
                <w:rFonts w:hAnsi="宋体"/>
                <w:snapToGrid w:val="0"/>
                <w:sz w:val="24"/>
              </w:rPr>
              <w:t>评价因子</w:t>
            </w:r>
            <w:r>
              <w:rPr>
                <w:snapToGrid w:val="0"/>
                <w:sz w:val="24"/>
              </w:rPr>
              <w:t>i</w:t>
            </w:r>
            <w:r>
              <w:rPr>
                <w:rFonts w:hAnsi="宋体"/>
                <w:snapToGrid w:val="0"/>
                <w:sz w:val="24"/>
              </w:rPr>
              <w:t>的水质评价标准限值（</w:t>
            </w:r>
            <w:r>
              <w:rPr>
                <w:snapToGrid w:val="0"/>
                <w:sz w:val="24"/>
              </w:rPr>
              <w:t>mg/L</w:t>
            </w:r>
            <w:r>
              <w:rPr>
                <w:rFonts w:hAnsi="宋体"/>
                <w:snapToGrid w:val="0"/>
                <w:sz w:val="24"/>
              </w:rPr>
              <w:t>）；</w:t>
            </w:r>
          </w:p>
          <w:p w14:paraId="6E359C96">
            <w:pPr>
              <w:adjustRightInd w:val="0"/>
              <w:snapToGrid w:val="0"/>
              <w:spacing w:line="480" w:lineRule="exact"/>
              <w:ind w:firstLine="480"/>
              <w:textAlignment w:val="center"/>
              <w:rPr>
                <w:snapToGrid w:val="0"/>
                <w:sz w:val="24"/>
              </w:rPr>
            </w:pPr>
            <w:r>
              <w:rPr>
                <w:rFonts w:hAnsi="宋体"/>
                <w:snapToGrid w:val="0"/>
                <w:sz w:val="24"/>
              </w:rPr>
              <w:t>②特殊水质因子：</w:t>
            </w:r>
            <w:r>
              <w:rPr>
                <w:snapToGrid w:val="0"/>
                <w:sz w:val="24"/>
              </w:rPr>
              <w:t>pH</w:t>
            </w:r>
            <w:r>
              <w:rPr>
                <w:rFonts w:hAnsi="宋体"/>
                <w:snapToGrid w:val="0"/>
                <w:sz w:val="24"/>
              </w:rPr>
              <w:t>的标准指数：</w:t>
            </w:r>
          </w:p>
          <w:p w14:paraId="6A77B232">
            <w:pPr>
              <w:spacing w:line="360" w:lineRule="auto"/>
              <w:jc w:val="center"/>
              <w:rPr>
                <w:sz w:val="24"/>
              </w:rPr>
            </w:pPr>
            <w:r>
              <w:rPr>
                <w:position w:val="-30"/>
                <w:sz w:val="24"/>
              </w:rPr>
              <w:object>
                <v:shape id="_x0000_i1029" o:spt="75" type="#_x0000_t75" style="height:36pt;width:101.25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Ansi="宋体"/>
                <w:sz w:val="24"/>
              </w:rPr>
              <w:t>，</w:t>
            </w:r>
            <w:r>
              <w:rPr>
                <w:position w:val="-14"/>
                <w:sz w:val="24"/>
              </w:rPr>
              <w:object>
                <v:shape id="_x0000_i1030" o:spt="75" type="#_x0000_t75" style="height:18.75pt;width:53.25pt;" o:ole="t" filled="f" o:preferrelative="t" stroked="f" coordsize="21600,21600">
                  <v:path/>
                  <v:fill on="f" focussize="0,0"/>
                  <v:stroke on="f" joinstyle="miter"/>
                  <v:imagedata r:id="rId21" o:title=""/>
                  <o:lock v:ext="edit" aspectratio="t"/>
                  <w10:wrap type="none"/>
                  <w10:anchorlock/>
                </v:shape>
                <o:OLEObject Type="Embed" ProgID="Equation.KSEE3" ShapeID="_x0000_i1030" DrawAspect="Content" ObjectID="_1468075730" r:id="rId20">
                  <o:LockedField>false</o:LockedField>
                </o:OLEObject>
              </w:object>
            </w:r>
          </w:p>
          <w:p w14:paraId="17598D95">
            <w:pPr>
              <w:spacing w:line="360" w:lineRule="auto"/>
              <w:jc w:val="center"/>
              <w:rPr>
                <w:snapToGrid w:val="0"/>
                <w:sz w:val="24"/>
              </w:rPr>
            </w:pPr>
            <w:r>
              <w:rPr>
                <w:position w:val="-30"/>
                <w:sz w:val="24"/>
              </w:rPr>
              <w:object>
                <v:shape id="_x0000_i1031" o:spt="75" type="#_x0000_t75" style="height:36pt;width:101.25pt;" o:ole="t" filled="f" o:preferrelative="t" stroked="f" coordsize="21600,21600">
                  <v:path/>
                  <v:fill on="f" focussize="0,0"/>
                  <v:stroke on="f" joinstyle="miter"/>
                  <v:imagedata r:id="rId23" o:title=""/>
                  <o:lock v:ext="edit" aspectratio="t"/>
                  <w10:wrap type="none"/>
                  <w10:anchorlock/>
                </v:shape>
                <o:OLEObject Type="Embed" ProgID="Equation.KSEE3" ShapeID="_x0000_i1031" DrawAspect="Content" ObjectID="_1468075731" r:id="rId22">
                  <o:LockedField>false</o:LockedField>
                </o:OLEObject>
              </w:object>
            </w:r>
            <w:r>
              <w:rPr>
                <w:rFonts w:hAnsi="宋体"/>
                <w:sz w:val="24"/>
              </w:rPr>
              <w:t>，</w:t>
            </w:r>
            <w:r>
              <w:rPr>
                <w:position w:val="-14"/>
                <w:sz w:val="24"/>
              </w:rPr>
              <w:object>
                <v:shape id="_x0000_i1032" o:spt="75" type="#_x0000_t75" style="height:18.75pt;width:53.25pt;" o:ole="t" filled="f" o:preferrelative="t" stroked="f" coordsize="21600,21600">
                  <v:path/>
                  <v:fill on="f" focussize="0,0"/>
                  <v:stroke on="f" joinstyle="miter"/>
                  <v:imagedata r:id="rId25" o:title=""/>
                  <o:lock v:ext="edit" aspectratio="t"/>
                  <w10:wrap type="none"/>
                  <w10:anchorlock/>
                </v:shape>
                <o:OLEObject Type="Embed" ProgID="Equation.KSEE3" ShapeID="_x0000_i1032" DrawAspect="Content" ObjectID="_1468075732" r:id="rId24">
                  <o:LockedField>false</o:LockedField>
                </o:OLEObject>
              </w:object>
            </w:r>
          </w:p>
          <w:p w14:paraId="5B32619A">
            <w:pPr>
              <w:adjustRightInd w:val="0"/>
              <w:snapToGrid w:val="0"/>
              <w:spacing w:line="480" w:lineRule="exact"/>
              <w:ind w:firstLine="480" w:firstLineChars="200"/>
              <w:textAlignment w:val="center"/>
              <w:rPr>
                <w:snapToGrid w:val="0"/>
                <w:sz w:val="24"/>
              </w:rPr>
            </w:pPr>
            <w:r>
              <w:rPr>
                <w:rFonts w:hAnsi="宋体"/>
                <w:snapToGrid w:val="0"/>
                <w:sz w:val="24"/>
              </w:rPr>
              <w:t>式中：</w:t>
            </w:r>
            <w:r>
              <w:rPr>
                <w:snapToGrid w:val="0"/>
                <w:sz w:val="24"/>
              </w:rPr>
              <w:t>S</w:t>
            </w:r>
            <w:r>
              <w:rPr>
                <w:snapToGrid w:val="0"/>
                <w:sz w:val="24"/>
                <w:vertAlign w:val="subscript"/>
              </w:rPr>
              <w:t>pH</w:t>
            </w:r>
            <w:r>
              <w:rPr>
                <w:rFonts w:hAnsi="宋体"/>
                <w:snapToGrid w:val="0"/>
                <w:sz w:val="24"/>
                <w:vertAlign w:val="subscript"/>
              </w:rPr>
              <w:t>，</w:t>
            </w:r>
            <w:r>
              <w:rPr>
                <w:snapToGrid w:val="0"/>
                <w:sz w:val="24"/>
                <w:vertAlign w:val="subscript"/>
              </w:rPr>
              <w:t>j</w:t>
            </w:r>
            <w:r>
              <w:rPr>
                <w:snapToGrid w:val="0"/>
                <w:sz w:val="24"/>
              </w:rPr>
              <w:t>—pH</w:t>
            </w:r>
            <w:r>
              <w:rPr>
                <w:rFonts w:hAnsi="宋体"/>
                <w:snapToGrid w:val="0"/>
                <w:sz w:val="24"/>
              </w:rPr>
              <w:t>值的标准指数；</w:t>
            </w:r>
          </w:p>
          <w:p w14:paraId="54A03AFB">
            <w:pPr>
              <w:adjustRightInd w:val="0"/>
              <w:snapToGrid w:val="0"/>
              <w:spacing w:line="480" w:lineRule="exact"/>
              <w:ind w:firstLine="1200" w:firstLineChars="500"/>
              <w:textAlignment w:val="center"/>
              <w:rPr>
                <w:snapToGrid w:val="0"/>
                <w:sz w:val="24"/>
              </w:rPr>
            </w:pPr>
            <w:r>
              <w:rPr>
                <w:snapToGrid w:val="0"/>
                <w:sz w:val="24"/>
              </w:rPr>
              <w:t>pH</w:t>
            </w:r>
            <w:r>
              <w:rPr>
                <w:snapToGrid w:val="0"/>
                <w:sz w:val="24"/>
                <w:vertAlign w:val="subscript"/>
              </w:rPr>
              <w:t>j</w:t>
            </w:r>
            <w:r>
              <w:rPr>
                <w:snapToGrid w:val="0"/>
                <w:sz w:val="24"/>
              </w:rPr>
              <w:t>—pH</w:t>
            </w:r>
            <w:r>
              <w:rPr>
                <w:rFonts w:hAnsi="宋体"/>
                <w:snapToGrid w:val="0"/>
                <w:sz w:val="24"/>
              </w:rPr>
              <w:t>的实测值；</w:t>
            </w:r>
          </w:p>
          <w:p w14:paraId="05E5E661">
            <w:pPr>
              <w:adjustRightInd w:val="0"/>
              <w:snapToGrid w:val="0"/>
              <w:spacing w:line="480" w:lineRule="exact"/>
              <w:ind w:firstLine="1200" w:firstLineChars="500"/>
              <w:textAlignment w:val="center"/>
              <w:rPr>
                <w:snapToGrid w:val="0"/>
                <w:sz w:val="24"/>
              </w:rPr>
            </w:pPr>
            <w:r>
              <w:rPr>
                <w:snapToGrid w:val="0"/>
                <w:sz w:val="24"/>
              </w:rPr>
              <w:t>pH</w:t>
            </w:r>
            <w:r>
              <w:rPr>
                <w:snapToGrid w:val="0"/>
                <w:sz w:val="24"/>
                <w:vertAlign w:val="subscript"/>
              </w:rPr>
              <w:t>sd</w:t>
            </w:r>
            <w:r>
              <w:rPr>
                <w:snapToGrid w:val="0"/>
                <w:sz w:val="24"/>
              </w:rPr>
              <w:t>—</w:t>
            </w:r>
            <w:r>
              <w:rPr>
                <w:rFonts w:hAnsi="宋体"/>
                <w:snapToGrid w:val="0"/>
                <w:sz w:val="24"/>
              </w:rPr>
              <w:t>地表水水质标准中规定的</w:t>
            </w:r>
            <w:r>
              <w:rPr>
                <w:snapToGrid w:val="0"/>
                <w:sz w:val="24"/>
              </w:rPr>
              <w:t>pH</w:t>
            </w:r>
            <w:r>
              <w:rPr>
                <w:rFonts w:hAnsi="宋体"/>
                <w:snapToGrid w:val="0"/>
                <w:sz w:val="24"/>
              </w:rPr>
              <w:t>下限；</w:t>
            </w:r>
          </w:p>
          <w:p w14:paraId="46DB48BF">
            <w:pPr>
              <w:adjustRightInd w:val="0"/>
              <w:snapToGrid w:val="0"/>
              <w:spacing w:line="480" w:lineRule="exact"/>
              <w:ind w:firstLine="1200" w:firstLineChars="500"/>
              <w:textAlignment w:val="center"/>
              <w:rPr>
                <w:sz w:val="24"/>
              </w:rPr>
            </w:pPr>
            <w:r>
              <w:rPr>
                <w:snapToGrid w:val="0"/>
                <w:sz w:val="24"/>
              </w:rPr>
              <w:t>pH</w:t>
            </w:r>
            <w:r>
              <w:rPr>
                <w:snapToGrid w:val="0"/>
                <w:sz w:val="24"/>
                <w:vertAlign w:val="subscript"/>
              </w:rPr>
              <w:t>su</w:t>
            </w:r>
            <w:r>
              <w:rPr>
                <w:snapToGrid w:val="0"/>
                <w:sz w:val="24"/>
              </w:rPr>
              <w:t>—</w:t>
            </w:r>
            <w:r>
              <w:rPr>
                <w:rFonts w:hAnsi="宋体"/>
                <w:snapToGrid w:val="0"/>
                <w:sz w:val="24"/>
              </w:rPr>
              <w:t>地表水水质标准中规定的</w:t>
            </w:r>
            <w:r>
              <w:rPr>
                <w:snapToGrid w:val="0"/>
                <w:sz w:val="24"/>
              </w:rPr>
              <w:t>pH</w:t>
            </w:r>
            <w:r>
              <w:rPr>
                <w:rFonts w:hAnsi="宋体"/>
                <w:snapToGrid w:val="0"/>
                <w:sz w:val="24"/>
              </w:rPr>
              <w:t>上限。</w:t>
            </w:r>
          </w:p>
          <w:p w14:paraId="7D6FFDEB">
            <w:pPr>
              <w:adjustRightInd w:val="0"/>
              <w:snapToGrid w:val="0"/>
              <w:spacing w:line="480" w:lineRule="exact"/>
              <w:ind w:firstLine="427" w:firstLineChars="178"/>
              <w:rPr>
                <w:sz w:val="24"/>
              </w:rPr>
            </w:pPr>
            <w:r>
              <w:rPr>
                <w:rFonts w:hAnsi="宋体"/>
                <w:sz w:val="24"/>
              </w:rPr>
              <w:t>（</w:t>
            </w:r>
            <w:r>
              <w:rPr>
                <w:sz w:val="24"/>
              </w:rPr>
              <w:t>6</w:t>
            </w:r>
            <w:r>
              <w:rPr>
                <w:rFonts w:hAnsi="宋体"/>
                <w:sz w:val="24"/>
              </w:rPr>
              <w:t>）监测结果及分析</w:t>
            </w:r>
            <w:r>
              <w:rPr>
                <w:sz w:val="24"/>
              </w:rPr>
              <w:t xml:space="preserve"> </w:t>
            </w:r>
          </w:p>
          <w:p w14:paraId="2032B923">
            <w:pPr>
              <w:adjustRightInd w:val="0"/>
              <w:snapToGrid w:val="0"/>
              <w:spacing w:line="480" w:lineRule="exact"/>
              <w:ind w:firstLine="427" w:firstLineChars="178"/>
              <w:rPr>
                <w:b/>
                <w:bCs/>
                <w:sz w:val="24"/>
              </w:rPr>
            </w:pPr>
            <w:r>
              <w:rPr>
                <w:rFonts w:hAnsi="宋体"/>
                <w:sz w:val="24"/>
              </w:rPr>
              <w:t>地表水水质监测结果见下表</w:t>
            </w:r>
            <w:r>
              <w:rPr>
                <w:sz w:val="24"/>
              </w:rPr>
              <w:t>3.1-3</w:t>
            </w:r>
            <w:r>
              <w:rPr>
                <w:rFonts w:hAnsi="宋体"/>
                <w:sz w:val="24"/>
              </w:rPr>
              <w:t>。</w:t>
            </w:r>
          </w:p>
          <w:p w14:paraId="43ADD047">
            <w:pPr>
              <w:spacing w:line="480" w:lineRule="exact"/>
              <w:ind w:firstLine="375" w:firstLineChars="178"/>
              <w:jc w:val="center"/>
              <w:rPr>
                <w:b/>
                <w:bCs/>
                <w:szCs w:val="21"/>
              </w:rPr>
            </w:pPr>
            <w:r>
              <w:rPr>
                <w:b/>
                <w:bCs/>
                <w:szCs w:val="21"/>
              </w:rPr>
              <w:t>表3.1-3  地表水监测结果一览表  单位：mg/L，pH无量纲</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28" w:type="dxa"/>
                <w:left w:w="28" w:type="dxa"/>
                <w:bottom w:w="28" w:type="dxa"/>
                <w:right w:w="28" w:type="dxa"/>
              </w:tblCellMar>
            </w:tblPr>
            <w:tblGrid>
              <w:gridCol w:w="1115"/>
              <w:gridCol w:w="1885"/>
              <w:gridCol w:w="1715"/>
              <w:gridCol w:w="1416"/>
              <w:gridCol w:w="1866"/>
            </w:tblGrid>
            <w:tr w14:paraId="6DA750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1111" w:type="dxa"/>
                  <w:vAlign w:val="center"/>
                </w:tcPr>
                <w:p w14:paraId="082799E2">
                  <w:pPr>
                    <w:pStyle w:val="10"/>
                    <w:jc w:val="center"/>
                    <w:rPr>
                      <w:rFonts w:ascii="Times New Roman" w:hAnsi="Times New Roman"/>
                      <w:bCs/>
                    </w:rPr>
                  </w:pPr>
                  <w:r>
                    <w:rPr>
                      <w:rFonts w:ascii="Times New Roman" w:hAnsi="Times New Roman"/>
                      <w:bCs/>
                    </w:rPr>
                    <w:t>监测断面</w:t>
                  </w:r>
                </w:p>
              </w:tc>
              <w:tc>
                <w:tcPr>
                  <w:tcW w:w="1877" w:type="dxa"/>
                  <w:vAlign w:val="center"/>
                </w:tcPr>
                <w:p w14:paraId="6B99F48B">
                  <w:pPr>
                    <w:pStyle w:val="10"/>
                    <w:jc w:val="center"/>
                    <w:rPr>
                      <w:rFonts w:ascii="Times New Roman" w:hAnsi="Times New Roman"/>
                      <w:bCs/>
                    </w:rPr>
                  </w:pPr>
                  <w:r>
                    <w:rPr>
                      <w:rFonts w:ascii="Times New Roman" w:hAnsi="Times New Roman"/>
                      <w:bCs/>
                    </w:rPr>
                    <w:t>监测项目</w:t>
                  </w:r>
                </w:p>
              </w:tc>
              <w:tc>
                <w:tcPr>
                  <w:tcW w:w="1708" w:type="dxa"/>
                  <w:vAlign w:val="center"/>
                </w:tcPr>
                <w:p w14:paraId="6965EC74">
                  <w:pPr>
                    <w:pStyle w:val="10"/>
                    <w:jc w:val="center"/>
                    <w:rPr>
                      <w:rFonts w:ascii="Times New Roman" w:hAnsi="Times New Roman"/>
                      <w:bCs/>
                    </w:rPr>
                  </w:pPr>
                  <w:r>
                    <w:rPr>
                      <w:rFonts w:ascii="Times New Roman" w:hAnsi="Times New Roman"/>
                      <w:bCs/>
                    </w:rPr>
                    <w:t>监测结果</w:t>
                  </w:r>
                </w:p>
              </w:tc>
              <w:tc>
                <w:tcPr>
                  <w:tcW w:w="1410" w:type="dxa"/>
                  <w:vAlign w:val="center"/>
                </w:tcPr>
                <w:p w14:paraId="175F9606">
                  <w:pPr>
                    <w:pStyle w:val="10"/>
                    <w:jc w:val="center"/>
                    <w:rPr>
                      <w:rFonts w:ascii="Times New Roman" w:hAnsi="Times New Roman"/>
                      <w:bCs/>
                    </w:rPr>
                  </w:pPr>
                  <w:r>
                    <w:rPr>
                      <w:rFonts w:ascii="Times New Roman" w:hAnsi="Times New Roman"/>
                      <w:bCs/>
                    </w:rPr>
                    <w:t>标准值（</w:t>
                  </w:r>
                  <w:r>
                    <w:rPr>
                      <w:rFonts w:hint="eastAsia" w:hAnsi="宋体" w:cs="宋体"/>
                      <w:bCs/>
                    </w:rPr>
                    <w:t>Ⅲ</w:t>
                  </w:r>
                  <w:r>
                    <w:rPr>
                      <w:rFonts w:ascii="Times New Roman" w:hAnsi="Times New Roman"/>
                      <w:bCs/>
                    </w:rPr>
                    <w:t>类）</w:t>
                  </w:r>
                </w:p>
              </w:tc>
              <w:tc>
                <w:tcPr>
                  <w:tcW w:w="1858" w:type="dxa"/>
                  <w:vAlign w:val="center"/>
                </w:tcPr>
                <w:p w14:paraId="18B422E0">
                  <w:pPr>
                    <w:pStyle w:val="10"/>
                    <w:jc w:val="center"/>
                    <w:rPr>
                      <w:rFonts w:ascii="Times New Roman" w:hAnsi="Times New Roman"/>
                      <w:bCs/>
                    </w:rPr>
                  </w:pPr>
                  <w:r>
                    <w:rPr>
                      <w:rFonts w:ascii="Times New Roman" w:hAnsi="Times New Roman"/>
                      <w:bCs/>
                    </w:rPr>
                    <w:t>最大标准指数（S</w:t>
                  </w:r>
                  <w:r>
                    <w:rPr>
                      <w:rFonts w:ascii="Times New Roman" w:hAnsi="Times New Roman"/>
                      <w:bCs/>
                      <w:vertAlign w:val="subscript"/>
                    </w:rPr>
                    <w:t>i，j</w:t>
                  </w:r>
                  <w:r>
                    <w:rPr>
                      <w:rFonts w:ascii="Times New Roman" w:hAnsi="Times New Roman"/>
                      <w:bCs/>
                    </w:rPr>
                    <w:t>）</w:t>
                  </w:r>
                </w:p>
              </w:tc>
            </w:tr>
            <w:tr w14:paraId="3F93B8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1111" w:type="dxa"/>
                  <w:vMerge w:val="restart"/>
                  <w:vAlign w:val="center"/>
                </w:tcPr>
                <w:p w14:paraId="1DF52CB0">
                  <w:pPr>
                    <w:pStyle w:val="10"/>
                    <w:jc w:val="center"/>
                    <w:rPr>
                      <w:rFonts w:ascii="Times New Roman" w:hAnsi="Times New Roman"/>
                    </w:rPr>
                  </w:pPr>
                  <w:r>
                    <w:rPr>
                      <w:rFonts w:ascii="Times New Roman" w:hAnsi="Times New Roman"/>
                    </w:rPr>
                    <w:t>B1</w:t>
                  </w:r>
                </w:p>
              </w:tc>
              <w:tc>
                <w:tcPr>
                  <w:tcW w:w="1877" w:type="dxa"/>
                  <w:vAlign w:val="center"/>
                </w:tcPr>
                <w:p w14:paraId="64279182">
                  <w:pPr>
                    <w:pStyle w:val="10"/>
                    <w:jc w:val="center"/>
                    <w:rPr>
                      <w:rFonts w:ascii="Times New Roman" w:hAnsi="Times New Roman"/>
                    </w:rPr>
                  </w:pPr>
                  <w:r>
                    <w:rPr>
                      <w:rFonts w:ascii="Times New Roman" w:hAnsi="Times New Roman"/>
                    </w:rPr>
                    <w:t>pH</w:t>
                  </w:r>
                </w:p>
              </w:tc>
              <w:tc>
                <w:tcPr>
                  <w:tcW w:w="1708" w:type="dxa"/>
                  <w:vAlign w:val="center"/>
                </w:tcPr>
                <w:p w14:paraId="1B98A4DC">
                  <w:pPr>
                    <w:jc w:val="center"/>
                    <w:rPr>
                      <w:szCs w:val="21"/>
                    </w:rPr>
                  </w:pPr>
                  <w:r>
                    <w:rPr>
                      <w:szCs w:val="21"/>
                    </w:rPr>
                    <w:t>7.28～7.37</w:t>
                  </w:r>
                </w:p>
              </w:tc>
              <w:tc>
                <w:tcPr>
                  <w:tcW w:w="1410" w:type="dxa"/>
                  <w:vAlign w:val="center"/>
                </w:tcPr>
                <w:p w14:paraId="7E62208D">
                  <w:pPr>
                    <w:jc w:val="center"/>
                    <w:rPr>
                      <w:szCs w:val="21"/>
                    </w:rPr>
                  </w:pPr>
                  <w:r>
                    <w:rPr>
                      <w:szCs w:val="21"/>
                    </w:rPr>
                    <w:t>6～9</w:t>
                  </w:r>
                </w:p>
              </w:tc>
              <w:tc>
                <w:tcPr>
                  <w:tcW w:w="1858" w:type="dxa"/>
                  <w:vAlign w:val="center"/>
                </w:tcPr>
                <w:p w14:paraId="296C4FBB">
                  <w:pPr>
                    <w:jc w:val="center"/>
                    <w:rPr>
                      <w:szCs w:val="21"/>
                    </w:rPr>
                  </w:pPr>
                  <w:r>
                    <w:rPr>
                      <w:szCs w:val="21"/>
                    </w:rPr>
                    <w:t>0.185</w:t>
                  </w:r>
                </w:p>
              </w:tc>
            </w:tr>
            <w:tr w14:paraId="74EFF8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1111" w:type="dxa"/>
                  <w:vMerge w:val="continue"/>
                  <w:vAlign w:val="center"/>
                </w:tcPr>
                <w:p w14:paraId="4AB1BD3B">
                  <w:pPr>
                    <w:pStyle w:val="10"/>
                    <w:jc w:val="center"/>
                    <w:rPr>
                      <w:rFonts w:ascii="Times New Roman" w:hAnsi="Times New Roman"/>
                    </w:rPr>
                  </w:pPr>
                </w:p>
              </w:tc>
              <w:tc>
                <w:tcPr>
                  <w:tcW w:w="1877" w:type="dxa"/>
                  <w:vAlign w:val="center"/>
                </w:tcPr>
                <w:p w14:paraId="47FEBE2A">
                  <w:pPr>
                    <w:pStyle w:val="10"/>
                    <w:jc w:val="center"/>
                    <w:rPr>
                      <w:rFonts w:ascii="Times New Roman" w:hAnsi="Times New Roman"/>
                    </w:rPr>
                  </w:pPr>
                  <w:r>
                    <w:rPr>
                      <w:rFonts w:ascii="Times New Roman" w:hAnsi="Times New Roman"/>
                    </w:rPr>
                    <w:t>COD</w:t>
                  </w:r>
                </w:p>
              </w:tc>
              <w:tc>
                <w:tcPr>
                  <w:tcW w:w="1708" w:type="dxa"/>
                  <w:vAlign w:val="center"/>
                </w:tcPr>
                <w:p w14:paraId="4FCEB929">
                  <w:pPr>
                    <w:jc w:val="center"/>
                    <w:rPr>
                      <w:szCs w:val="21"/>
                    </w:rPr>
                  </w:pPr>
                  <w:r>
                    <w:rPr>
                      <w:szCs w:val="21"/>
                    </w:rPr>
                    <w:t>7～10</w:t>
                  </w:r>
                </w:p>
              </w:tc>
              <w:tc>
                <w:tcPr>
                  <w:tcW w:w="1410" w:type="dxa"/>
                  <w:vAlign w:val="center"/>
                </w:tcPr>
                <w:p w14:paraId="4D101B2A">
                  <w:pPr>
                    <w:jc w:val="center"/>
                    <w:rPr>
                      <w:szCs w:val="21"/>
                    </w:rPr>
                  </w:pPr>
                  <w:r>
                    <w:rPr>
                      <w:szCs w:val="21"/>
                    </w:rPr>
                    <w:t>≤20</w:t>
                  </w:r>
                </w:p>
              </w:tc>
              <w:tc>
                <w:tcPr>
                  <w:tcW w:w="1858" w:type="dxa"/>
                  <w:vAlign w:val="center"/>
                </w:tcPr>
                <w:p w14:paraId="168DF0A4">
                  <w:pPr>
                    <w:jc w:val="center"/>
                    <w:rPr>
                      <w:szCs w:val="21"/>
                    </w:rPr>
                  </w:pPr>
                  <w:r>
                    <w:rPr>
                      <w:szCs w:val="21"/>
                    </w:rPr>
                    <w:t>0.5</w:t>
                  </w:r>
                </w:p>
              </w:tc>
            </w:tr>
            <w:tr w14:paraId="04825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1111" w:type="dxa"/>
                  <w:vMerge w:val="continue"/>
                  <w:vAlign w:val="center"/>
                </w:tcPr>
                <w:p w14:paraId="2CBC18CE">
                  <w:pPr>
                    <w:pStyle w:val="10"/>
                    <w:jc w:val="center"/>
                    <w:rPr>
                      <w:rFonts w:ascii="Times New Roman" w:hAnsi="Times New Roman"/>
                    </w:rPr>
                  </w:pPr>
                </w:p>
              </w:tc>
              <w:tc>
                <w:tcPr>
                  <w:tcW w:w="1877" w:type="dxa"/>
                  <w:vAlign w:val="center"/>
                </w:tcPr>
                <w:p w14:paraId="0DC14984">
                  <w:pPr>
                    <w:pStyle w:val="10"/>
                    <w:jc w:val="center"/>
                    <w:rPr>
                      <w:rFonts w:ascii="Times New Roman" w:hAnsi="Times New Roman"/>
                    </w:rPr>
                  </w:pPr>
                  <w:r>
                    <w:rPr>
                      <w:rFonts w:ascii="Times New Roman" w:hAnsi="Times New Roman"/>
                    </w:rPr>
                    <w:t>BOD</w:t>
                  </w:r>
                  <w:r>
                    <w:rPr>
                      <w:rFonts w:ascii="Times New Roman" w:hAnsi="Times New Roman"/>
                      <w:vertAlign w:val="subscript"/>
                    </w:rPr>
                    <w:t>5</w:t>
                  </w:r>
                </w:p>
              </w:tc>
              <w:tc>
                <w:tcPr>
                  <w:tcW w:w="1708" w:type="dxa"/>
                  <w:vAlign w:val="center"/>
                </w:tcPr>
                <w:p w14:paraId="0926C6B5">
                  <w:pPr>
                    <w:jc w:val="center"/>
                    <w:rPr>
                      <w:szCs w:val="21"/>
                    </w:rPr>
                  </w:pPr>
                  <w:r>
                    <w:rPr>
                      <w:szCs w:val="21"/>
                    </w:rPr>
                    <w:t>2.8～3.4</w:t>
                  </w:r>
                </w:p>
              </w:tc>
              <w:tc>
                <w:tcPr>
                  <w:tcW w:w="1410" w:type="dxa"/>
                  <w:vAlign w:val="center"/>
                </w:tcPr>
                <w:p w14:paraId="7DDB18F3">
                  <w:pPr>
                    <w:jc w:val="center"/>
                    <w:rPr>
                      <w:szCs w:val="21"/>
                    </w:rPr>
                  </w:pPr>
                  <w:r>
                    <w:rPr>
                      <w:szCs w:val="21"/>
                    </w:rPr>
                    <w:t>≤4</w:t>
                  </w:r>
                </w:p>
              </w:tc>
              <w:tc>
                <w:tcPr>
                  <w:tcW w:w="1858" w:type="dxa"/>
                  <w:vAlign w:val="center"/>
                </w:tcPr>
                <w:p w14:paraId="218169D0">
                  <w:pPr>
                    <w:jc w:val="center"/>
                    <w:rPr>
                      <w:szCs w:val="21"/>
                    </w:rPr>
                  </w:pPr>
                  <w:r>
                    <w:rPr>
                      <w:szCs w:val="21"/>
                    </w:rPr>
                    <w:t>0.85</w:t>
                  </w:r>
                </w:p>
              </w:tc>
            </w:tr>
            <w:tr w14:paraId="55248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jc w:val="center"/>
              </w:trPr>
              <w:tc>
                <w:tcPr>
                  <w:tcW w:w="1111" w:type="dxa"/>
                  <w:vMerge w:val="continue"/>
                  <w:vAlign w:val="center"/>
                </w:tcPr>
                <w:p w14:paraId="22B05C20">
                  <w:pPr>
                    <w:pStyle w:val="10"/>
                    <w:jc w:val="center"/>
                    <w:rPr>
                      <w:rFonts w:ascii="Times New Roman" w:hAnsi="Times New Roman"/>
                    </w:rPr>
                  </w:pPr>
                </w:p>
              </w:tc>
              <w:tc>
                <w:tcPr>
                  <w:tcW w:w="1877" w:type="dxa"/>
                  <w:vAlign w:val="center"/>
                </w:tcPr>
                <w:p w14:paraId="03D991CF">
                  <w:pPr>
                    <w:pStyle w:val="10"/>
                    <w:jc w:val="center"/>
                    <w:rPr>
                      <w:rFonts w:ascii="Times New Roman" w:hAnsi="Times New Roman"/>
                    </w:rPr>
                  </w:pPr>
                  <w:r>
                    <w:rPr>
                      <w:rFonts w:ascii="Times New Roman" w:hAnsi="Times New Roman"/>
                    </w:rPr>
                    <w:t>氨氮</w:t>
                  </w:r>
                </w:p>
              </w:tc>
              <w:tc>
                <w:tcPr>
                  <w:tcW w:w="1708" w:type="dxa"/>
                  <w:vAlign w:val="center"/>
                </w:tcPr>
                <w:p w14:paraId="23F913E4">
                  <w:pPr>
                    <w:jc w:val="center"/>
                    <w:rPr>
                      <w:szCs w:val="21"/>
                    </w:rPr>
                  </w:pPr>
                  <w:r>
                    <w:rPr>
                      <w:szCs w:val="21"/>
                    </w:rPr>
                    <w:t>0.262～0.301</w:t>
                  </w:r>
                </w:p>
              </w:tc>
              <w:tc>
                <w:tcPr>
                  <w:tcW w:w="1410" w:type="dxa"/>
                  <w:vAlign w:val="center"/>
                </w:tcPr>
                <w:p w14:paraId="05D3B935">
                  <w:pPr>
                    <w:jc w:val="center"/>
                    <w:rPr>
                      <w:szCs w:val="21"/>
                    </w:rPr>
                  </w:pPr>
                  <w:r>
                    <w:rPr>
                      <w:szCs w:val="21"/>
                    </w:rPr>
                    <w:t>≤1.0</w:t>
                  </w:r>
                </w:p>
              </w:tc>
              <w:tc>
                <w:tcPr>
                  <w:tcW w:w="1858" w:type="dxa"/>
                  <w:vAlign w:val="center"/>
                </w:tcPr>
                <w:p w14:paraId="69197D11">
                  <w:pPr>
                    <w:jc w:val="center"/>
                    <w:rPr>
                      <w:szCs w:val="21"/>
                    </w:rPr>
                  </w:pPr>
                  <w:r>
                    <w:rPr>
                      <w:szCs w:val="21"/>
                    </w:rPr>
                    <w:t>0.301</w:t>
                  </w:r>
                </w:p>
              </w:tc>
            </w:tr>
            <w:tr w14:paraId="6135B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1111" w:type="dxa"/>
                  <w:vMerge w:val="continue"/>
                  <w:vAlign w:val="center"/>
                </w:tcPr>
                <w:p w14:paraId="6D9E6357">
                  <w:pPr>
                    <w:pStyle w:val="10"/>
                    <w:jc w:val="center"/>
                    <w:rPr>
                      <w:rFonts w:ascii="Times New Roman" w:hAnsi="Times New Roman"/>
                    </w:rPr>
                  </w:pPr>
                </w:p>
              </w:tc>
              <w:tc>
                <w:tcPr>
                  <w:tcW w:w="1877" w:type="dxa"/>
                  <w:vAlign w:val="center"/>
                </w:tcPr>
                <w:p w14:paraId="7B4F4194">
                  <w:pPr>
                    <w:pStyle w:val="10"/>
                    <w:jc w:val="center"/>
                    <w:rPr>
                      <w:rFonts w:ascii="Times New Roman" w:hAnsi="Times New Roman"/>
                    </w:rPr>
                  </w:pPr>
                  <w:r>
                    <w:rPr>
                      <w:rFonts w:ascii="Times New Roman" w:hAnsi="Times New Roman"/>
                    </w:rPr>
                    <w:t>石油类</w:t>
                  </w:r>
                </w:p>
              </w:tc>
              <w:tc>
                <w:tcPr>
                  <w:tcW w:w="1708" w:type="dxa"/>
                  <w:vAlign w:val="center"/>
                </w:tcPr>
                <w:p w14:paraId="42A0CE8B">
                  <w:pPr>
                    <w:jc w:val="center"/>
                    <w:rPr>
                      <w:szCs w:val="21"/>
                    </w:rPr>
                  </w:pPr>
                  <w:r>
                    <w:rPr>
                      <w:szCs w:val="21"/>
                    </w:rPr>
                    <w:t>0.03～0.04</w:t>
                  </w:r>
                </w:p>
              </w:tc>
              <w:tc>
                <w:tcPr>
                  <w:tcW w:w="1410" w:type="dxa"/>
                  <w:vAlign w:val="center"/>
                </w:tcPr>
                <w:p w14:paraId="4070185A">
                  <w:pPr>
                    <w:jc w:val="center"/>
                    <w:rPr>
                      <w:szCs w:val="21"/>
                    </w:rPr>
                  </w:pPr>
                  <w:r>
                    <w:rPr>
                      <w:szCs w:val="21"/>
                    </w:rPr>
                    <w:t>≤0.05</w:t>
                  </w:r>
                </w:p>
              </w:tc>
              <w:tc>
                <w:tcPr>
                  <w:tcW w:w="1858" w:type="dxa"/>
                  <w:vAlign w:val="center"/>
                </w:tcPr>
                <w:p w14:paraId="4BC18454">
                  <w:pPr>
                    <w:jc w:val="center"/>
                    <w:rPr>
                      <w:szCs w:val="21"/>
                    </w:rPr>
                  </w:pPr>
                  <w:r>
                    <w:rPr>
                      <w:szCs w:val="21"/>
                    </w:rPr>
                    <w:t>0.8</w:t>
                  </w:r>
                </w:p>
              </w:tc>
            </w:tr>
            <w:tr w14:paraId="4B32D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165" w:hRule="atLeast"/>
                <w:jc w:val="center"/>
              </w:trPr>
              <w:tc>
                <w:tcPr>
                  <w:tcW w:w="1111" w:type="dxa"/>
                  <w:vMerge w:val="continue"/>
                  <w:vAlign w:val="center"/>
                </w:tcPr>
                <w:p w14:paraId="643308D4">
                  <w:pPr>
                    <w:pStyle w:val="10"/>
                    <w:jc w:val="center"/>
                    <w:rPr>
                      <w:rFonts w:ascii="Times New Roman" w:hAnsi="Times New Roman"/>
                    </w:rPr>
                  </w:pPr>
                </w:p>
              </w:tc>
              <w:tc>
                <w:tcPr>
                  <w:tcW w:w="1877" w:type="dxa"/>
                  <w:vAlign w:val="center"/>
                </w:tcPr>
                <w:p w14:paraId="7F11653B">
                  <w:pPr>
                    <w:pStyle w:val="10"/>
                    <w:jc w:val="center"/>
                    <w:rPr>
                      <w:rFonts w:ascii="Times New Roman" w:hAnsi="Times New Roman"/>
                    </w:rPr>
                  </w:pPr>
                  <w:r>
                    <w:rPr>
                      <w:rFonts w:ascii="Times New Roman" w:hAnsi="Times New Roman"/>
                    </w:rPr>
                    <w:t>粪大肠菌群（MPN/L）</w:t>
                  </w:r>
                </w:p>
              </w:tc>
              <w:tc>
                <w:tcPr>
                  <w:tcW w:w="1708" w:type="dxa"/>
                  <w:vAlign w:val="center"/>
                </w:tcPr>
                <w:p w14:paraId="1DD44D4A">
                  <w:pPr>
                    <w:jc w:val="center"/>
                    <w:rPr>
                      <w:szCs w:val="21"/>
                    </w:rPr>
                  </w:pPr>
                  <w:r>
                    <w:rPr>
                      <w:szCs w:val="21"/>
                    </w:rPr>
                    <w:t>1.1×10</w:t>
                  </w:r>
                  <w:r>
                    <w:rPr>
                      <w:szCs w:val="21"/>
                      <w:vertAlign w:val="superscript"/>
                    </w:rPr>
                    <w:t>2</w:t>
                  </w:r>
                  <w:r>
                    <w:rPr>
                      <w:szCs w:val="21"/>
                    </w:rPr>
                    <w:t>～1.3×10</w:t>
                  </w:r>
                  <w:r>
                    <w:rPr>
                      <w:szCs w:val="21"/>
                      <w:vertAlign w:val="superscript"/>
                    </w:rPr>
                    <w:t>2</w:t>
                  </w:r>
                </w:p>
              </w:tc>
              <w:tc>
                <w:tcPr>
                  <w:tcW w:w="1410" w:type="dxa"/>
                  <w:vAlign w:val="center"/>
                </w:tcPr>
                <w:p w14:paraId="11E813D4">
                  <w:pPr>
                    <w:jc w:val="center"/>
                    <w:rPr>
                      <w:szCs w:val="21"/>
                    </w:rPr>
                  </w:pPr>
                  <w:r>
                    <w:rPr>
                      <w:szCs w:val="21"/>
                    </w:rPr>
                    <w:t>≤10000</w:t>
                  </w:r>
                </w:p>
              </w:tc>
              <w:tc>
                <w:tcPr>
                  <w:tcW w:w="1858" w:type="dxa"/>
                  <w:vAlign w:val="center"/>
                </w:tcPr>
                <w:p w14:paraId="330834AE">
                  <w:pPr>
                    <w:jc w:val="center"/>
                    <w:rPr>
                      <w:szCs w:val="21"/>
                    </w:rPr>
                  </w:pPr>
                  <w:r>
                    <w:rPr>
                      <w:szCs w:val="21"/>
                    </w:rPr>
                    <w:t>0.013</w:t>
                  </w:r>
                </w:p>
              </w:tc>
            </w:tr>
            <w:tr w14:paraId="4E9649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1111" w:type="dxa"/>
                  <w:vMerge w:val="restart"/>
                  <w:vAlign w:val="center"/>
                </w:tcPr>
                <w:p w14:paraId="4D6E5DC4">
                  <w:pPr>
                    <w:pStyle w:val="10"/>
                    <w:jc w:val="center"/>
                    <w:rPr>
                      <w:rFonts w:ascii="Times New Roman" w:hAnsi="Times New Roman"/>
                    </w:rPr>
                  </w:pPr>
                  <w:r>
                    <w:rPr>
                      <w:rFonts w:ascii="Times New Roman" w:hAnsi="Times New Roman"/>
                    </w:rPr>
                    <w:t>B2</w:t>
                  </w:r>
                </w:p>
              </w:tc>
              <w:tc>
                <w:tcPr>
                  <w:tcW w:w="1877" w:type="dxa"/>
                  <w:vAlign w:val="center"/>
                </w:tcPr>
                <w:p w14:paraId="3622D8C9">
                  <w:pPr>
                    <w:pStyle w:val="10"/>
                    <w:jc w:val="center"/>
                    <w:rPr>
                      <w:rFonts w:ascii="Times New Roman" w:hAnsi="Times New Roman"/>
                    </w:rPr>
                  </w:pPr>
                  <w:r>
                    <w:rPr>
                      <w:rFonts w:ascii="Times New Roman" w:hAnsi="Times New Roman"/>
                    </w:rPr>
                    <w:t>pH</w:t>
                  </w:r>
                </w:p>
              </w:tc>
              <w:tc>
                <w:tcPr>
                  <w:tcW w:w="1708" w:type="dxa"/>
                  <w:vAlign w:val="center"/>
                </w:tcPr>
                <w:p w14:paraId="67F04DD9">
                  <w:pPr>
                    <w:jc w:val="center"/>
                    <w:rPr>
                      <w:szCs w:val="21"/>
                    </w:rPr>
                  </w:pPr>
                  <w:r>
                    <w:rPr>
                      <w:szCs w:val="21"/>
                    </w:rPr>
                    <w:t>7.31～7.45</w:t>
                  </w:r>
                </w:p>
              </w:tc>
              <w:tc>
                <w:tcPr>
                  <w:tcW w:w="1410" w:type="dxa"/>
                  <w:vAlign w:val="center"/>
                </w:tcPr>
                <w:p w14:paraId="0F2713DF">
                  <w:pPr>
                    <w:jc w:val="center"/>
                    <w:rPr>
                      <w:szCs w:val="21"/>
                    </w:rPr>
                  </w:pPr>
                  <w:r>
                    <w:rPr>
                      <w:szCs w:val="21"/>
                    </w:rPr>
                    <w:t>6～9</w:t>
                  </w:r>
                </w:p>
              </w:tc>
              <w:tc>
                <w:tcPr>
                  <w:tcW w:w="1858" w:type="dxa"/>
                  <w:vAlign w:val="center"/>
                </w:tcPr>
                <w:p w14:paraId="0070F125">
                  <w:pPr>
                    <w:jc w:val="center"/>
                    <w:rPr>
                      <w:szCs w:val="21"/>
                    </w:rPr>
                  </w:pPr>
                  <w:r>
                    <w:rPr>
                      <w:szCs w:val="21"/>
                    </w:rPr>
                    <w:t>0.225</w:t>
                  </w:r>
                </w:p>
              </w:tc>
            </w:tr>
            <w:tr w14:paraId="0053AF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1111" w:type="dxa"/>
                  <w:vMerge w:val="continue"/>
                  <w:vAlign w:val="center"/>
                </w:tcPr>
                <w:p w14:paraId="4F407C3F">
                  <w:pPr>
                    <w:pStyle w:val="10"/>
                    <w:jc w:val="center"/>
                    <w:rPr>
                      <w:rFonts w:ascii="Times New Roman" w:hAnsi="Times New Roman"/>
                    </w:rPr>
                  </w:pPr>
                </w:p>
              </w:tc>
              <w:tc>
                <w:tcPr>
                  <w:tcW w:w="1877" w:type="dxa"/>
                  <w:vAlign w:val="center"/>
                </w:tcPr>
                <w:p w14:paraId="0D47467D">
                  <w:pPr>
                    <w:pStyle w:val="10"/>
                    <w:jc w:val="center"/>
                    <w:rPr>
                      <w:rFonts w:ascii="Times New Roman" w:hAnsi="Times New Roman"/>
                    </w:rPr>
                  </w:pPr>
                  <w:r>
                    <w:rPr>
                      <w:rFonts w:ascii="Times New Roman" w:hAnsi="Times New Roman"/>
                    </w:rPr>
                    <w:t>COD</w:t>
                  </w:r>
                </w:p>
              </w:tc>
              <w:tc>
                <w:tcPr>
                  <w:tcW w:w="1708" w:type="dxa"/>
                  <w:vAlign w:val="center"/>
                </w:tcPr>
                <w:p w14:paraId="6EDCAAFA">
                  <w:pPr>
                    <w:jc w:val="center"/>
                    <w:rPr>
                      <w:szCs w:val="21"/>
                    </w:rPr>
                  </w:pPr>
                  <w:r>
                    <w:rPr>
                      <w:szCs w:val="21"/>
                    </w:rPr>
                    <w:t>11～14</w:t>
                  </w:r>
                </w:p>
              </w:tc>
              <w:tc>
                <w:tcPr>
                  <w:tcW w:w="1410" w:type="dxa"/>
                  <w:vAlign w:val="center"/>
                </w:tcPr>
                <w:p w14:paraId="24776AA3">
                  <w:pPr>
                    <w:jc w:val="center"/>
                    <w:rPr>
                      <w:szCs w:val="21"/>
                    </w:rPr>
                  </w:pPr>
                  <w:r>
                    <w:rPr>
                      <w:szCs w:val="21"/>
                    </w:rPr>
                    <w:t>≤20</w:t>
                  </w:r>
                </w:p>
              </w:tc>
              <w:tc>
                <w:tcPr>
                  <w:tcW w:w="1858" w:type="dxa"/>
                  <w:vAlign w:val="center"/>
                </w:tcPr>
                <w:p w14:paraId="103B6012">
                  <w:pPr>
                    <w:jc w:val="center"/>
                    <w:rPr>
                      <w:szCs w:val="21"/>
                    </w:rPr>
                  </w:pPr>
                  <w:r>
                    <w:rPr>
                      <w:szCs w:val="21"/>
                    </w:rPr>
                    <w:t>0.7</w:t>
                  </w:r>
                </w:p>
              </w:tc>
            </w:tr>
            <w:tr w14:paraId="2FC89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jc w:val="center"/>
              </w:trPr>
              <w:tc>
                <w:tcPr>
                  <w:tcW w:w="1111" w:type="dxa"/>
                  <w:vMerge w:val="continue"/>
                  <w:vAlign w:val="center"/>
                </w:tcPr>
                <w:p w14:paraId="479DC50C">
                  <w:pPr>
                    <w:pStyle w:val="10"/>
                    <w:jc w:val="center"/>
                    <w:rPr>
                      <w:rFonts w:ascii="Times New Roman" w:hAnsi="Times New Roman"/>
                    </w:rPr>
                  </w:pPr>
                </w:p>
              </w:tc>
              <w:tc>
                <w:tcPr>
                  <w:tcW w:w="1877" w:type="dxa"/>
                  <w:vAlign w:val="center"/>
                </w:tcPr>
                <w:p w14:paraId="76FA265F">
                  <w:pPr>
                    <w:pStyle w:val="10"/>
                    <w:jc w:val="center"/>
                    <w:rPr>
                      <w:rFonts w:ascii="Times New Roman" w:hAnsi="Times New Roman"/>
                    </w:rPr>
                  </w:pPr>
                  <w:r>
                    <w:rPr>
                      <w:rFonts w:ascii="Times New Roman" w:hAnsi="Times New Roman"/>
                    </w:rPr>
                    <w:t>BOD</w:t>
                  </w:r>
                  <w:r>
                    <w:rPr>
                      <w:rFonts w:ascii="Times New Roman" w:hAnsi="Times New Roman"/>
                      <w:vertAlign w:val="subscript"/>
                    </w:rPr>
                    <w:t>5</w:t>
                  </w:r>
                </w:p>
              </w:tc>
              <w:tc>
                <w:tcPr>
                  <w:tcW w:w="1708" w:type="dxa"/>
                  <w:vAlign w:val="center"/>
                </w:tcPr>
                <w:p w14:paraId="3142488E">
                  <w:pPr>
                    <w:jc w:val="center"/>
                    <w:rPr>
                      <w:szCs w:val="21"/>
                    </w:rPr>
                  </w:pPr>
                  <w:r>
                    <w:rPr>
                      <w:szCs w:val="21"/>
                    </w:rPr>
                    <w:t>2.6～2.9</w:t>
                  </w:r>
                </w:p>
              </w:tc>
              <w:tc>
                <w:tcPr>
                  <w:tcW w:w="1410" w:type="dxa"/>
                  <w:vAlign w:val="center"/>
                </w:tcPr>
                <w:p w14:paraId="77DA1EA7">
                  <w:pPr>
                    <w:jc w:val="center"/>
                    <w:rPr>
                      <w:szCs w:val="21"/>
                    </w:rPr>
                  </w:pPr>
                  <w:r>
                    <w:rPr>
                      <w:szCs w:val="21"/>
                    </w:rPr>
                    <w:t>≤4</w:t>
                  </w:r>
                </w:p>
              </w:tc>
              <w:tc>
                <w:tcPr>
                  <w:tcW w:w="1858" w:type="dxa"/>
                  <w:vAlign w:val="center"/>
                </w:tcPr>
                <w:p w14:paraId="058E7C11">
                  <w:pPr>
                    <w:jc w:val="center"/>
                    <w:rPr>
                      <w:szCs w:val="21"/>
                    </w:rPr>
                  </w:pPr>
                  <w:r>
                    <w:rPr>
                      <w:szCs w:val="21"/>
                    </w:rPr>
                    <w:t>0.725</w:t>
                  </w:r>
                </w:p>
              </w:tc>
            </w:tr>
            <w:tr w14:paraId="590ED3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jc w:val="center"/>
              </w:trPr>
              <w:tc>
                <w:tcPr>
                  <w:tcW w:w="1111" w:type="dxa"/>
                  <w:vMerge w:val="continue"/>
                  <w:vAlign w:val="center"/>
                </w:tcPr>
                <w:p w14:paraId="092174B1">
                  <w:pPr>
                    <w:pStyle w:val="10"/>
                    <w:jc w:val="center"/>
                    <w:rPr>
                      <w:rFonts w:ascii="Times New Roman" w:hAnsi="Times New Roman"/>
                    </w:rPr>
                  </w:pPr>
                </w:p>
              </w:tc>
              <w:tc>
                <w:tcPr>
                  <w:tcW w:w="1877" w:type="dxa"/>
                  <w:vAlign w:val="center"/>
                </w:tcPr>
                <w:p w14:paraId="22C1EA23">
                  <w:pPr>
                    <w:pStyle w:val="10"/>
                    <w:jc w:val="center"/>
                    <w:rPr>
                      <w:rFonts w:ascii="Times New Roman" w:hAnsi="Times New Roman"/>
                    </w:rPr>
                  </w:pPr>
                  <w:r>
                    <w:rPr>
                      <w:rFonts w:ascii="Times New Roman" w:hAnsi="Times New Roman"/>
                    </w:rPr>
                    <w:t>氨氮</w:t>
                  </w:r>
                </w:p>
              </w:tc>
              <w:tc>
                <w:tcPr>
                  <w:tcW w:w="1708" w:type="dxa"/>
                  <w:vAlign w:val="center"/>
                </w:tcPr>
                <w:p w14:paraId="2FB3A7FF">
                  <w:pPr>
                    <w:jc w:val="center"/>
                    <w:rPr>
                      <w:szCs w:val="21"/>
                    </w:rPr>
                  </w:pPr>
                  <w:r>
                    <w:rPr>
                      <w:szCs w:val="21"/>
                    </w:rPr>
                    <w:t>0.304～0.334</w:t>
                  </w:r>
                </w:p>
              </w:tc>
              <w:tc>
                <w:tcPr>
                  <w:tcW w:w="1410" w:type="dxa"/>
                  <w:vAlign w:val="center"/>
                </w:tcPr>
                <w:p w14:paraId="0AFFCF1B">
                  <w:pPr>
                    <w:jc w:val="center"/>
                    <w:rPr>
                      <w:szCs w:val="21"/>
                    </w:rPr>
                  </w:pPr>
                  <w:r>
                    <w:rPr>
                      <w:szCs w:val="21"/>
                    </w:rPr>
                    <w:t>≤1.0</w:t>
                  </w:r>
                </w:p>
              </w:tc>
              <w:tc>
                <w:tcPr>
                  <w:tcW w:w="1858" w:type="dxa"/>
                  <w:vAlign w:val="center"/>
                </w:tcPr>
                <w:p w14:paraId="775F8332">
                  <w:pPr>
                    <w:jc w:val="center"/>
                    <w:rPr>
                      <w:szCs w:val="21"/>
                    </w:rPr>
                  </w:pPr>
                  <w:r>
                    <w:rPr>
                      <w:szCs w:val="21"/>
                    </w:rPr>
                    <w:t>0.334</w:t>
                  </w:r>
                </w:p>
              </w:tc>
            </w:tr>
            <w:tr w14:paraId="5441A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jc w:val="center"/>
              </w:trPr>
              <w:tc>
                <w:tcPr>
                  <w:tcW w:w="1111" w:type="dxa"/>
                  <w:vMerge w:val="continue"/>
                  <w:vAlign w:val="center"/>
                </w:tcPr>
                <w:p w14:paraId="7C51F9E4">
                  <w:pPr>
                    <w:pStyle w:val="10"/>
                    <w:jc w:val="center"/>
                    <w:rPr>
                      <w:rFonts w:ascii="Times New Roman" w:hAnsi="Times New Roman"/>
                    </w:rPr>
                  </w:pPr>
                </w:p>
              </w:tc>
              <w:tc>
                <w:tcPr>
                  <w:tcW w:w="1877" w:type="dxa"/>
                  <w:vAlign w:val="center"/>
                </w:tcPr>
                <w:p w14:paraId="726BA97E">
                  <w:pPr>
                    <w:pStyle w:val="10"/>
                    <w:jc w:val="center"/>
                    <w:rPr>
                      <w:rFonts w:ascii="Times New Roman" w:hAnsi="Times New Roman"/>
                    </w:rPr>
                  </w:pPr>
                  <w:r>
                    <w:rPr>
                      <w:rFonts w:ascii="Times New Roman" w:hAnsi="Times New Roman"/>
                    </w:rPr>
                    <w:t>石油类</w:t>
                  </w:r>
                </w:p>
              </w:tc>
              <w:tc>
                <w:tcPr>
                  <w:tcW w:w="1708" w:type="dxa"/>
                  <w:vAlign w:val="center"/>
                </w:tcPr>
                <w:p w14:paraId="602AB239">
                  <w:pPr>
                    <w:jc w:val="center"/>
                    <w:rPr>
                      <w:szCs w:val="21"/>
                    </w:rPr>
                  </w:pPr>
                  <w:r>
                    <w:rPr>
                      <w:szCs w:val="21"/>
                    </w:rPr>
                    <w:t>0.02～0.03</w:t>
                  </w:r>
                </w:p>
              </w:tc>
              <w:tc>
                <w:tcPr>
                  <w:tcW w:w="1410" w:type="dxa"/>
                  <w:vAlign w:val="center"/>
                </w:tcPr>
                <w:p w14:paraId="42CD7479">
                  <w:pPr>
                    <w:jc w:val="center"/>
                    <w:rPr>
                      <w:szCs w:val="21"/>
                    </w:rPr>
                  </w:pPr>
                  <w:r>
                    <w:rPr>
                      <w:szCs w:val="21"/>
                    </w:rPr>
                    <w:t>≤0.05</w:t>
                  </w:r>
                </w:p>
              </w:tc>
              <w:tc>
                <w:tcPr>
                  <w:tcW w:w="1858" w:type="dxa"/>
                  <w:vAlign w:val="center"/>
                </w:tcPr>
                <w:p w14:paraId="6CB38B4F">
                  <w:pPr>
                    <w:jc w:val="center"/>
                    <w:rPr>
                      <w:szCs w:val="21"/>
                    </w:rPr>
                  </w:pPr>
                  <w:r>
                    <w:rPr>
                      <w:szCs w:val="21"/>
                    </w:rPr>
                    <w:t>0.6</w:t>
                  </w:r>
                </w:p>
              </w:tc>
            </w:tr>
            <w:tr w14:paraId="1FF26A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28" w:type="dxa"/>
                  <w:bottom w:w="28" w:type="dxa"/>
                  <w:right w:w="28" w:type="dxa"/>
                </w:tblCellMar>
              </w:tblPrEx>
              <w:trPr>
                <w:jc w:val="center"/>
              </w:trPr>
              <w:tc>
                <w:tcPr>
                  <w:tcW w:w="1111" w:type="dxa"/>
                  <w:vMerge w:val="continue"/>
                  <w:vAlign w:val="center"/>
                </w:tcPr>
                <w:p w14:paraId="32B2A593">
                  <w:pPr>
                    <w:pStyle w:val="10"/>
                    <w:jc w:val="center"/>
                    <w:rPr>
                      <w:rFonts w:ascii="Times New Roman" w:hAnsi="Times New Roman"/>
                    </w:rPr>
                  </w:pPr>
                </w:p>
              </w:tc>
              <w:tc>
                <w:tcPr>
                  <w:tcW w:w="1877" w:type="dxa"/>
                  <w:vAlign w:val="center"/>
                </w:tcPr>
                <w:p w14:paraId="7D400FC3">
                  <w:pPr>
                    <w:pStyle w:val="10"/>
                    <w:jc w:val="center"/>
                    <w:rPr>
                      <w:rFonts w:ascii="Times New Roman" w:hAnsi="Times New Roman"/>
                    </w:rPr>
                  </w:pPr>
                  <w:r>
                    <w:rPr>
                      <w:rFonts w:ascii="Times New Roman" w:hAnsi="Times New Roman"/>
                    </w:rPr>
                    <w:t>粪大肠菌群（MPN/L）</w:t>
                  </w:r>
                </w:p>
              </w:tc>
              <w:tc>
                <w:tcPr>
                  <w:tcW w:w="1708" w:type="dxa"/>
                  <w:vAlign w:val="center"/>
                </w:tcPr>
                <w:p w14:paraId="7A6E776B">
                  <w:pPr>
                    <w:jc w:val="center"/>
                    <w:rPr>
                      <w:szCs w:val="21"/>
                    </w:rPr>
                  </w:pPr>
                  <w:r>
                    <w:rPr>
                      <w:szCs w:val="21"/>
                    </w:rPr>
                    <w:t>3.1×10</w:t>
                  </w:r>
                  <w:r>
                    <w:rPr>
                      <w:szCs w:val="21"/>
                      <w:vertAlign w:val="superscript"/>
                    </w:rPr>
                    <w:t>2</w:t>
                  </w:r>
                  <w:r>
                    <w:rPr>
                      <w:szCs w:val="21"/>
                    </w:rPr>
                    <w:t>～3.3×10</w:t>
                  </w:r>
                  <w:r>
                    <w:rPr>
                      <w:szCs w:val="21"/>
                      <w:vertAlign w:val="superscript"/>
                    </w:rPr>
                    <w:t>2</w:t>
                  </w:r>
                </w:p>
              </w:tc>
              <w:tc>
                <w:tcPr>
                  <w:tcW w:w="1410" w:type="dxa"/>
                  <w:vAlign w:val="center"/>
                </w:tcPr>
                <w:p w14:paraId="51F1D65A">
                  <w:pPr>
                    <w:jc w:val="center"/>
                    <w:rPr>
                      <w:szCs w:val="21"/>
                    </w:rPr>
                  </w:pPr>
                  <w:r>
                    <w:rPr>
                      <w:szCs w:val="21"/>
                    </w:rPr>
                    <w:t>≤10000</w:t>
                  </w:r>
                </w:p>
              </w:tc>
              <w:tc>
                <w:tcPr>
                  <w:tcW w:w="1858" w:type="dxa"/>
                  <w:vAlign w:val="center"/>
                </w:tcPr>
                <w:p w14:paraId="7E4CA353">
                  <w:pPr>
                    <w:jc w:val="center"/>
                    <w:rPr>
                      <w:szCs w:val="21"/>
                    </w:rPr>
                  </w:pPr>
                  <w:r>
                    <w:rPr>
                      <w:szCs w:val="21"/>
                    </w:rPr>
                    <w:t>0.033</w:t>
                  </w:r>
                </w:p>
              </w:tc>
            </w:tr>
          </w:tbl>
          <w:p w14:paraId="3CF97987">
            <w:pPr>
              <w:pStyle w:val="121"/>
              <w:wordWrap/>
              <w:spacing w:line="480" w:lineRule="exact"/>
              <w:ind w:firstLine="480"/>
              <w:jc w:val="both"/>
              <w:rPr>
                <w:szCs w:val="24"/>
              </w:rPr>
            </w:pPr>
            <w:r>
              <w:rPr>
                <w:rFonts w:hAnsi="宋体"/>
                <w:szCs w:val="24"/>
              </w:rPr>
              <w:t>根据监测结果可知，长江评价段各监测因子均未出现超标，各监测因子的</w:t>
            </w:r>
            <w:r>
              <w:rPr>
                <w:szCs w:val="24"/>
              </w:rPr>
              <w:t>S</w:t>
            </w:r>
            <w:r>
              <w:rPr>
                <w:szCs w:val="24"/>
                <w:vertAlign w:val="subscript"/>
              </w:rPr>
              <w:t>i</w:t>
            </w:r>
            <w:r>
              <w:rPr>
                <w:rFonts w:hAnsi="宋体"/>
                <w:szCs w:val="24"/>
                <w:vertAlign w:val="subscript"/>
              </w:rPr>
              <w:t>，</w:t>
            </w:r>
            <w:r>
              <w:rPr>
                <w:szCs w:val="24"/>
                <w:vertAlign w:val="subscript"/>
              </w:rPr>
              <w:t>j</w:t>
            </w:r>
            <w:r>
              <w:rPr>
                <w:rFonts w:hAnsi="宋体"/>
                <w:szCs w:val="24"/>
              </w:rPr>
              <w:t>值均小于</w:t>
            </w:r>
            <w:r>
              <w:rPr>
                <w:szCs w:val="24"/>
              </w:rPr>
              <w:t>1</w:t>
            </w:r>
            <w:r>
              <w:rPr>
                <w:rFonts w:hAnsi="宋体"/>
                <w:szCs w:val="24"/>
              </w:rPr>
              <w:t>。结果表明，长江评价段各项监测水质指标均符合《地表水环境质量标准》（</w:t>
            </w:r>
            <w:r>
              <w:rPr>
                <w:szCs w:val="24"/>
              </w:rPr>
              <w:t>GB3838—2002</w:t>
            </w:r>
            <w:r>
              <w:rPr>
                <w:rFonts w:hAnsi="宋体"/>
                <w:szCs w:val="24"/>
              </w:rPr>
              <w:t>）Ⅲ类标准的要求。</w:t>
            </w:r>
          </w:p>
          <w:p w14:paraId="3C1806B5">
            <w:pPr>
              <w:pStyle w:val="10"/>
              <w:spacing w:line="480" w:lineRule="exact"/>
              <w:rPr>
                <w:rFonts w:ascii="Times New Roman" w:hAnsi="宋体" w:cs="Courier New"/>
                <w:b/>
                <w:sz w:val="24"/>
                <w:szCs w:val="24"/>
              </w:rPr>
            </w:pPr>
            <w:r>
              <w:rPr>
                <w:rFonts w:hint="eastAsia" w:ascii="Times New Roman" w:hAnsi="宋体" w:cs="Courier New"/>
                <w:b/>
                <w:sz w:val="24"/>
                <w:szCs w:val="24"/>
              </w:rPr>
              <w:t>3.1.3声环境质量现状</w:t>
            </w:r>
          </w:p>
          <w:p w14:paraId="180F1D9E">
            <w:pPr>
              <w:adjustRightInd w:val="0"/>
              <w:snapToGrid w:val="0"/>
              <w:spacing w:line="480" w:lineRule="exact"/>
              <w:ind w:firstLine="480" w:firstLineChars="200"/>
              <w:jc w:val="left"/>
              <w:rPr>
                <w:sz w:val="24"/>
              </w:rPr>
            </w:pPr>
            <w:r>
              <w:rPr>
                <w:sz w:val="24"/>
              </w:rPr>
              <w:t>根据《建设项目环境影响报告表编制指南》（污染影响类），拟建项目位于重庆</w:t>
            </w:r>
            <w:r>
              <w:rPr>
                <w:rFonts w:hint="eastAsia"/>
                <w:sz w:val="24"/>
              </w:rPr>
              <w:t>涪陵工业园区李渡组团内</w:t>
            </w:r>
            <w:r>
              <w:rPr>
                <w:sz w:val="24"/>
              </w:rPr>
              <w:t>，项目周边50m范围内无声环境保护目标，因此本项目不进行声环境质量现状监测。</w:t>
            </w:r>
          </w:p>
          <w:p w14:paraId="6CF3FD9F">
            <w:pPr>
              <w:adjustRightInd w:val="0"/>
              <w:snapToGrid w:val="0"/>
              <w:spacing w:line="480" w:lineRule="exact"/>
              <w:rPr>
                <w:b/>
                <w:snapToGrid w:val="0"/>
                <w:kern w:val="0"/>
                <w:sz w:val="24"/>
              </w:rPr>
            </w:pPr>
            <w:r>
              <w:rPr>
                <w:b/>
                <w:snapToGrid w:val="0"/>
                <w:kern w:val="0"/>
                <w:sz w:val="24"/>
              </w:rPr>
              <w:t>3.1.4生态环境现状调查</w:t>
            </w:r>
          </w:p>
          <w:p w14:paraId="2F78F33D">
            <w:pPr>
              <w:pStyle w:val="121"/>
              <w:wordWrap/>
              <w:spacing w:line="480" w:lineRule="exact"/>
              <w:ind w:firstLine="480"/>
              <w:jc w:val="both"/>
              <w:rPr>
                <w:rFonts w:cs="宋体"/>
                <w:snapToGrid w:val="0"/>
                <w:kern w:val="0"/>
                <w:szCs w:val="24"/>
              </w:rPr>
            </w:pPr>
            <w:r>
              <w:rPr>
                <w:rFonts w:cs="宋体"/>
                <w:snapToGrid w:val="0"/>
                <w:kern w:val="0"/>
                <w:szCs w:val="24"/>
              </w:rPr>
              <w:t>项目位于</w:t>
            </w:r>
            <w:r>
              <w:rPr>
                <w:rFonts w:cs="宋体"/>
                <w:szCs w:val="24"/>
              </w:rPr>
              <w:t>重庆</w:t>
            </w:r>
            <w:r>
              <w:rPr>
                <w:rFonts w:hint="eastAsia" w:cs="宋体"/>
                <w:szCs w:val="24"/>
              </w:rPr>
              <w:t>涪陵工业园区李渡组团内</w:t>
            </w:r>
            <w:r>
              <w:rPr>
                <w:rFonts w:cs="宋体"/>
                <w:snapToGrid w:val="0"/>
                <w:kern w:val="0"/>
                <w:szCs w:val="24"/>
              </w:rPr>
              <w:t>，周围分布为工业企业，项目建设区域生态结构较简单、植被稀疏、无珍稀野生动植物分布，无自然保护区、饮用水源地分布。</w:t>
            </w:r>
          </w:p>
          <w:p w14:paraId="0F4907B8">
            <w:pPr>
              <w:pStyle w:val="121"/>
              <w:wordWrap/>
              <w:spacing w:line="460" w:lineRule="exact"/>
              <w:ind w:firstLine="0" w:firstLineChars="0"/>
              <w:jc w:val="both"/>
              <w:rPr>
                <w:rFonts w:cs="宋体"/>
                <w:b/>
                <w:sz w:val="26"/>
                <w:szCs w:val="26"/>
              </w:rPr>
            </w:pPr>
            <w:r>
              <w:rPr>
                <w:rFonts w:cs="宋体"/>
                <w:b/>
                <w:sz w:val="26"/>
                <w:szCs w:val="26"/>
              </w:rPr>
              <w:t>3.1.5 电磁辐射</w:t>
            </w:r>
          </w:p>
          <w:p w14:paraId="1286FCC4">
            <w:pPr>
              <w:pStyle w:val="121"/>
              <w:wordWrap/>
              <w:spacing w:line="460" w:lineRule="exact"/>
              <w:ind w:firstLine="480"/>
              <w:jc w:val="both"/>
              <w:rPr>
                <w:rFonts w:eastAsiaTheme="minorEastAsia"/>
              </w:rPr>
            </w:pPr>
            <w:r>
              <w:rPr>
                <w:rFonts w:hAnsiTheme="minorEastAsia" w:eastAsiaTheme="minorEastAsia"/>
                <w:kern w:val="0"/>
              </w:rPr>
              <w:t>项目属于新建项目，厂界南侧有架空电力线。根据现场踏勘，结合项目厂界地形图，南侧架空电力线为</w:t>
            </w:r>
            <w:r>
              <w:rPr>
                <w:rFonts w:eastAsiaTheme="minorEastAsia"/>
                <w:kern w:val="0"/>
              </w:rPr>
              <w:t>35KV</w:t>
            </w:r>
            <w:r>
              <w:rPr>
                <w:rFonts w:hAnsiTheme="minorEastAsia" w:eastAsiaTheme="minorEastAsia"/>
                <w:kern w:val="0"/>
              </w:rPr>
              <w:t>，本项目内的建筑物距高压输电线最近距离约</w:t>
            </w:r>
            <w:r>
              <w:rPr>
                <w:rFonts w:eastAsiaTheme="minorEastAsia"/>
                <w:kern w:val="0"/>
              </w:rPr>
              <w:t>25</w:t>
            </w:r>
            <w:r>
              <w:rPr>
                <w:rFonts w:hAnsiTheme="minorEastAsia" w:eastAsiaTheme="minorEastAsia"/>
                <w:kern w:val="0"/>
              </w:rPr>
              <w:t>米。因此，项目满足</w:t>
            </w:r>
            <w:r>
              <w:rPr>
                <w:rFonts w:hAnsiTheme="minorEastAsia" w:eastAsiaTheme="minorEastAsia"/>
              </w:rPr>
              <w:t>《重庆市城市规划管理技术规定》</w:t>
            </w:r>
            <w:r>
              <w:rPr>
                <w:rFonts w:eastAsiaTheme="minorEastAsia"/>
              </w:rPr>
              <w:t>(2018</w:t>
            </w:r>
            <w:r>
              <w:rPr>
                <w:rFonts w:hAnsiTheme="minorEastAsia" w:eastAsiaTheme="minorEastAsia"/>
              </w:rPr>
              <w:t>年</w:t>
            </w:r>
            <w:r>
              <w:rPr>
                <w:rFonts w:eastAsiaTheme="minorEastAsia"/>
              </w:rPr>
              <w:t>3</w:t>
            </w:r>
            <w:r>
              <w:rPr>
                <w:rFonts w:hAnsiTheme="minorEastAsia" w:eastAsiaTheme="minorEastAsia"/>
              </w:rPr>
              <w:t>月</w:t>
            </w:r>
            <w:r>
              <w:rPr>
                <w:rFonts w:eastAsiaTheme="minorEastAsia"/>
              </w:rPr>
              <w:t>1</w:t>
            </w:r>
            <w:r>
              <w:rPr>
                <w:rFonts w:hAnsiTheme="minorEastAsia" w:eastAsiaTheme="minorEastAsia"/>
              </w:rPr>
              <w:t>日实施</w:t>
            </w:r>
            <w:r>
              <w:rPr>
                <w:rFonts w:eastAsiaTheme="minorEastAsia"/>
              </w:rPr>
              <w:t>)</w:t>
            </w:r>
            <w:r>
              <w:rPr>
                <w:rFonts w:hAnsiTheme="minorEastAsia" w:eastAsiaTheme="minorEastAsia"/>
              </w:rPr>
              <w:t>规定的</w:t>
            </w:r>
            <w:r>
              <w:rPr>
                <w:rFonts w:eastAsiaTheme="minorEastAsia"/>
              </w:rPr>
              <w:t>“1</w:t>
            </w:r>
            <w:r>
              <w:rPr>
                <w:rFonts w:hAnsiTheme="minorEastAsia" w:eastAsiaTheme="minorEastAsia"/>
              </w:rPr>
              <w:t>、</w:t>
            </w:r>
            <w:r>
              <w:rPr>
                <w:rFonts w:eastAsiaTheme="minorEastAsia"/>
              </w:rPr>
              <w:t>35</w:t>
            </w:r>
            <w:r>
              <w:rPr>
                <w:rFonts w:hAnsiTheme="minorEastAsia" w:eastAsiaTheme="minorEastAsia"/>
              </w:rPr>
              <w:t>千伏至</w:t>
            </w:r>
            <w:r>
              <w:rPr>
                <w:rFonts w:eastAsiaTheme="minorEastAsia"/>
              </w:rPr>
              <w:t>11</w:t>
            </w:r>
            <w:r>
              <w:rPr>
                <w:rFonts w:eastAsiaTheme="minorEastAsia"/>
                <w:bCs/>
                <w:snapToGrid w:val="0"/>
                <w:kern w:val="0"/>
              </w:rPr>
              <w:t>0</w:t>
            </w:r>
            <w:r>
              <w:rPr>
                <w:rFonts w:hAnsiTheme="minorEastAsia" w:eastAsiaTheme="minorEastAsia"/>
                <w:bCs/>
                <w:snapToGrid w:val="0"/>
                <w:kern w:val="0"/>
              </w:rPr>
              <w:t>千伏的架空电力线周边</w:t>
            </w:r>
            <w:r>
              <w:rPr>
                <w:rFonts w:hAnsiTheme="minorEastAsia" w:eastAsiaTheme="minorEastAsia"/>
              </w:rPr>
              <w:t>新建项目建筑物与架空电力线边导线间的最小水平距离不小于</w:t>
            </w:r>
            <w:r>
              <w:rPr>
                <w:rFonts w:eastAsiaTheme="minorEastAsia"/>
              </w:rPr>
              <w:t>10</w:t>
            </w:r>
            <w:r>
              <w:rPr>
                <w:rFonts w:hAnsiTheme="minorEastAsia" w:eastAsiaTheme="minorEastAsia"/>
              </w:rPr>
              <w:t>米</w:t>
            </w:r>
            <w:r>
              <w:rPr>
                <w:rFonts w:eastAsiaTheme="minorEastAsia"/>
              </w:rPr>
              <w:t>”</w:t>
            </w:r>
            <w:r>
              <w:rPr>
                <w:rFonts w:hAnsiTheme="minorEastAsia" w:eastAsiaTheme="minorEastAsia"/>
              </w:rPr>
              <w:t>。</w:t>
            </w:r>
          </w:p>
          <w:p w14:paraId="47242DCC">
            <w:pPr>
              <w:pStyle w:val="121"/>
              <w:wordWrap/>
              <w:spacing w:line="460" w:lineRule="exact"/>
              <w:ind w:firstLine="0" w:firstLineChars="0"/>
              <w:jc w:val="both"/>
              <w:rPr>
                <w:rFonts w:cs="宋体"/>
                <w:b/>
                <w:sz w:val="26"/>
                <w:szCs w:val="26"/>
              </w:rPr>
            </w:pPr>
            <w:r>
              <w:rPr>
                <w:rFonts w:cs="宋体"/>
                <w:b/>
                <w:sz w:val="26"/>
                <w:szCs w:val="26"/>
              </w:rPr>
              <w:t>3.1.6 地下水、土壤环境</w:t>
            </w:r>
          </w:p>
          <w:p w14:paraId="1567D852">
            <w:pPr>
              <w:pStyle w:val="121"/>
              <w:spacing w:line="460" w:lineRule="exact"/>
              <w:ind w:firstLine="520"/>
              <w:rPr>
                <w:rFonts w:cs="宋体"/>
                <w:snapToGrid w:val="0"/>
                <w:kern w:val="0"/>
                <w:sz w:val="26"/>
                <w:szCs w:val="26"/>
              </w:rPr>
            </w:pPr>
            <w:r>
              <w:rPr>
                <w:rFonts w:cs="宋体"/>
                <w:snapToGrid w:val="0"/>
                <w:kern w:val="0"/>
                <w:sz w:val="26"/>
                <w:szCs w:val="26"/>
              </w:rPr>
              <w:t>项目重点防渗区均按规范文件要求开展了防腐防渗处理，不存在土壤、地下水环境污染的途径，且项目评价范围不涉及保护目标，根据《建设项目环境影响报告表编制技术指南（污染影响类）（试行）》，不开展地下水、土壤环境质量现状调查。</w:t>
            </w:r>
          </w:p>
        </w:tc>
      </w:tr>
      <w:tr w14:paraId="41D9B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9" w:hRule="atLeast"/>
          <w:jc w:val="center"/>
        </w:trPr>
        <w:tc>
          <w:tcPr>
            <w:tcW w:w="803" w:type="dxa"/>
            <w:vAlign w:val="center"/>
          </w:tcPr>
          <w:p w14:paraId="6E3AFBF7">
            <w:pPr>
              <w:adjustRightInd w:val="0"/>
              <w:snapToGrid w:val="0"/>
              <w:jc w:val="center"/>
              <w:rPr>
                <w:rFonts w:ascii="宋体" w:hAnsi="宋体" w:cs="宋体"/>
                <w:kern w:val="0"/>
                <w:sz w:val="24"/>
              </w:rPr>
            </w:pPr>
            <w:r>
              <w:rPr>
                <w:rFonts w:hint="eastAsia" w:ascii="宋体" w:hAnsi="宋体" w:cs="宋体"/>
                <w:kern w:val="0"/>
                <w:sz w:val="24"/>
              </w:rPr>
              <w:t>环境</w:t>
            </w:r>
          </w:p>
          <w:p w14:paraId="64ADC2DE">
            <w:pPr>
              <w:adjustRightInd w:val="0"/>
              <w:snapToGrid w:val="0"/>
              <w:jc w:val="center"/>
              <w:rPr>
                <w:rFonts w:ascii="宋体" w:hAnsi="宋体" w:cs="宋体"/>
                <w:kern w:val="0"/>
                <w:sz w:val="24"/>
              </w:rPr>
            </w:pPr>
            <w:r>
              <w:rPr>
                <w:rFonts w:hint="eastAsia" w:ascii="宋体" w:hAnsi="宋体" w:cs="宋体"/>
                <w:kern w:val="0"/>
                <w:sz w:val="24"/>
              </w:rPr>
              <w:t>保护</w:t>
            </w:r>
          </w:p>
          <w:p w14:paraId="3BF468BF">
            <w:pPr>
              <w:adjustRightInd w:val="0"/>
              <w:snapToGrid w:val="0"/>
              <w:jc w:val="center"/>
              <w:rPr>
                <w:rFonts w:ascii="宋体" w:hAnsi="宋体" w:cs="宋体"/>
                <w:kern w:val="0"/>
                <w:sz w:val="24"/>
              </w:rPr>
            </w:pPr>
            <w:r>
              <w:rPr>
                <w:rFonts w:hint="eastAsia" w:ascii="宋体" w:hAnsi="宋体" w:cs="宋体"/>
                <w:kern w:val="0"/>
                <w:sz w:val="24"/>
              </w:rPr>
              <w:t>目标</w:t>
            </w:r>
          </w:p>
        </w:tc>
        <w:tc>
          <w:tcPr>
            <w:tcW w:w="8217" w:type="dxa"/>
            <w:vAlign w:val="center"/>
          </w:tcPr>
          <w:p w14:paraId="381C5DFC">
            <w:pPr>
              <w:adjustRightInd w:val="0"/>
              <w:snapToGrid w:val="0"/>
              <w:spacing w:line="440" w:lineRule="exact"/>
              <w:rPr>
                <w:b/>
                <w:snapToGrid w:val="0"/>
                <w:kern w:val="0"/>
                <w:sz w:val="24"/>
              </w:rPr>
            </w:pPr>
            <w:r>
              <w:rPr>
                <w:b/>
                <w:snapToGrid w:val="0"/>
                <w:kern w:val="0"/>
                <w:sz w:val="24"/>
              </w:rPr>
              <w:t>3.</w:t>
            </w:r>
            <w:r>
              <w:rPr>
                <w:rFonts w:hint="eastAsia"/>
                <w:b/>
                <w:snapToGrid w:val="0"/>
                <w:kern w:val="0"/>
                <w:sz w:val="24"/>
              </w:rPr>
              <w:t>2.1 外环境关系</w:t>
            </w:r>
          </w:p>
          <w:p w14:paraId="491E0E91">
            <w:pPr>
              <w:autoSpaceDE w:val="0"/>
              <w:autoSpaceDN w:val="0"/>
              <w:adjustRightInd w:val="0"/>
              <w:spacing w:line="480" w:lineRule="exact"/>
              <w:ind w:firstLine="480" w:firstLineChars="200"/>
              <w:jc w:val="left"/>
              <w:rPr>
                <w:kern w:val="0"/>
                <w:sz w:val="24"/>
              </w:rPr>
            </w:pPr>
            <w:r>
              <w:rPr>
                <w:rFonts w:hAnsi="宋体"/>
                <w:kern w:val="0"/>
                <w:sz w:val="24"/>
              </w:rPr>
              <w:t>拟建项目位于</w:t>
            </w:r>
            <w:r>
              <w:rPr>
                <w:rFonts w:hint="eastAsia"/>
                <w:sz w:val="24"/>
              </w:rPr>
              <w:t>重庆市涪陵区鹤凤大道33号</w:t>
            </w:r>
            <w:r>
              <w:rPr>
                <w:rFonts w:hAnsi="宋体"/>
                <w:kern w:val="0"/>
                <w:sz w:val="24"/>
              </w:rPr>
              <w:t>，项目</w:t>
            </w:r>
            <w:r>
              <w:rPr>
                <w:rFonts w:hint="eastAsia" w:hAnsi="宋体"/>
                <w:kern w:val="0"/>
                <w:sz w:val="24"/>
              </w:rPr>
              <w:t>东</w:t>
            </w:r>
            <w:r>
              <w:rPr>
                <w:rFonts w:hAnsi="宋体"/>
                <w:kern w:val="0"/>
                <w:sz w:val="24"/>
              </w:rPr>
              <w:t>北侧为</w:t>
            </w:r>
            <w:r>
              <w:rPr>
                <w:rFonts w:hint="eastAsia"/>
                <w:sz w:val="24"/>
              </w:rPr>
              <w:t>凯高玩具（重庆）有限公司</w:t>
            </w:r>
            <w:r>
              <w:rPr>
                <w:rFonts w:hAnsi="宋体"/>
                <w:kern w:val="0"/>
                <w:sz w:val="24"/>
              </w:rPr>
              <w:t>，</w:t>
            </w:r>
            <w:r>
              <w:rPr>
                <w:rFonts w:hint="eastAsia" w:hAnsi="宋体"/>
                <w:kern w:val="0"/>
                <w:sz w:val="24"/>
              </w:rPr>
              <w:t>东南侧为预留空地</w:t>
            </w:r>
            <w:r>
              <w:rPr>
                <w:rFonts w:hAnsi="宋体"/>
                <w:kern w:val="0"/>
                <w:sz w:val="24"/>
              </w:rPr>
              <w:t>，</w:t>
            </w:r>
            <w:r>
              <w:rPr>
                <w:rFonts w:hint="eastAsia" w:hAnsi="宋体"/>
                <w:kern w:val="0"/>
                <w:sz w:val="24"/>
              </w:rPr>
              <w:t>西侧和北侧为山地</w:t>
            </w:r>
            <w:r>
              <w:rPr>
                <w:rFonts w:hAnsi="宋体"/>
                <w:kern w:val="0"/>
                <w:sz w:val="24"/>
              </w:rPr>
              <w:t>，</w:t>
            </w:r>
            <w:r>
              <w:rPr>
                <w:rFonts w:hint="eastAsia" w:hAnsi="宋体"/>
                <w:kern w:val="0"/>
                <w:sz w:val="24"/>
              </w:rPr>
              <w:t>南侧紧邻聚贤大道，南侧约60米处为</w:t>
            </w:r>
            <w:r>
              <w:rPr>
                <w:rFonts w:hint="eastAsia" w:hAnsi="宋体"/>
                <w:sz w:val="24"/>
              </w:rPr>
              <w:t>中国石油（涪陵大峨加油加气站）</w:t>
            </w:r>
            <w:r>
              <w:rPr>
                <w:rFonts w:hAnsi="宋体"/>
                <w:kern w:val="0"/>
                <w:sz w:val="24"/>
              </w:rPr>
              <w:t>。</w:t>
            </w:r>
          </w:p>
          <w:p w14:paraId="2D912FE9">
            <w:pPr>
              <w:adjustRightInd w:val="0"/>
              <w:snapToGrid w:val="0"/>
              <w:spacing w:line="480" w:lineRule="exact"/>
              <w:ind w:firstLine="480" w:firstLineChars="200"/>
              <w:rPr>
                <w:b/>
                <w:snapToGrid w:val="0"/>
                <w:kern w:val="0"/>
                <w:sz w:val="24"/>
              </w:rPr>
            </w:pPr>
            <w:r>
              <w:rPr>
                <w:rFonts w:hAnsi="宋体"/>
                <w:kern w:val="0"/>
                <w:sz w:val="24"/>
              </w:rPr>
              <w:t>拟建项目外环境关系情况详见见表</w:t>
            </w:r>
            <w:r>
              <w:rPr>
                <w:kern w:val="0"/>
                <w:sz w:val="24"/>
              </w:rPr>
              <w:t>3.2-1</w:t>
            </w:r>
            <w:r>
              <w:rPr>
                <w:rFonts w:hAnsi="宋体"/>
                <w:kern w:val="0"/>
                <w:sz w:val="24"/>
              </w:rPr>
              <w:t>。</w:t>
            </w:r>
          </w:p>
          <w:p w14:paraId="0ABA3BD0">
            <w:pPr>
              <w:adjustRightInd w:val="0"/>
              <w:snapToGrid w:val="0"/>
              <w:jc w:val="center"/>
              <w:rPr>
                <w:b/>
                <w:szCs w:val="21"/>
              </w:rPr>
            </w:pPr>
            <w:r>
              <w:rPr>
                <w:rFonts w:hAnsi="宋体"/>
                <w:b/>
                <w:szCs w:val="21"/>
              </w:rPr>
              <w:t>表</w:t>
            </w:r>
            <w:r>
              <w:rPr>
                <w:b/>
                <w:szCs w:val="21"/>
              </w:rPr>
              <w:t xml:space="preserve">3.2-1  </w:t>
            </w:r>
            <w:r>
              <w:rPr>
                <w:rFonts w:hAnsi="宋体"/>
                <w:b/>
                <w:szCs w:val="21"/>
              </w:rPr>
              <w:t>项目外环境关系一览表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232"/>
              <w:gridCol w:w="1997"/>
              <w:gridCol w:w="1997"/>
            </w:tblGrid>
            <w:tr w14:paraId="7C60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3311A812">
                  <w:pPr>
                    <w:adjustRightInd w:val="0"/>
                    <w:snapToGrid w:val="0"/>
                    <w:jc w:val="center"/>
                    <w:rPr>
                      <w:b/>
                      <w:szCs w:val="21"/>
                    </w:rPr>
                  </w:pPr>
                  <w:r>
                    <w:rPr>
                      <w:rFonts w:hAnsi="宋体"/>
                      <w:b/>
                      <w:szCs w:val="21"/>
                    </w:rPr>
                    <w:t>序号</w:t>
                  </w:r>
                </w:p>
              </w:tc>
              <w:tc>
                <w:tcPr>
                  <w:tcW w:w="3232" w:type="dxa"/>
                  <w:vAlign w:val="center"/>
                </w:tcPr>
                <w:p w14:paraId="47892558">
                  <w:pPr>
                    <w:adjustRightInd w:val="0"/>
                    <w:snapToGrid w:val="0"/>
                    <w:jc w:val="center"/>
                    <w:rPr>
                      <w:b/>
                      <w:szCs w:val="21"/>
                    </w:rPr>
                  </w:pPr>
                  <w:r>
                    <w:rPr>
                      <w:rFonts w:hAnsi="宋体"/>
                      <w:b/>
                      <w:szCs w:val="21"/>
                    </w:rPr>
                    <w:t>外环境</w:t>
                  </w:r>
                </w:p>
              </w:tc>
              <w:tc>
                <w:tcPr>
                  <w:tcW w:w="1997" w:type="dxa"/>
                  <w:vAlign w:val="center"/>
                </w:tcPr>
                <w:p w14:paraId="1AB6E437">
                  <w:pPr>
                    <w:adjustRightInd w:val="0"/>
                    <w:snapToGrid w:val="0"/>
                    <w:jc w:val="center"/>
                    <w:rPr>
                      <w:b/>
                      <w:szCs w:val="21"/>
                    </w:rPr>
                  </w:pPr>
                  <w:r>
                    <w:rPr>
                      <w:rFonts w:hAnsi="宋体"/>
                      <w:b/>
                      <w:szCs w:val="21"/>
                    </w:rPr>
                    <w:t>方位</w:t>
                  </w:r>
                </w:p>
              </w:tc>
              <w:tc>
                <w:tcPr>
                  <w:tcW w:w="1997" w:type="dxa"/>
                  <w:vAlign w:val="center"/>
                </w:tcPr>
                <w:p w14:paraId="31D1AA7F">
                  <w:pPr>
                    <w:adjustRightInd w:val="0"/>
                    <w:snapToGrid w:val="0"/>
                    <w:jc w:val="center"/>
                    <w:rPr>
                      <w:b/>
                      <w:szCs w:val="21"/>
                    </w:rPr>
                  </w:pPr>
                  <w:r>
                    <w:rPr>
                      <w:rFonts w:hAnsi="宋体"/>
                      <w:b/>
                      <w:szCs w:val="21"/>
                    </w:rPr>
                    <w:t>与厂界距离（</w:t>
                  </w:r>
                  <w:r>
                    <w:rPr>
                      <w:b/>
                      <w:szCs w:val="21"/>
                    </w:rPr>
                    <w:t>m</w:t>
                  </w:r>
                  <w:r>
                    <w:rPr>
                      <w:rFonts w:hAnsi="宋体"/>
                      <w:b/>
                      <w:szCs w:val="21"/>
                    </w:rPr>
                    <w:t>）</w:t>
                  </w:r>
                </w:p>
              </w:tc>
            </w:tr>
            <w:tr w14:paraId="79FF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1BCDB245">
                  <w:pPr>
                    <w:adjustRightInd w:val="0"/>
                    <w:snapToGrid w:val="0"/>
                    <w:jc w:val="center"/>
                    <w:rPr>
                      <w:szCs w:val="21"/>
                    </w:rPr>
                  </w:pPr>
                  <w:r>
                    <w:rPr>
                      <w:rFonts w:hint="eastAsia"/>
                      <w:szCs w:val="21"/>
                    </w:rPr>
                    <w:t>1</w:t>
                  </w:r>
                </w:p>
              </w:tc>
              <w:tc>
                <w:tcPr>
                  <w:tcW w:w="3232" w:type="dxa"/>
                  <w:vAlign w:val="center"/>
                </w:tcPr>
                <w:p w14:paraId="1C4A9BD8">
                  <w:pPr>
                    <w:adjustRightInd w:val="0"/>
                    <w:snapToGrid w:val="0"/>
                    <w:jc w:val="center"/>
                    <w:rPr>
                      <w:szCs w:val="21"/>
                    </w:rPr>
                  </w:pPr>
                  <w:r>
                    <w:rPr>
                      <w:rFonts w:hint="eastAsia"/>
                      <w:sz w:val="24"/>
                    </w:rPr>
                    <w:t>凯高玩具（重庆）有限公司</w:t>
                  </w:r>
                </w:p>
              </w:tc>
              <w:tc>
                <w:tcPr>
                  <w:tcW w:w="1997" w:type="dxa"/>
                  <w:vAlign w:val="center"/>
                </w:tcPr>
                <w:p w14:paraId="78EA83A9">
                  <w:pPr>
                    <w:adjustRightInd w:val="0"/>
                    <w:snapToGrid w:val="0"/>
                    <w:jc w:val="center"/>
                    <w:rPr>
                      <w:szCs w:val="21"/>
                    </w:rPr>
                  </w:pPr>
                  <w:r>
                    <w:rPr>
                      <w:rFonts w:hint="eastAsia"/>
                      <w:szCs w:val="21"/>
                    </w:rPr>
                    <w:t>E</w:t>
                  </w:r>
                  <w:r>
                    <w:rPr>
                      <w:szCs w:val="21"/>
                    </w:rPr>
                    <w:t>N</w:t>
                  </w:r>
                </w:p>
              </w:tc>
              <w:tc>
                <w:tcPr>
                  <w:tcW w:w="1997" w:type="dxa"/>
                  <w:vAlign w:val="center"/>
                </w:tcPr>
                <w:p w14:paraId="3E3249C6">
                  <w:pPr>
                    <w:adjustRightInd w:val="0"/>
                    <w:snapToGrid w:val="0"/>
                    <w:jc w:val="center"/>
                    <w:rPr>
                      <w:szCs w:val="21"/>
                    </w:rPr>
                  </w:pPr>
                  <w:r>
                    <w:rPr>
                      <w:rFonts w:hAnsi="宋体"/>
                      <w:szCs w:val="21"/>
                    </w:rPr>
                    <w:t>紧邻</w:t>
                  </w:r>
                </w:p>
              </w:tc>
            </w:tr>
            <w:tr w14:paraId="1638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164B5DDE">
                  <w:pPr>
                    <w:adjustRightInd w:val="0"/>
                    <w:snapToGrid w:val="0"/>
                    <w:jc w:val="center"/>
                    <w:rPr>
                      <w:szCs w:val="21"/>
                    </w:rPr>
                  </w:pPr>
                  <w:r>
                    <w:rPr>
                      <w:rFonts w:hint="eastAsia"/>
                      <w:szCs w:val="21"/>
                    </w:rPr>
                    <w:t>2</w:t>
                  </w:r>
                </w:p>
              </w:tc>
              <w:tc>
                <w:tcPr>
                  <w:tcW w:w="3232" w:type="dxa"/>
                  <w:vAlign w:val="center"/>
                </w:tcPr>
                <w:p w14:paraId="68A347D2">
                  <w:pPr>
                    <w:adjustRightInd w:val="0"/>
                    <w:snapToGrid w:val="0"/>
                    <w:jc w:val="center"/>
                    <w:rPr>
                      <w:szCs w:val="21"/>
                    </w:rPr>
                  </w:pPr>
                  <w:r>
                    <w:rPr>
                      <w:rFonts w:hint="eastAsia" w:hAnsi="宋体"/>
                      <w:szCs w:val="21"/>
                    </w:rPr>
                    <w:t>预留空地</w:t>
                  </w:r>
                </w:p>
              </w:tc>
              <w:tc>
                <w:tcPr>
                  <w:tcW w:w="1997" w:type="dxa"/>
                  <w:vAlign w:val="center"/>
                </w:tcPr>
                <w:p w14:paraId="7B79F6DD">
                  <w:pPr>
                    <w:adjustRightInd w:val="0"/>
                    <w:snapToGrid w:val="0"/>
                    <w:jc w:val="center"/>
                    <w:rPr>
                      <w:szCs w:val="21"/>
                    </w:rPr>
                  </w:pPr>
                  <w:r>
                    <w:rPr>
                      <w:szCs w:val="21"/>
                    </w:rPr>
                    <w:t>E</w:t>
                  </w:r>
                  <w:r>
                    <w:rPr>
                      <w:rFonts w:hint="eastAsia"/>
                      <w:szCs w:val="21"/>
                    </w:rPr>
                    <w:t>S</w:t>
                  </w:r>
                </w:p>
              </w:tc>
              <w:tc>
                <w:tcPr>
                  <w:tcW w:w="1997" w:type="dxa"/>
                  <w:vAlign w:val="center"/>
                </w:tcPr>
                <w:p w14:paraId="6810AB51">
                  <w:pPr>
                    <w:adjustRightInd w:val="0"/>
                    <w:snapToGrid w:val="0"/>
                    <w:jc w:val="center"/>
                    <w:rPr>
                      <w:szCs w:val="21"/>
                    </w:rPr>
                  </w:pPr>
                  <w:r>
                    <w:rPr>
                      <w:rFonts w:hAnsi="宋体"/>
                      <w:szCs w:val="21"/>
                    </w:rPr>
                    <w:t>紧邻</w:t>
                  </w:r>
                </w:p>
              </w:tc>
            </w:tr>
            <w:tr w14:paraId="12EE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61E63955">
                  <w:pPr>
                    <w:adjustRightInd w:val="0"/>
                    <w:snapToGrid w:val="0"/>
                    <w:jc w:val="center"/>
                    <w:rPr>
                      <w:szCs w:val="21"/>
                    </w:rPr>
                  </w:pPr>
                  <w:r>
                    <w:rPr>
                      <w:rFonts w:hint="eastAsia"/>
                      <w:szCs w:val="21"/>
                    </w:rPr>
                    <w:t>3</w:t>
                  </w:r>
                </w:p>
              </w:tc>
              <w:tc>
                <w:tcPr>
                  <w:tcW w:w="3232" w:type="dxa"/>
                  <w:vAlign w:val="center"/>
                </w:tcPr>
                <w:p w14:paraId="76397AFB">
                  <w:pPr>
                    <w:adjustRightInd w:val="0"/>
                    <w:snapToGrid w:val="0"/>
                    <w:jc w:val="center"/>
                    <w:rPr>
                      <w:szCs w:val="21"/>
                    </w:rPr>
                  </w:pPr>
                  <w:r>
                    <w:rPr>
                      <w:rFonts w:hint="eastAsia" w:hAnsi="宋体"/>
                      <w:kern w:val="0"/>
                      <w:szCs w:val="21"/>
                    </w:rPr>
                    <w:t>山地</w:t>
                  </w:r>
                </w:p>
              </w:tc>
              <w:tc>
                <w:tcPr>
                  <w:tcW w:w="1997" w:type="dxa"/>
                  <w:vAlign w:val="center"/>
                </w:tcPr>
                <w:p w14:paraId="6BE4E7E2">
                  <w:pPr>
                    <w:adjustRightInd w:val="0"/>
                    <w:snapToGrid w:val="0"/>
                    <w:jc w:val="center"/>
                    <w:rPr>
                      <w:szCs w:val="21"/>
                    </w:rPr>
                  </w:pPr>
                  <w:r>
                    <w:rPr>
                      <w:rFonts w:hint="eastAsia"/>
                      <w:szCs w:val="21"/>
                    </w:rPr>
                    <w:t>N</w:t>
                  </w:r>
                </w:p>
              </w:tc>
              <w:tc>
                <w:tcPr>
                  <w:tcW w:w="1997" w:type="dxa"/>
                  <w:vAlign w:val="center"/>
                </w:tcPr>
                <w:p w14:paraId="71665D8E">
                  <w:pPr>
                    <w:adjustRightInd w:val="0"/>
                    <w:snapToGrid w:val="0"/>
                    <w:jc w:val="center"/>
                    <w:rPr>
                      <w:szCs w:val="21"/>
                    </w:rPr>
                  </w:pPr>
                  <w:r>
                    <w:rPr>
                      <w:rFonts w:hint="eastAsia"/>
                      <w:szCs w:val="21"/>
                    </w:rPr>
                    <w:t>紧邻</w:t>
                  </w:r>
                </w:p>
              </w:tc>
            </w:tr>
            <w:tr w14:paraId="18DA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27963F24">
                  <w:pPr>
                    <w:adjustRightInd w:val="0"/>
                    <w:snapToGrid w:val="0"/>
                    <w:jc w:val="center"/>
                    <w:rPr>
                      <w:szCs w:val="21"/>
                    </w:rPr>
                  </w:pPr>
                  <w:r>
                    <w:rPr>
                      <w:rFonts w:hint="eastAsia"/>
                      <w:szCs w:val="21"/>
                    </w:rPr>
                    <w:t>4</w:t>
                  </w:r>
                </w:p>
              </w:tc>
              <w:tc>
                <w:tcPr>
                  <w:tcW w:w="3232" w:type="dxa"/>
                  <w:vAlign w:val="center"/>
                </w:tcPr>
                <w:p w14:paraId="7935A893">
                  <w:pPr>
                    <w:adjustRightInd w:val="0"/>
                    <w:snapToGrid w:val="0"/>
                    <w:jc w:val="center"/>
                    <w:rPr>
                      <w:szCs w:val="21"/>
                    </w:rPr>
                  </w:pPr>
                  <w:r>
                    <w:rPr>
                      <w:rFonts w:hint="eastAsia" w:hAnsi="宋体"/>
                      <w:szCs w:val="21"/>
                    </w:rPr>
                    <w:t>山地</w:t>
                  </w:r>
                </w:p>
              </w:tc>
              <w:tc>
                <w:tcPr>
                  <w:tcW w:w="1997" w:type="dxa"/>
                  <w:vAlign w:val="center"/>
                </w:tcPr>
                <w:p w14:paraId="46010F0F">
                  <w:pPr>
                    <w:adjustRightInd w:val="0"/>
                    <w:snapToGrid w:val="0"/>
                    <w:jc w:val="center"/>
                    <w:rPr>
                      <w:szCs w:val="21"/>
                    </w:rPr>
                  </w:pPr>
                  <w:r>
                    <w:rPr>
                      <w:rFonts w:hint="eastAsia"/>
                      <w:szCs w:val="21"/>
                    </w:rPr>
                    <w:t>W</w:t>
                  </w:r>
                </w:p>
              </w:tc>
              <w:tc>
                <w:tcPr>
                  <w:tcW w:w="1997" w:type="dxa"/>
                </w:tcPr>
                <w:p w14:paraId="5B1B41D6">
                  <w:pPr>
                    <w:jc w:val="center"/>
                  </w:pPr>
                  <w:r>
                    <w:rPr>
                      <w:rFonts w:hint="eastAsia"/>
                      <w:szCs w:val="21"/>
                    </w:rPr>
                    <w:t>紧邻</w:t>
                  </w:r>
                </w:p>
              </w:tc>
            </w:tr>
            <w:tr w14:paraId="6FA3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56D13530">
                  <w:pPr>
                    <w:adjustRightInd w:val="0"/>
                    <w:snapToGrid w:val="0"/>
                    <w:jc w:val="center"/>
                    <w:rPr>
                      <w:szCs w:val="21"/>
                    </w:rPr>
                  </w:pPr>
                  <w:r>
                    <w:rPr>
                      <w:rFonts w:hint="eastAsia"/>
                      <w:szCs w:val="21"/>
                    </w:rPr>
                    <w:t>5</w:t>
                  </w:r>
                </w:p>
              </w:tc>
              <w:tc>
                <w:tcPr>
                  <w:tcW w:w="3232" w:type="dxa"/>
                  <w:vAlign w:val="center"/>
                </w:tcPr>
                <w:p w14:paraId="5276C8DE">
                  <w:pPr>
                    <w:adjustRightInd w:val="0"/>
                    <w:snapToGrid w:val="0"/>
                    <w:jc w:val="center"/>
                    <w:rPr>
                      <w:szCs w:val="21"/>
                    </w:rPr>
                  </w:pPr>
                  <w:r>
                    <w:rPr>
                      <w:rFonts w:hint="eastAsia" w:hAnsi="宋体"/>
                      <w:kern w:val="0"/>
                      <w:sz w:val="24"/>
                    </w:rPr>
                    <w:t>聚贤大道</w:t>
                  </w:r>
                </w:p>
              </w:tc>
              <w:tc>
                <w:tcPr>
                  <w:tcW w:w="1997" w:type="dxa"/>
                  <w:vAlign w:val="center"/>
                </w:tcPr>
                <w:p w14:paraId="1CBF73C4">
                  <w:pPr>
                    <w:adjustRightInd w:val="0"/>
                    <w:snapToGrid w:val="0"/>
                    <w:jc w:val="center"/>
                    <w:rPr>
                      <w:szCs w:val="21"/>
                    </w:rPr>
                  </w:pPr>
                  <w:r>
                    <w:rPr>
                      <w:szCs w:val="21"/>
                    </w:rPr>
                    <w:t>S</w:t>
                  </w:r>
                </w:p>
              </w:tc>
              <w:tc>
                <w:tcPr>
                  <w:tcW w:w="1997" w:type="dxa"/>
                </w:tcPr>
                <w:p w14:paraId="2CFBD9F1">
                  <w:pPr>
                    <w:jc w:val="center"/>
                  </w:pPr>
                  <w:r>
                    <w:rPr>
                      <w:rFonts w:hint="eastAsia"/>
                      <w:szCs w:val="21"/>
                    </w:rPr>
                    <w:t>紧邻</w:t>
                  </w:r>
                </w:p>
              </w:tc>
            </w:tr>
            <w:tr w14:paraId="2FB3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70B0EFC7">
                  <w:pPr>
                    <w:adjustRightInd w:val="0"/>
                    <w:snapToGrid w:val="0"/>
                    <w:jc w:val="center"/>
                    <w:rPr>
                      <w:szCs w:val="21"/>
                    </w:rPr>
                  </w:pPr>
                  <w:r>
                    <w:rPr>
                      <w:rFonts w:hint="eastAsia"/>
                      <w:szCs w:val="21"/>
                    </w:rPr>
                    <w:t>6</w:t>
                  </w:r>
                </w:p>
              </w:tc>
              <w:tc>
                <w:tcPr>
                  <w:tcW w:w="3232" w:type="dxa"/>
                  <w:vAlign w:val="center"/>
                </w:tcPr>
                <w:p w14:paraId="4C190B0E">
                  <w:pPr>
                    <w:adjustRightInd w:val="0"/>
                    <w:snapToGrid w:val="0"/>
                    <w:jc w:val="center"/>
                    <w:rPr>
                      <w:szCs w:val="21"/>
                    </w:rPr>
                  </w:pPr>
                  <w:r>
                    <w:rPr>
                      <w:rFonts w:hint="eastAsia" w:hAnsi="宋体"/>
                      <w:szCs w:val="21"/>
                    </w:rPr>
                    <w:t>中国石油（涪陵大峨加油加气站）</w:t>
                  </w:r>
                </w:p>
              </w:tc>
              <w:tc>
                <w:tcPr>
                  <w:tcW w:w="1997" w:type="dxa"/>
                  <w:vAlign w:val="center"/>
                </w:tcPr>
                <w:p w14:paraId="1C445256">
                  <w:pPr>
                    <w:adjustRightInd w:val="0"/>
                    <w:snapToGrid w:val="0"/>
                    <w:jc w:val="center"/>
                    <w:rPr>
                      <w:szCs w:val="21"/>
                    </w:rPr>
                  </w:pPr>
                  <w:r>
                    <w:rPr>
                      <w:szCs w:val="21"/>
                    </w:rPr>
                    <w:t>S</w:t>
                  </w:r>
                </w:p>
              </w:tc>
              <w:tc>
                <w:tcPr>
                  <w:tcW w:w="1997" w:type="dxa"/>
                  <w:vAlign w:val="center"/>
                </w:tcPr>
                <w:p w14:paraId="08356D6E">
                  <w:pPr>
                    <w:adjustRightInd w:val="0"/>
                    <w:snapToGrid w:val="0"/>
                    <w:jc w:val="center"/>
                    <w:rPr>
                      <w:szCs w:val="21"/>
                    </w:rPr>
                  </w:pPr>
                  <w:r>
                    <w:rPr>
                      <w:rFonts w:hint="eastAsia"/>
                      <w:szCs w:val="21"/>
                    </w:rPr>
                    <w:t>60</w:t>
                  </w:r>
                </w:p>
              </w:tc>
            </w:tr>
          </w:tbl>
          <w:p w14:paraId="3BBA42CC">
            <w:pPr>
              <w:adjustRightInd w:val="0"/>
              <w:snapToGrid w:val="0"/>
              <w:spacing w:line="440" w:lineRule="exact"/>
              <w:rPr>
                <w:b/>
                <w:snapToGrid w:val="0"/>
                <w:kern w:val="0"/>
                <w:sz w:val="24"/>
              </w:rPr>
            </w:pPr>
            <w:r>
              <w:rPr>
                <w:b/>
                <w:snapToGrid w:val="0"/>
                <w:kern w:val="0"/>
                <w:sz w:val="24"/>
              </w:rPr>
              <w:t>3.</w:t>
            </w:r>
            <w:r>
              <w:rPr>
                <w:rFonts w:hint="eastAsia"/>
                <w:b/>
                <w:snapToGrid w:val="0"/>
                <w:kern w:val="0"/>
                <w:sz w:val="24"/>
              </w:rPr>
              <w:t>2.2环境保护目标</w:t>
            </w:r>
          </w:p>
          <w:p w14:paraId="33B177EA">
            <w:pPr>
              <w:adjustRightInd w:val="0"/>
              <w:snapToGrid w:val="0"/>
              <w:spacing w:line="460" w:lineRule="exact"/>
              <w:ind w:firstLine="480" w:firstLineChars="200"/>
              <w:rPr>
                <w:bCs/>
                <w:kern w:val="0"/>
                <w:sz w:val="24"/>
              </w:rPr>
            </w:pPr>
            <w:r>
              <w:rPr>
                <w:rFonts w:hAnsi="宋体"/>
                <w:bCs/>
                <w:kern w:val="0"/>
                <w:sz w:val="24"/>
              </w:rPr>
              <w:t>（</w:t>
            </w:r>
            <w:r>
              <w:rPr>
                <w:bCs/>
                <w:kern w:val="0"/>
                <w:sz w:val="24"/>
              </w:rPr>
              <w:t>1</w:t>
            </w:r>
            <w:r>
              <w:rPr>
                <w:rFonts w:hAnsi="宋体"/>
                <w:bCs/>
                <w:kern w:val="0"/>
                <w:sz w:val="24"/>
              </w:rPr>
              <w:t>）大气环境</w:t>
            </w:r>
          </w:p>
          <w:p w14:paraId="6E2D9050">
            <w:pPr>
              <w:adjustRightInd w:val="0"/>
              <w:snapToGrid w:val="0"/>
              <w:ind w:firstLine="480" w:firstLineChars="200"/>
              <w:jc w:val="left"/>
              <w:rPr>
                <w:bCs/>
                <w:kern w:val="0"/>
                <w:sz w:val="24"/>
              </w:rPr>
            </w:pPr>
            <w:r>
              <w:rPr>
                <w:rFonts w:hAnsi="宋体"/>
                <w:bCs/>
                <w:kern w:val="0"/>
                <w:sz w:val="24"/>
              </w:rPr>
              <w:t>项目厂界外</w:t>
            </w:r>
            <w:r>
              <w:rPr>
                <w:bCs/>
                <w:kern w:val="0"/>
                <w:sz w:val="24"/>
              </w:rPr>
              <w:t>500m</w:t>
            </w:r>
            <w:r>
              <w:rPr>
                <w:rFonts w:hAnsi="宋体"/>
                <w:bCs/>
                <w:kern w:val="0"/>
                <w:sz w:val="24"/>
              </w:rPr>
              <w:t>范围内无大气环境保护目标。</w:t>
            </w:r>
          </w:p>
          <w:p w14:paraId="69890CA9">
            <w:pPr>
              <w:adjustRightInd w:val="0"/>
              <w:snapToGrid w:val="0"/>
              <w:spacing w:line="460" w:lineRule="exact"/>
              <w:ind w:firstLine="480" w:firstLineChars="200"/>
              <w:rPr>
                <w:bCs/>
                <w:kern w:val="0"/>
                <w:sz w:val="24"/>
              </w:rPr>
            </w:pPr>
            <w:r>
              <w:rPr>
                <w:rFonts w:hAnsi="宋体"/>
                <w:bCs/>
                <w:kern w:val="0"/>
                <w:sz w:val="24"/>
              </w:rPr>
              <w:t>（</w:t>
            </w:r>
            <w:r>
              <w:rPr>
                <w:bCs/>
                <w:kern w:val="0"/>
                <w:sz w:val="24"/>
              </w:rPr>
              <w:t>2</w:t>
            </w:r>
            <w:r>
              <w:rPr>
                <w:rFonts w:hAnsi="宋体"/>
                <w:bCs/>
                <w:kern w:val="0"/>
                <w:sz w:val="24"/>
              </w:rPr>
              <w:t>）声环境</w:t>
            </w:r>
          </w:p>
          <w:p w14:paraId="4682D496">
            <w:pPr>
              <w:adjustRightInd w:val="0"/>
              <w:snapToGrid w:val="0"/>
              <w:spacing w:line="460" w:lineRule="exact"/>
              <w:ind w:firstLine="480" w:firstLineChars="200"/>
              <w:rPr>
                <w:bCs/>
                <w:kern w:val="0"/>
                <w:sz w:val="24"/>
              </w:rPr>
            </w:pPr>
            <w:r>
              <w:rPr>
                <w:rFonts w:hAnsi="宋体"/>
                <w:bCs/>
                <w:kern w:val="0"/>
                <w:sz w:val="24"/>
              </w:rPr>
              <w:t>项目厂界外</w:t>
            </w:r>
            <w:r>
              <w:rPr>
                <w:bCs/>
                <w:kern w:val="0"/>
                <w:sz w:val="24"/>
              </w:rPr>
              <w:t>50m</w:t>
            </w:r>
            <w:r>
              <w:rPr>
                <w:rFonts w:hAnsi="宋体"/>
                <w:bCs/>
                <w:kern w:val="0"/>
                <w:sz w:val="24"/>
              </w:rPr>
              <w:t>范围内无声环境保护目标。</w:t>
            </w:r>
          </w:p>
          <w:p w14:paraId="4CFE54C4">
            <w:pPr>
              <w:adjustRightInd w:val="0"/>
              <w:snapToGrid w:val="0"/>
              <w:spacing w:line="460" w:lineRule="exact"/>
              <w:ind w:firstLine="480" w:firstLineChars="200"/>
              <w:rPr>
                <w:bCs/>
                <w:kern w:val="0"/>
                <w:sz w:val="24"/>
              </w:rPr>
            </w:pPr>
            <w:r>
              <w:rPr>
                <w:rFonts w:hAnsi="宋体"/>
                <w:bCs/>
                <w:kern w:val="0"/>
                <w:sz w:val="24"/>
              </w:rPr>
              <w:t>（</w:t>
            </w:r>
            <w:r>
              <w:rPr>
                <w:bCs/>
                <w:kern w:val="0"/>
                <w:sz w:val="24"/>
              </w:rPr>
              <w:t>3</w:t>
            </w:r>
            <w:r>
              <w:rPr>
                <w:rFonts w:hAnsi="宋体"/>
                <w:bCs/>
                <w:kern w:val="0"/>
                <w:sz w:val="24"/>
              </w:rPr>
              <w:t>）地下水</w:t>
            </w:r>
          </w:p>
          <w:p w14:paraId="3A501B3D">
            <w:pPr>
              <w:adjustRightInd w:val="0"/>
              <w:snapToGrid w:val="0"/>
              <w:spacing w:line="460" w:lineRule="exact"/>
              <w:ind w:firstLine="480" w:firstLineChars="200"/>
              <w:rPr>
                <w:bCs/>
                <w:kern w:val="0"/>
                <w:sz w:val="24"/>
              </w:rPr>
            </w:pPr>
            <w:r>
              <w:rPr>
                <w:rFonts w:hAnsi="宋体"/>
                <w:bCs/>
                <w:kern w:val="0"/>
                <w:sz w:val="24"/>
              </w:rPr>
              <w:t>项目厂界外</w:t>
            </w:r>
            <w:r>
              <w:rPr>
                <w:bCs/>
                <w:kern w:val="0"/>
                <w:sz w:val="24"/>
              </w:rPr>
              <w:t>500m</w:t>
            </w:r>
            <w:r>
              <w:rPr>
                <w:rFonts w:hAnsi="宋体"/>
                <w:bCs/>
                <w:kern w:val="0"/>
                <w:sz w:val="24"/>
              </w:rPr>
              <w:t>范围内无地下水集中式饮用水水源和热水、矿泉水、温泉等特殊地下水资源。</w:t>
            </w:r>
          </w:p>
          <w:p w14:paraId="562FAABC">
            <w:pPr>
              <w:adjustRightInd w:val="0"/>
              <w:snapToGrid w:val="0"/>
              <w:spacing w:line="460" w:lineRule="exact"/>
              <w:ind w:firstLine="480" w:firstLineChars="200"/>
              <w:rPr>
                <w:bCs/>
                <w:kern w:val="0"/>
                <w:sz w:val="24"/>
              </w:rPr>
            </w:pPr>
            <w:r>
              <w:rPr>
                <w:rFonts w:hAnsi="宋体"/>
                <w:bCs/>
                <w:kern w:val="0"/>
                <w:sz w:val="24"/>
              </w:rPr>
              <w:t>（</w:t>
            </w:r>
            <w:r>
              <w:rPr>
                <w:bCs/>
                <w:kern w:val="0"/>
                <w:sz w:val="24"/>
              </w:rPr>
              <w:t>4</w:t>
            </w:r>
            <w:r>
              <w:rPr>
                <w:rFonts w:hAnsi="宋体"/>
                <w:bCs/>
                <w:kern w:val="0"/>
                <w:sz w:val="24"/>
              </w:rPr>
              <w:t>）生态环境</w:t>
            </w:r>
          </w:p>
          <w:p w14:paraId="2F81391C">
            <w:pPr>
              <w:adjustRightInd w:val="0"/>
              <w:snapToGrid w:val="0"/>
              <w:spacing w:line="440" w:lineRule="exact"/>
              <w:ind w:firstLine="480"/>
              <w:rPr>
                <w:sz w:val="26"/>
                <w:szCs w:val="26"/>
              </w:rPr>
            </w:pPr>
            <w:r>
              <w:rPr>
                <w:rFonts w:hint="eastAsia"/>
                <w:sz w:val="24"/>
              </w:rPr>
              <w:t>本项目</w:t>
            </w:r>
            <w:r>
              <w:rPr>
                <w:rFonts w:hint="eastAsia"/>
                <w:sz w:val="24"/>
                <w:szCs w:val="36"/>
              </w:rPr>
              <w:t>位于</w:t>
            </w:r>
            <w:r>
              <w:rPr>
                <w:rFonts w:hint="eastAsia"/>
                <w:sz w:val="24"/>
              </w:rPr>
              <w:t>重庆市涪陵区鹤凤大道33号</w:t>
            </w:r>
            <w:r>
              <w:rPr>
                <w:rFonts w:hint="eastAsia"/>
                <w:sz w:val="24"/>
                <w:szCs w:val="36"/>
              </w:rPr>
              <w:t>，用地性质为工业用地，不涉及生态保护目标。</w:t>
            </w:r>
          </w:p>
        </w:tc>
      </w:tr>
      <w:tr w14:paraId="0FF66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803" w:type="dxa"/>
            <w:tcMar>
              <w:left w:w="28" w:type="dxa"/>
              <w:right w:w="28" w:type="dxa"/>
            </w:tcMar>
            <w:vAlign w:val="center"/>
          </w:tcPr>
          <w:p w14:paraId="20667599">
            <w:pPr>
              <w:adjustRightInd w:val="0"/>
              <w:snapToGrid w:val="0"/>
              <w:jc w:val="center"/>
              <w:rPr>
                <w:rFonts w:ascii="宋体" w:hAnsi="宋体" w:cs="宋体"/>
                <w:kern w:val="0"/>
                <w:sz w:val="24"/>
              </w:rPr>
            </w:pPr>
            <w:r>
              <w:rPr>
                <w:rFonts w:hint="eastAsia" w:ascii="宋体" w:hAnsi="宋体" w:cs="宋体"/>
                <w:kern w:val="0"/>
                <w:sz w:val="24"/>
              </w:rPr>
              <w:t>污染</w:t>
            </w:r>
          </w:p>
          <w:p w14:paraId="169A985D">
            <w:pPr>
              <w:adjustRightInd w:val="0"/>
              <w:snapToGrid w:val="0"/>
              <w:jc w:val="center"/>
              <w:rPr>
                <w:rFonts w:ascii="宋体" w:hAnsi="宋体" w:cs="宋体"/>
                <w:kern w:val="0"/>
                <w:sz w:val="24"/>
              </w:rPr>
            </w:pPr>
            <w:r>
              <w:rPr>
                <w:rFonts w:hint="eastAsia" w:ascii="宋体" w:hAnsi="宋体" w:cs="宋体"/>
                <w:kern w:val="0"/>
                <w:sz w:val="24"/>
              </w:rPr>
              <w:t>物排</w:t>
            </w:r>
          </w:p>
          <w:p w14:paraId="5F4FB990">
            <w:pPr>
              <w:adjustRightInd w:val="0"/>
              <w:snapToGrid w:val="0"/>
              <w:jc w:val="center"/>
              <w:rPr>
                <w:rFonts w:ascii="宋体" w:hAnsi="宋体" w:cs="宋体"/>
                <w:kern w:val="0"/>
                <w:sz w:val="24"/>
              </w:rPr>
            </w:pPr>
            <w:r>
              <w:rPr>
                <w:rFonts w:hint="eastAsia" w:ascii="宋体" w:hAnsi="宋体" w:cs="宋体"/>
                <w:kern w:val="0"/>
                <w:sz w:val="24"/>
              </w:rPr>
              <w:t>放控</w:t>
            </w:r>
          </w:p>
          <w:p w14:paraId="460A1577">
            <w:pPr>
              <w:adjustRightInd w:val="0"/>
              <w:snapToGrid w:val="0"/>
              <w:jc w:val="center"/>
              <w:rPr>
                <w:rFonts w:ascii="宋体" w:hAnsi="宋体" w:cs="宋体"/>
                <w:kern w:val="0"/>
                <w:sz w:val="24"/>
              </w:rPr>
            </w:pPr>
            <w:r>
              <w:rPr>
                <w:rFonts w:hint="eastAsia" w:ascii="宋体" w:hAnsi="宋体" w:cs="宋体"/>
                <w:kern w:val="0"/>
                <w:sz w:val="24"/>
              </w:rPr>
              <w:t>制标</w:t>
            </w:r>
          </w:p>
          <w:p w14:paraId="39D96EEA">
            <w:pPr>
              <w:adjustRightInd w:val="0"/>
              <w:snapToGrid w:val="0"/>
              <w:jc w:val="center"/>
              <w:rPr>
                <w:rFonts w:ascii="宋体" w:hAnsi="宋体" w:cs="宋体"/>
                <w:kern w:val="0"/>
                <w:sz w:val="24"/>
              </w:rPr>
            </w:pPr>
            <w:r>
              <w:rPr>
                <w:rFonts w:hint="eastAsia" w:ascii="宋体" w:hAnsi="宋体" w:cs="宋体"/>
                <w:kern w:val="0"/>
                <w:sz w:val="24"/>
              </w:rPr>
              <w:t>准</w:t>
            </w:r>
          </w:p>
        </w:tc>
        <w:tc>
          <w:tcPr>
            <w:tcW w:w="8217" w:type="dxa"/>
            <w:vAlign w:val="center"/>
          </w:tcPr>
          <w:p w14:paraId="70EC88D0">
            <w:pPr>
              <w:adjustRightInd w:val="0"/>
              <w:snapToGrid w:val="0"/>
              <w:spacing w:line="480" w:lineRule="exact"/>
              <w:jc w:val="left"/>
              <w:rPr>
                <w:b/>
                <w:kern w:val="0"/>
                <w:sz w:val="24"/>
              </w:rPr>
            </w:pPr>
            <w:r>
              <w:rPr>
                <w:b/>
                <w:kern w:val="0"/>
                <w:sz w:val="24"/>
              </w:rPr>
              <w:t>3.3.1</w:t>
            </w:r>
            <w:r>
              <w:rPr>
                <w:rFonts w:hAnsi="宋体"/>
                <w:b/>
                <w:kern w:val="0"/>
                <w:sz w:val="24"/>
              </w:rPr>
              <w:t>废气排放标准</w:t>
            </w:r>
          </w:p>
          <w:p w14:paraId="33E57D6F">
            <w:pPr>
              <w:pStyle w:val="10"/>
              <w:adjustRightInd w:val="0"/>
              <w:snapToGrid w:val="0"/>
              <w:spacing w:line="360" w:lineRule="auto"/>
              <w:ind w:left="-108" w:right="-108" w:firstLine="480" w:firstLineChars="200"/>
              <w:jc w:val="left"/>
              <w:rPr>
                <w:rFonts w:ascii="Times New Roman" w:hAnsi="Times New Roman"/>
                <w:bCs/>
                <w:sz w:val="24"/>
              </w:rPr>
            </w:pPr>
            <w:r>
              <w:rPr>
                <w:rFonts w:ascii="Times New Roman" w:hAnsi="Times New Roman"/>
                <w:sz w:val="24"/>
                <w:szCs w:val="24"/>
              </w:rPr>
              <w:t>拟建项目营运期印刷过程产生的非甲烷总烃执行重庆市《包装印刷业大气污染物排放标准》（DB 50/7</w:t>
            </w:r>
            <w:r>
              <w:rPr>
                <w:rFonts w:ascii="Times New Roman" w:hAnsi="Times New Roman" w:eastAsiaTheme="minorEastAsia"/>
                <w:sz w:val="24"/>
                <w:szCs w:val="24"/>
              </w:rPr>
              <w:t>58-2017</w:t>
            </w:r>
            <w:r>
              <w:rPr>
                <w:rFonts w:ascii="Times New Roman" w:hAnsiTheme="minorEastAsia" w:eastAsiaTheme="minorEastAsia"/>
                <w:sz w:val="24"/>
                <w:szCs w:val="24"/>
              </w:rPr>
              <w:t>）表</w:t>
            </w:r>
            <w:r>
              <w:rPr>
                <w:rFonts w:ascii="Times New Roman" w:hAnsi="Times New Roman" w:eastAsiaTheme="minorEastAsia"/>
                <w:sz w:val="24"/>
                <w:szCs w:val="24"/>
              </w:rPr>
              <w:t>2</w:t>
            </w:r>
            <w:r>
              <w:rPr>
                <w:rFonts w:ascii="Times New Roman" w:hAnsiTheme="minorEastAsia" w:eastAsiaTheme="minorEastAsia"/>
                <w:sz w:val="24"/>
                <w:szCs w:val="24"/>
              </w:rPr>
              <w:t>Ⅱ时段其他区域标准限值</w:t>
            </w:r>
            <w:r>
              <w:rPr>
                <w:rFonts w:hint="eastAsia" w:ascii="Times New Roman" w:hAnsi="Times New Roman"/>
                <w:sz w:val="24"/>
                <w:szCs w:val="24"/>
              </w:rPr>
              <w:t>、《挥发性有机物无组织排放控制标准》（GB37822-2019）</w:t>
            </w:r>
            <w:r>
              <w:rPr>
                <w:rFonts w:ascii="Times New Roman" w:hAnsiTheme="minorEastAsia" w:eastAsiaTheme="minorEastAsia"/>
                <w:sz w:val="24"/>
                <w:szCs w:val="24"/>
              </w:rPr>
              <w:t>；印刷</w:t>
            </w:r>
            <w:r>
              <w:rPr>
                <w:rFonts w:hint="eastAsia" w:ascii="Times New Roman" w:hAnsiTheme="minorEastAsia" w:eastAsiaTheme="minorEastAsia"/>
                <w:sz w:val="24"/>
                <w:szCs w:val="24"/>
              </w:rPr>
              <w:t>生产过程中产生的</w:t>
            </w:r>
            <w:r>
              <w:rPr>
                <w:rFonts w:ascii="Times New Roman" w:hAnsiTheme="minorEastAsia" w:eastAsiaTheme="minorEastAsia"/>
                <w:sz w:val="24"/>
                <w:szCs w:val="24"/>
              </w:rPr>
              <w:t>臭气浓度执行</w:t>
            </w:r>
            <w:r>
              <w:rPr>
                <w:rFonts w:ascii="Times New Roman" w:hAnsiTheme="minorEastAsia" w:eastAsiaTheme="minorEastAsia"/>
                <w:sz w:val="24"/>
              </w:rPr>
              <w:t>《恶臭污染物排放标准》</w:t>
            </w:r>
            <w:r>
              <w:rPr>
                <w:rFonts w:ascii="Times New Roman" w:hAnsi="Times New Roman" w:eastAsiaTheme="minorEastAsia"/>
                <w:sz w:val="24"/>
              </w:rPr>
              <w:t xml:space="preserve"> </w:t>
            </w:r>
            <w:r>
              <w:rPr>
                <w:rFonts w:ascii="Times New Roman" w:hAnsiTheme="minorEastAsia" w:eastAsiaTheme="minorEastAsia"/>
                <w:sz w:val="24"/>
              </w:rPr>
              <w:t>（</w:t>
            </w:r>
            <w:r>
              <w:rPr>
                <w:rFonts w:ascii="Times New Roman" w:hAnsi="Times New Roman" w:eastAsiaTheme="minorEastAsia"/>
                <w:sz w:val="24"/>
              </w:rPr>
              <w:t>GB14554-93</w:t>
            </w:r>
            <w:r>
              <w:rPr>
                <w:rFonts w:ascii="Times New Roman" w:hAnsiTheme="minorEastAsia" w:eastAsiaTheme="minorEastAsia"/>
                <w:sz w:val="24"/>
              </w:rPr>
              <w:t>）标准</w:t>
            </w:r>
            <w:r>
              <w:rPr>
                <w:rFonts w:hint="eastAsia" w:ascii="Times New Roman" w:hAnsiTheme="minorEastAsia" w:eastAsiaTheme="minorEastAsia"/>
                <w:sz w:val="24"/>
              </w:rPr>
              <w:t>限值</w:t>
            </w:r>
            <w:r>
              <w:rPr>
                <w:rFonts w:hint="eastAsia" w:ascii="Times New Roman" w:hAnsi="Times New Roman"/>
                <w:sz w:val="24"/>
                <w:szCs w:val="24"/>
              </w:rPr>
              <w:t>；喷粉颗粒物无组织执行《大气污染物综合排放标准》（</w:t>
            </w:r>
            <w:r>
              <w:rPr>
                <w:rFonts w:ascii="Times New Roman" w:hAnsi="Times New Roman"/>
                <w:sz w:val="24"/>
                <w:szCs w:val="24"/>
              </w:rPr>
              <w:t>DB50/418-2016</w:t>
            </w:r>
            <w:r>
              <w:rPr>
                <w:rFonts w:hint="eastAsia" w:ascii="Times New Roman" w:hAnsi="Times New Roman"/>
                <w:sz w:val="24"/>
                <w:szCs w:val="24"/>
              </w:rPr>
              <w:t>）；</w:t>
            </w:r>
            <w:r>
              <w:rPr>
                <w:rFonts w:ascii="Times New Roman" w:hAnsi="Times New Roman"/>
                <w:bCs/>
                <w:sz w:val="24"/>
              </w:rPr>
              <w:t>食堂产生的油烟执行《餐饮业大气污染物排放标准》（DB50/859-2018）表1限值标准。详见表</w:t>
            </w:r>
            <w:r>
              <w:rPr>
                <w:rFonts w:hint="eastAsia" w:ascii="Times New Roman" w:hAnsi="Times New Roman"/>
                <w:bCs/>
                <w:sz w:val="24"/>
              </w:rPr>
              <w:t>3.3-1</w:t>
            </w:r>
            <w:r>
              <w:rPr>
                <w:rFonts w:ascii="Times New Roman" w:hAnsi="Times New Roman"/>
                <w:bCs/>
                <w:sz w:val="24"/>
              </w:rPr>
              <w:t>～</w:t>
            </w:r>
            <w:r>
              <w:rPr>
                <w:rFonts w:hint="eastAsia" w:ascii="Times New Roman" w:hAnsi="Times New Roman"/>
                <w:sz w:val="24"/>
                <w:szCs w:val="24"/>
              </w:rPr>
              <w:t>3.3-6</w:t>
            </w:r>
            <w:r>
              <w:rPr>
                <w:rFonts w:ascii="Times New Roman" w:hAnsi="Times New Roman"/>
                <w:bCs/>
                <w:sz w:val="24"/>
              </w:rPr>
              <w:t>。</w:t>
            </w:r>
            <w:r>
              <w:rPr>
                <w:rFonts w:hint="eastAsia"/>
                <w:kern w:val="1"/>
                <w:sz w:val="24"/>
                <w:szCs w:val="24"/>
              </w:rPr>
              <w:t xml:space="preserve">           </w:t>
            </w:r>
          </w:p>
          <w:p w14:paraId="6E73EBA7">
            <w:pPr>
              <w:topLinePunct/>
              <w:adjustRightInd w:val="0"/>
              <w:snapToGrid w:val="0"/>
              <w:jc w:val="center"/>
              <w:rPr>
                <w:b/>
                <w:bCs/>
                <w:szCs w:val="21"/>
              </w:rPr>
            </w:pPr>
            <w:r>
              <w:rPr>
                <w:b/>
                <w:bCs/>
                <w:szCs w:val="21"/>
              </w:rPr>
              <w:t>表</w:t>
            </w:r>
            <w:r>
              <w:rPr>
                <w:rFonts w:hint="eastAsia"/>
                <w:b/>
                <w:bCs/>
                <w:szCs w:val="21"/>
              </w:rPr>
              <w:t xml:space="preserve">3.3-1 </w:t>
            </w:r>
            <w:r>
              <w:rPr>
                <w:b/>
                <w:bCs/>
                <w:szCs w:val="21"/>
              </w:rPr>
              <w:t>《包装印刷业大气污染物排放标准》（DB/50/758-2017）</w:t>
            </w:r>
            <w:r>
              <w:rPr>
                <w:rFonts w:hint="eastAsia"/>
                <w:b/>
                <w:bCs/>
                <w:szCs w:val="21"/>
              </w:rPr>
              <w:t>表2第</w:t>
            </w:r>
            <w:r>
              <w:rPr>
                <w:rFonts w:hint="eastAsia" w:ascii="宋体" w:hAnsi="宋体"/>
                <w:b/>
                <w:bCs/>
                <w:szCs w:val="21"/>
              </w:rPr>
              <w:t>Ⅱ</w:t>
            </w:r>
            <w:r>
              <w:rPr>
                <w:rFonts w:hint="eastAsia"/>
                <w:b/>
                <w:bCs/>
                <w:szCs w:val="21"/>
              </w:rPr>
              <w:t>时段标准</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42"/>
              <w:gridCol w:w="2172"/>
              <w:gridCol w:w="1488"/>
              <w:gridCol w:w="1838"/>
              <w:gridCol w:w="1452"/>
            </w:tblGrid>
            <w:tr w14:paraId="34ABE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2" w:type="pct"/>
                  <w:vMerge w:val="restart"/>
                  <w:vAlign w:val="center"/>
                </w:tcPr>
                <w:p w14:paraId="3BABD856">
                  <w:pPr>
                    <w:jc w:val="center"/>
                    <w:rPr>
                      <w:b/>
                      <w:szCs w:val="21"/>
                    </w:rPr>
                  </w:pPr>
                  <w:r>
                    <w:rPr>
                      <w:b/>
                      <w:szCs w:val="21"/>
                    </w:rPr>
                    <w:t>污染物</w:t>
                  </w:r>
                </w:p>
              </w:tc>
              <w:tc>
                <w:tcPr>
                  <w:tcW w:w="1359" w:type="pct"/>
                  <w:vMerge w:val="restart"/>
                  <w:vAlign w:val="center"/>
                </w:tcPr>
                <w:p w14:paraId="770A5057">
                  <w:pPr>
                    <w:pStyle w:val="10"/>
                    <w:jc w:val="center"/>
                    <w:rPr>
                      <w:rFonts w:ascii="Times New Roman" w:hAnsi="Times New Roman"/>
                      <w:b/>
                    </w:rPr>
                  </w:pPr>
                  <w:r>
                    <w:rPr>
                      <w:rFonts w:ascii="Times New Roman" w:hAnsi="Times New Roman"/>
                      <w:b/>
                    </w:rPr>
                    <w:t>最高允许排放浓度</w:t>
                  </w:r>
                </w:p>
                <w:p w14:paraId="43B68E67">
                  <w:pPr>
                    <w:jc w:val="center"/>
                    <w:rPr>
                      <w:b/>
                      <w:szCs w:val="21"/>
                    </w:rPr>
                  </w:pPr>
                  <w:r>
                    <w:rPr>
                      <w:b/>
                      <w:szCs w:val="21"/>
                    </w:rPr>
                    <w:t>(mg/m</w:t>
                  </w:r>
                  <w:r>
                    <w:rPr>
                      <w:b/>
                      <w:szCs w:val="21"/>
                      <w:vertAlign w:val="superscript"/>
                    </w:rPr>
                    <w:t>3</w:t>
                  </w:r>
                  <w:r>
                    <w:rPr>
                      <w:b/>
                      <w:szCs w:val="21"/>
                    </w:rPr>
                    <w:t>)</w:t>
                  </w:r>
                </w:p>
              </w:tc>
              <w:tc>
                <w:tcPr>
                  <w:tcW w:w="931" w:type="pct"/>
                  <w:vMerge w:val="restart"/>
                  <w:vAlign w:val="center"/>
                </w:tcPr>
                <w:p w14:paraId="324EAD83">
                  <w:pPr>
                    <w:jc w:val="center"/>
                    <w:rPr>
                      <w:b/>
                      <w:szCs w:val="21"/>
                    </w:rPr>
                  </w:pPr>
                  <w:r>
                    <w:rPr>
                      <w:b/>
                      <w:szCs w:val="21"/>
                    </w:rPr>
                    <w:t>最高允许排放速率 (kg/h)</w:t>
                  </w:r>
                </w:p>
              </w:tc>
              <w:tc>
                <w:tcPr>
                  <w:tcW w:w="2058" w:type="pct"/>
                  <w:gridSpan w:val="2"/>
                  <w:vAlign w:val="center"/>
                </w:tcPr>
                <w:p w14:paraId="511D5C8E">
                  <w:pPr>
                    <w:jc w:val="center"/>
                    <w:rPr>
                      <w:b/>
                      <w:szCs w:val="21"/>
                    </w:rPr>
                  </w:pPr>
                  <w:r>
                    <w:rPr>
                      <w:b/>
                      <w:szCs w:val="21"/>
                    </w:rPr>
                    <w:t>无组织排放监控浓度限值</w:t>
                  </w:r>
                </w:p>
              </w:tc>
            </w:tr>
            <w:tr w14:paraId="0988C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 w:hRule="atLeast"/>
                <w:jc w:val="center"/>
              </w:trPr>
              <w:tc>
                <w:tcPr>
                  <w:tcW w:w="652" w:type="pct"/>
                  <w:vMerge w:val="continue"/>
                  <w:vAlign w:val="center"/>
                </w:tcPr>
                <w:p w14:paraId="1A4D3D13">
                  <w:pPr>
                    <w:jc w:val="center"/>
                    <w:rPr>
                      <w:b/>
                      <w:szCs w:val="21"/>
                    </w:rPr>
                  </w:pPr>
                </w:p>
              </w:tc>
              <w:tc>
                <w:tcPr>
                  <w:tcW w:w="1359" w:type="pct"/>
                  <w:vMerge w:val="continue"/>
                  <w:vAlign w:val="center"/>
                </w:tcPr>
                <w:p w14:paraId="64B99584">
                  <w:pPr>
                    <w:jc w:val="center"/>
                    <w:rPr>
                      <w:b/>
                      <w:szCs w:val="21"/>
                    </w:rPr>
                  </w:pPr>
                </w:p>
              </w:tc>
              <w:tc>
                <w:tcPr>
                  <w:tcW w:w="931" w:type="pct"/>
                  <w:vMerge w:val="continue"/>
                  <w:vAlign w:val="center"/>
                </w:tcPr>
                <w:p w14:paraId="65A0B354">
                  <w:pPr>
                    <w:jc w:val="center"/>
                    <w:rPr>
                      <w:b/>
                      <w:szCs w:val="21"/>
                    </w:rPr>
                  </w:pPr>
                </w:p>
              </w:tc>
              <w:tc>
                <w:tcPr>
                  <w:tcW w:w="1150" w:type="pct"/>
                  <w:vAlign w:val="center"/>
                </w:tcPr>
                <w:p w14:paraId="7A61A6E1">
                  <w:pPr>
                    <w:jc w:val="center"/>
                    <w:rPr>
                      <w:b/>
                      <w:szCs w:val="21"/>
                    </w:rPr>
                  </w:pPr>
                  <w:r>
                    <w:rPr>
                      <w:b/>
                      <w:szCs w:val="21"/>
                    </w:rPr>
                    <w:t>监控点</w:t>
                  </w:r>
                </w:p>
              </w:tc>
              <w:tc>
                <w:tcPr>
                  <w:tcW w:w="908" w:type="pct"/>
                  <w:vAlign w:val="center"/>
                </w:tcPr>
                <w:p w14:paraId="1C366A75">
                  <w:pPr>
                    <w:jc w:val="center"/>
                    <w:rPr>
                      <w:b/>
                      <w:szCs w:val="21"/>
                    </w:rPr>
                  </w:pPr>
                  <w:r>
                    <w:rPr>
                      <w:b/>
                      <w:szCs w:val="21"/>
                    </w:rPr>
                    <w:t>浓度（mg/m</w:t>
                  </w:r>
                  <w:r>
                    <w:rPr>
                      <w:b/>
                      <w:szCs w:val="21"/>
                      <w:vertAlign w:val="superscript"/>
                    </w:rPr>
                    <w:t>3</w:t>
                  </w:r>
                  <w:r>
                    <w:rPr>
                      <w:b/>
                      <w:szCs w:val="21"/>
                    </w:rPr>
                    <w:t>）</w:t>
                  </w:r>
                </w:p>
              </w:tc>
            </w:tr>
            <w:tr w14:paraId="019A9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2" w:type="pct"/>
                  <w:vMerge w:val="restart"/>
                  <w:vAlign w:val="center"/>
                </w:tcPr>
                <w:p w14:paraId="08D1D4B7">
                  <w:pPr>
                    <w:jc w:val="center"/>
                    <w:rPr>
                      <w:szCs w:val="21"/>
                    </w:rPr>
                  </w:pPr>
                  <w:r>
                    <w:rPr>
                      <w:szCs w:val="21"/>
                    </w:rPr>
                    <w:t>非甲烷总烃</w:t>
                  </w:r>
                </w:p>
              </w:tc>
              <w:tc>
                <w:tcPr>
                  <w:tcW w:w="1359" w:type="pct"/>
                  <w:vMerge w:val="restart"/>
                  <w:vAlign w:val="center"/>
                </w:tcPr>
                <w:p w14:paraId="4E7B559A">
                  <w:pPr>
                    <w:jc w:val="center"/>
                    <w:rPr>
                      <w:szCs w:val="21"/>
                    </w:rPr>
                  </w:pPr>
                  <w:r>
                    <w:rPr>
                      <w:szCs w:val="21"/>
                    </w:rPr>
                    <w:t>80</w:t>
                  </w:r>
                </w:p>
              </w:tc>
              <w:tc>
                <w:tcPr>
                  <w:tcW w:w="931" w:type="pct"/>
                  <w:vMerge w:val="restart"/>
                  <w:vAlign w:val="center"/>
                </w:tcPr>
                <w:p w14:paraId="517129BF">
                  <w:pPr>
                    <w:jc w:val="center"/>
                    <w:rPr>
                      <w:szCs w:val="21"/>
                    </w:rPr>
                  </w:pPr>
                  <w:r>
                    <w:rPr>
                      <w:szCs w:val="21"/>
                    </w:rPr>
                    <w:t>5.1</w:t>
                  </w:r>
                </w:p>
              </w:tc>
              <w:tc>
                <w:tcPr>
                  <w:tcW w:w="1150" w:type="pct"/>
                  <w:vAlign w:val="center"/>
                </w:tcPr>
                <w:p w14:paraId="3239B307">
                  <w:pPr>
                    <w:jc w:val="center"/>
                    <w:rPr>
                      <w:szCs w:val="21"/>
                    </w:rPr>
                  </w:pPr>
                  <w:r>
                    <w:rPr>
                      <w:szCs w:val="21"/>
                    </w:rPr>
                    <w:t>企业边界</w:t>
                  </w:r>
                </w:p>
              </w:tc>
              <w:tc>
                <w:tcPr>
                  <w:tcW w:w="908" w:type="pct"/>
                  <w:vAlign w:val="center"/>
                </w:tcPr>
                <w:p w14:paraId="56F014A7">
                  <w:pPr>
                    <w:jc w:val="center"/>
                    <w:rPr>
                      <w:szCs w:val="21"/>
                    </w:rPr>
                  </w:pPr>
                  <w:r>
                    <w:rPr>
                      <w:szCs w:val="21"/>
                    </w:rPr>
                    <w:t>4.0</w:t>
                  </w:r>
                </w:p>
              </w:tc>
            </w:tr>
            <w:tr w14:paraId="04A81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52" w:type="pct"/>
                  <w:vMerge w:val="continue"/>
                  <w:vAlign w:val="center"/>
                </w:tcPr>
                <w:p w14:paraId="520E74D2">
                  <w:pPr>
                    <w:jc w:val="center"/>
                    <w:rPr>
                      <w:szCs w:val="21"/>
                    </w:rPr>
                  </w:pPr>
                </w:p>
              </w:tc>
              <w:tc>
                <w:tcPr>
                  <w:tcW w:w="1359" w:type="pct"/>
                  <w:vMerge w:val="continue"/>
                  <w:vAlign w:val="center"/>
                </w:tcPr>
                <w:p w14:paraId="125EEBB1">
                  <w:pPr>
                    <w:jc w:val="center"/>
                    <w:rPr>
                      <w:szCs w:val="21"/>
                    </w:rPr>
                  </w:pPr>
                </w:p>
              </w:tc>
              <w:tc>
                <w:tcPr>
                  <w:tcW w:w="931" w:type="pct"/>
                  <w:vMerge w:val="continue"/>
                  <w:vAlign w:val="center"/>
                </w:tcPr>
                <w:p w14:paraId="2E805D18">
                  <w:pPr>
                    <w:jc w:val="center"/>
                    <w:rPr>
                      <w:szCs w:val="21"/>
                    </w:rPr>
                  </w:pPr>
                </w:p>
              </w:tc>
              <w:tc>
                <w:tcPr>
                  <w:tcW w:w="1150" w:type="pct"/>
                  <w:vAlign w:val="center"/>
                </w:tcPr>
                <w:p w14:paraId="7C35F51B">
                  <w:pPr>
                    <w:jc w:val="center"/>
                    <w:rPr>
                      <w:szCs w:val="21"/>
                    </w:rPr>
                  </w:pPr>
                  <w:r>
                    <w:rPr>
                      <w:rFonts w:hint="eastAsia"/>
                      <w:szCs w:val="21"/>
                    </w:rPr>
                    <w:t>印刷生产场所</w:t>
                  </w:r>
                </w:p>
              </w:tc>
              <w:tc>
                <w:tcPr>
                  <w:tcW w:w="908" w:type="pct"/>
                  <w:vAlign w:val="center"/>
                </w:tcPr>
                <w:p w14:paraId="53799DA6">
                  <w:pPr>
                    <w:jc w:val="center"/>
                    <w:rPr>
                      <w:szCs w:val="21"/>
                    </w:rPr>
                  </w:pPr>
                  <w:r>
                    <w:rPr>
                      <w:rFonts w:hint="eastAsia"/>
                      <w:szCs w:val="21"/>
                    </w:rPr>
                    <w:t>6.0</w:t>
                  </w:r>
                </w:p>
              </w:tc>
            </w:tr>
            <w:tr w14:paraId="6F474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5"/>
                  <w:vAlign w:val="center"/>
                </w:tcPr>
                <w:p w14:paraId="40D7A1F5">
                  <w:pPr>
                    <w:jc w:val="center"/>
                    <w:rPr>
                      <w:sz w:val="18"/>
                      <w:szCs w:val="18"/>
                    </w:rPr>
                  </w:pPr>
                  <w:r>
                    <w:rPr>
                      <w:rFonts w:hint="eastAsia"/>
                      <w:sz w:val="18"/>
                      <w:szCs w:val="18"/>
                    </w:rPr>
                    <w:t>排气筒高度不应低于15m，排气筒高度低于15m，</w:t>
                  </w:r>
                  <w:r>
                    <w:rPr>
                      <w:rFonts w:hint="eastAsia" w:ascii="宋体" w:hAnsi="宋体"/>
                      <w:sz w:val="18"/>
                      <w:szCs w:val="18"/>
                    </w:rPr>
                    <w:t>Ⅱ</w:t>
                  </w:r>
                  <w:r>
                    <w:rPr>
                      <w:rFonts w:hint="eastAsia"/>
                      <w:sz w:val="18"/>
                      <w:szCs w:val="18"/>
                    </w:rPr>
                    <w:t>时段按表2的排放速率限值的50%执行</w:t>
                  </w:r>
                </w:p>
              </w:tc>
            </w:tr>
          </w:tbl>
          <w:p w14:paraId="584D0A26">
            <w:pPr>
              <w:topLinePunct/>
              <w:adjustRightInd w:val="0"/>
              <w:snapToGrid w:val="0"/>
              <w:spacing w:line="460" w:lineRule="exact"/>
              <w:jc w:val="center"/>
              <w:rPr>
                <w:b/>
                <w:bCs/>
                <w:szCs w:val="21"/>
              </w:rPr>
            </w:pPr>
            <w:r>
              <w:rPr>
                <w:rFonts w:hint="eastAsia"/>
                <w:b/>
                <w:bCs/>
                <w:szCs w:val="21"/>
              </w:rPr>
              <w:t>表3.3-2 《挥发性有机物无组织排放控制标准》（GB37822-2019）</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465"/>
              <w:gridCol w:w="1482"/>
              <w:gridCol w:w="2378"/>
              <w:gridCol w:w="1581"/>
            </w:tblGrid>
            <w:tr w14:paraId="72B9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340D595C">
                  <w:pPr>
                    <w:topLinePunct/>
                    <w:adjustRightInd w:val="0"/>
                    <w:snapToGrid w:val="0"/>
                    <w:jc w:val="center"/>
                    <w:rPr>
                      <w:szCs w:val="21"/>
                    </w:rPr>
                  </w:pPr>
                  <w:r>
                    <w:rPr>
                      <w:rFonts w:hint="eastAsia"/>
                      <w:szCs w:val="21"/>
                    </w:rPr>
                    <w:t>污染项目</w:t>
                  </w:r>
                </w:p>
              </w:tc>
              <w:tc>
                <w:tcPr>
                  <w:tcW w:w="1465" w:type="dxa"/>
                  <w:vAlign w:val="center"/>
                </w:tcPr>
                <w:p w14:paraId="26C6FCC1">
                  <w:pPr>
                    <w:topLinePunct/>
                    <w:adjustRightInd w:val="0"/>
                    <w:snapToGrid w:val="0"/>
                    <w:jc w:val="center"/>
                    <w:rPr>
                      <w:szCs w:val="21"/>
                    </w:rPr>
                  </w:pPr>
                  <w:r>
                    <w:rPr>
                      <w:rFonts w:hint="eastAsia"/>
                      <w:szCs w:val="21"/>
                    </w:rPr>
                    <w:t>排放限值</w:t>
                  </w:r>
                </w:p>
                <w:p w14:paraId="0AA41BAA">
                  <w:pPr>
                    <w:topLinePunct/>
                    <w:adjustRightInd w:val="0"/>
                    <w:snapToGrid w:val="0"/>
                    <w:jc w:val="center"/>
                    <w:rPr>
                      <w:szCs w:val="21"/>
                    </w:rPr>
                  </w:pPr>
                  <w:r>
                    <w:rPr>
                      <w:rFonts w:hint="eastAsia"/>
                      <w:szCs w:val="21"/>
                    </w:rPr>
                    <w:t>mg/m</w:t>
                  </w:r>
                  <w:r>
                    <w:rPr>
                      <w:rFonts w:hint="eastAsia"/>
                      <w:szCs w:val="21"/>
                      <w:vertAlign w:val="superscript"/>
                    </w:rPr>
                    <w:t>3</w:t>
                  </w:r>
                </w:p>
              </w:tc>
              <w:tc>
                <w:tcPr>
                  <w:tcW w:w="1482" w:type="dxa"/>
                  <w:vAlign w:val="center"/>
                </w:tcPr>
                <w:p w14:paraId="711B51CD">
                  <w:pPr>
                    <w:topLinePunct/>
                    <w:adjustRightInd w:val="0"/>
                    <w:snapToGrid w:val="0"/>
                    <w:jc w:val="center"/>
                    <w:rPr>
                      <w:szCs w:val="21"/>
                    </w:rPr>
                  </w:pPr>
                  <w:r>
                    <w:rPr>
                      <w:rFonts w:hint="eastAsia"/>
                      <w:szCs w:val="21"/>
                    </w:rPr>
                    <w:t>特别排放限值</w:t>
                  </w:r>
                </w:p>
                <w:p w14:paraId="4F49AE25">
                  <w:pPr>
                    <w:topLinePunct/>
                    <w:adjustRightInd w:val="0"/>
                    <w:snapToGrid w:val="0"/>
                    <w:jc w:val="center"/>
                    <w:rPr>
                      <w:szCs w:val="21"/>
                    </w:rPr>
                  </w:pPr>
                  <w:r>
                    <w:rPr>
                      <w:rFonts w:hint="eastAsia"/>
                      <w:szCs w:val="21"/>
                    </w:rPr>
                    <w:t>mg/m</w:t>
                  </w:r>
                  <w:r>
                    <w:rPr>
                      <w:rFonts w:hint="eastAsia"/>
                      <w:szCs w:val="21"/>
                      <w:vertAlign w:val="superscript"/>
                    </w:rPr>
                    <w:t>3</w:t>
                  </w:r>
                </w:p>
              </w:tc>
              <w:tc>
                <w:tcPr>
                  <w:tcW w:w="2378" w:type="dxa"/>
                  <w:vAlign w:val="center"/>
                </w:tcPr>
                <w:p w14:paraId="13553851">
                  <w:pPr>
                    <w:topLinePunct/>
                    <w:adjustRightInd w:val="0"/>
                    <w:snapToGrid w:val="0"/>
                    <w:jc w:val="center"/>
                    <w:rPr>
                      <w:szCs w:val="21"/>
                    </w:rPr>
                  </w:pPr>
                  <w:r>
                    <w:rPr>
                      <w:rFonts w:hint="eastAsia"/>
                      <w:szCs w:val="21"/>
                    </w:rPr>
                    <w:t>限值含义</w:t>
                  </w:r>
                </w:p>
              </w:tc>
              <w:tc>
                <w:tcPr>
                  <w:tcW w:w="1581" w:type="dxa"/>
                  <w:vAlign w:val="center"/>
                </w:tcPr>
                <w:p w14:paraId="1DE0662A">
                  <w:pPr>
                    <w:topLinePunct/>
                    <w:adjustRightInd w:val="0"/>
                    <w:snapToGrid w:val="0"/>
                    <w:jc w:val="center"/>
                    <w:rPr>
                      <w:szCs w:val="21"/>
                    </w:rPr>
                  </w:pPr>
                  <w:r>
                    <w:rPr>
                      <w:rFonts w:hint="eastAsia"/>
                      <w:szCs w:val="21"/>
                    </w:rPr>
                    <w:t>无组织排放监控位置</w:t>
                  </w:r>
                </w:p>
              </w:tc>
            </w:tr>
            <w:tr w14:paraId="0F16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restart"/>
                  <w:vAlign w:val="center"/>
                </w:tcPr>
                <w:p w14:paraId="680CBF98">
                  <w:pPr>
                    <w:topLinePunct/>
                    <w:adjustRightInd w:val="0"/>
                    <w:snapToGrid w:val="0"/>
                    <w:jc w:val="center"/>
                    <w:rPr>
                      <w:szCs w:val="21"/>
                    </w:rPr>
                  </w:pPr>
                  <w:r>
                    <w:rPr>
                      <w:rFonts w:hint="eastAsia"/>
                      <w:szCs w:val="21"/>
                    </w:rPr>
                    <w:t>非甲烷</w:t>
                  </w:r>
                </w:p>
                <w:p w14:paraId="1F8EB8FF">
                  <w:pPr>
                    <w:topLinePunct/>
                    <w:adjustRightInd w:val="0"/>
                    <w:snapToGrid w:val="0"/>
                    <w:jc w:val="center"/>
                    <w:rPr>
                      <w:szCs w:val="21"/>
                    </w:rPr>
                  </w:pPr>
                  <w:r>
                    <w:rPr>
                      <w:rFonts w:hint="eastAsia"/>
                      <w:szCs w:val="21"/>
                    </w:rPr>
                    <w:t>总烃</w:t>
                  </w:r>
                </w:p>
              </w:tc>
              <w:tc>
                <w:tcPr>
                  <w:tcW w:w="1465" w:type="dxa"/>
                  <w:vAlign w:val="center"/>
                </w:tcPr>
                <w:p w14:paraId="26B0FD56">
                  <w:pPr>
                    <w:topLinePunct/>
                    <w:adjustRightInd w:val="0"/>
                    <w:snapToGrid w:val="0"/>
                    <w:jc w:val="center"/>
                    <w:rPr>
                      <w:szCs w:val="21"/>
                    </w:rPr>
                  </w:pPr>
                  <w:r>
                    <w:rPr>
                      <w:rFonts w:hint="eastAsia"/>
                      <w:szCs w:val="21"/>
                    </w:rPr>
                    <w:t>10</w:t>
                  </w:r>
                </w:p>
              </w:tc>
              <w:tc>
                <w:tcPr>
                  <w:tcW w:w="1482" w:type="dxa"/>
                  <w:vAlign w:val="center"/>
                </w:tcPr>
                <w:p w14:paraId="4EAEBE6B">
                  <w:pPr>
                    <w:topLinePunct/>
                    <w:adjustRightInd w:val="0"/>
                    <w:snapToGrid w:val="0"/>
                    <w:jc w:val="center"/>
                    <w:rPr>
                      <w:szCs w:val="21"/>
                    </w:rPr>
                  </w:pPr>
                  <w:r>
                    <w:rPr>
                      <w:rFonts w:hint="eastAsia"/>
                      <w:szCs w:val="21"/>
                    </w:rPr>
                    <w:t>6</w:t>
                  </w:r>
                </w:p>
              </w:tc>
              <w:tc>
                <w:tcPr>
                  <w:tcW w:w="2378" w:type="dxa"/>
                  <w:vAlign w:val="center"/>
                </w:tcPr>
                <w:p w14:paraId="59E8B26A">
                  <w:pPr>
                    <w:topLinePunct/>
                    <w:adjustRightInd w:val="0"/>
                    <w:snapToGrid w:val="0"/>
                    <w:jc w:val="center"/>
                    <w:rPr>
                      <w:szCs w:val="21"/>
                    </w:rPr>
                  </w:pPr>
                  <w:r>
                    <w:rPr>
                      <w:rFonts w:hint="eastAsia"/>
                      <w:szCs w:val="21"/>
                    </w:rPr>
                    <w:t>监控点处1h平均浓度值</w:t>
                  </w:r>
                </w:p>
              </w:tc>
              <w:tc>
                <w:tcPr>
                  <w:tcW w:w="1581" w:type="dxa"/>
                  <w:vMerge w:val="restart"/>
                  <w:vAlign w:val="center"/>
                </w:tcPr>
                <w:p w14:paraId="35BE9804">
                  <w:pPr>
                    <w:topLinePunct/>
                    <w:adjustRightInd w:val="0"/>
                    <w:snapToGrid w:val="0"/>
                    <w:jc w:val="center"/>
                    <w:rPr>
                      <w:szCs w:val="21"/>
                    </w:rPr>
                  </w:pPr>
                  <w:r>
                    <w:rPr>
                      <w:rFonts w:hint="eastAsia"/>
                      <w:szCs w:val="21"/>
                    </w:rPr>
                    <w:t>在厂房外设置监控点</w:t>
                  </w:r>
                </w:p>
              </w:tc>
            </w:tr>
            <w:tr w14:paraId="603F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Merge w:val="continue"/>
                  <w:vAlign w:val="center"/>
                </w:tcPr>
                <w:p w14:paraId="0BDB6A03">
                  <w:pPr>
                    <w:topLinePunct/>
                    <w:adjustRightInd w:val="0"/>
                    <w:snapToGrid w:val="0"/>
                    <w:jc w:val="center"/>
                    <w:rPr>
                      <w:szCs w:val="21"/>
                    </w:rPr>
                  </w:pPr>
                </w:p>
              </w:tc>
              <w:tc>
                <w:tcPr>
                  <w:tcW w:w="1465" w:type="dxa"/>
                  <w:vAlign w:val="center"/>
                </w:tcPr>
                <w:p w14:paraId="22B8C9C0">
                  <w:pPr>
                    <w:topLinePunct/>
                    <w:adjustRightInd w:val="0"/>
                    <w:snapToGrid w:val="0"/>
                    <w:jc w:val="center"/>
                    <w:rPr>
                      <w:szCs w:val="21"/>
                    </w:rPr>
                  </w:pPr>
                  <w:r>
                    <w:rPr>
                      <w:rFonts w:hint="eastAsia"/>
                      <w:szCs w:val="21"/>
                    </w:rPr>
                    <w:t>30</w:t>
                  </w:r>
                </w:p>
              </w:tc>
              <w:tc>
                <w:tcPr>
                  <w:tcW w:w="1482" w:type="dxa"/>
                  <w:vAlign w:val="center"/>
                </w:tcPr>
                <w:p w14:paraId="38841E3D">
                  <w:pPr>
                    <w:topLinePunct/>
                    <w:adjustRightInd w:val="0"/>
                    <w:snapToGrid w:val="0"/>
                    <w:jc w:val="center"/>
                    <w:rPr>
                      <w:szCs w:val="21"/>
                    </w:rPr>
                  </w:pPr>
                  <w:r>
                    <w:rPr>
                      <w:rFonts w:hint="eastAsia"/>
                      <w:szCs w:val="21"/>
                    </w:rPr>
                    <w:t>20</w:t>
                  </w:r>
                </w:p>
              </w:tc>
              <w:tc>
                <w:tcPr>
                  <w:tcW w:w="2378" w:type="dxa"/>
                  <w:vAlign w:val="center"/>
                </w:tcPr>
                <w:p w14:paraId="5DA29E73">
                  <w:pPr>
                    <w:topLinePunct/>
                    <w:adjustRightInd w:val="0"/>
                    <w:snapToGrid w:val="0"/>
                    <w:jc w:val="center"/>
                    <w:rPr>
                      <w:szCs w:val="21"/>
                    </w:rPr>
                  </w:pPr>
                  <w:r>
                    <w:rPr>
                      <w:rFonts w:hint="eastAsia"/>
                      <w:szCs w:val="21"/>
                    </w:rPr>
                    <w:t>监控点处任意一次浓度值</w:t>
                  </w:r>
                </w:p>
              </w:tc>
              <w:tc>
                <w:tcPr>
                  <w:tcW w:w="1581" w:type="dxa"/>
                  <w:vMerge w:val="continue"/>
                  <w:vAlign w:val="center"/>
                </w:tcPr>
                <w:p w14:paraId="5EF49D47">
                  <w:pPr>
                    <w:topLinePunct/>
                    <w:adjustRightInd w:val="0"/>
                    <w:snapToGrid w:val="0"/>
                    <w:jc w:val="center"/>
                    <w:rPr>
                      <w:szCs w:val="21"/>
                    </w:rPr>
                  </w:pPr>
                </w:p>
              </w:tc>
            </w:tr>
          </w:tbl>
          <w:p w14:paraId="25C2BFBB">
            <w:pPr>
              <w:topLinePunct/>
              <w:adjustRightInd w:val="0"/>
              <w:snapToGrid w:val="0"/>
              <w:spacing w:line="480" w:lineRule="exact"/>
              <w:ind w:firstLine="480" w:firstLineChars="200"/>
              <w:jc w:val="left"/>
              <w:rPr>
                <w:bCs/>
                <w:sz w:val="24"/>
              </w:rPr>
            </w:pPr>
            <w:r>
              <w:rPr>
                <w:rFonts w:hint="eastAsia"/>
                <w:bCs/>
                <w:sz w:val="24"/>
              </w:rPr>
              <w:t>根据《挥发性有机物无组织排放控制标准》（GB37822-2019）中规定非甲烷总烃厂房外无组织特别排放限值浓度为6</w:t>
            </w:r>
            <w:r>
              <w:rPr>
                <w:rFonts w:hint="eastAsia"/>
                <w:sz w:val="24"/>
              </w:rPr>
              <w:t xml:space="preserve"> mg/m</w:t>
            </w:r>
            <w:r>
              <w:rPr>
                <w:rFonts w:hint="eastAsia"/>
                <w:sz w:val="24"/>
                <w:vertAlign w:val="superscript"/>
              </w:rPr>
              <w:t>3</w:t>
            </w:r>
            <w:r>
              <w:rPr>
                <w:rFonts w:hint="eastAsia"/>
                <w:sz w:val="24"/>
              </w:rPr>
              <w:t>，重</w:t>
            </w:r>
            <w:r>
              <w:rPr>
                <w:bCs/>
                <w:sz w:val="24"/>
              </w:rPr>
              <w:t>庆市《包装印刷业大气污染物排放标准》（DB/50/758-2017）</w:t>
            </w:r>
            <w:r>
              <w:rPr>
                <w:rFonts w:hint="eastAsia"/>
                <w:bCs/>
                <w:sz w:val="24"/>
              </w:rPr>
              <w:t>表2第</w:t>
            </w:r>
            <w:r>
              <w:rPr>
                <w:rFonts w:hint="eastAsia" w:ascii="宋体" w:hAnsi="宋体"/>
                <w:bCs/>
                <w:sz w:val="24"/>
              </w:rPr>
              <w:t>Ⅱ</w:t>
            </w:r>
            <w:r>
              <w:rPr>
                <w:rFonts w:hint="eastAsia"/>
                <w:bCs/>
                <w:sz w:val="24"/>
              </w:rPr>
              <w:t>时段标准中规定非甲烷总烃企业边界无组织浓度为</w:t>
            </w:r>
            <w:r>
              <w:rPr>
                <w:rFonts w:hint="eastAsia"/>
                <w:sz w:val="24"/>
              </w:rPr>
              <w:t>4mg/m</w:t>
            </w:r>
            <w:r>
              <w:rPr>
                <w:rFonts w:hint="eastAsia"/>
                <w:sz w:val="24"/>
                <w:vertAlign w:val="superscript"/>
              </w:rPr>
              <w:t>3</w:t>
            </w:r>
            <w:r>
              <w:rPr>
                <w:rFonts w:hint="eastAsia"/>
                <w:sz w:val="24"/>
              </w:rPr>
              <w:t>，依据从严执行原则，拟建项目印刷过程挥发性有机物无组织排放标准执行重</w:t>
            </w:r>
            <w:r>
              <w:rPr>
                <w:bCs/>
                <w:sz w:val="24"/>
              </w:rPr>
              <w:t>庆市《包装印刷业大气污染物排放标准》（DB/50/758-2017）</w:t>
            </w:r>
            <w:r>
              <w:rPr>
                <w:rFonts w:hint="eastAsia"/>
                <w:bCs/>
                <w:sz w:val="24"/>
              </w:rPr>
              <w:t>表2第</w:t>
            </w:r>
            <w:r>
              <w:rPr>
                <w:rFonts w:hint="eastAsia" w:ascii="宋体" w:hAnsi="宋体"/>
                <w:bCs/>
                <w:sz w:val="24"/>
              </w:rPr>
              <w:t>Ⅱ</w:t>
            </w:r>
            <w:r>
              <w:rPr>
                <w:rFonts w:hint="eastAsia"/>
                <w:bCs/>
                <w:sz w:val="24"/>
              </w:rPr>
              <w:t>时段标准。</w:t>
            </w:r>
          </w:p>
          <w:p w14:paraId="3A01AA32">
            <w:pPr>
              <w:snapToGrid w:val="0"/>
              <w:spacing w:line="480" w:lineRule="exact"/>
              <w:ind w:firstLine="422" w:firstLineChars="200"/>
              <w:jc w:val="center"/>
              <w:rPr>
                <w:b/>
                <w:bCs/>
                <w:szCs w:val="21"/>
              </w:rPr>
            </w:pPr>
            <w:r>
              <w:rPr>
                <w:rFonts w:hint="eastAsia"/>
                <w:b/>
                <w:bCs/>
                <w:szCs w:val="21"/>
              </w:rPr>
              <w:t>表3</w:t>
            </w:r>
            <w:r>
              <w:rPr>
                <w:b/>
                <w:bCs/>
                <w:szCs w:val="21"/>
              </w:rPr>
              <w:t>.3-</w:t>
            </w:r>
            <w:r>
              <w:rPr>
                <w:rFonts w:hint="eastAsia"/>
                <w:b/>
                <w:bCs/>
                <w:szCs w:val="21"/>
              </w:rPr>
              <w:t xml:space="preserve">3  </w:t>
            </w:r>
            <w:r>
              <w:rPr>
                <w:b/>
                <w:bCs/>
                <w:szCs w:val="21"/>
              </w:rPr>
              <w:t>《</w:t>
            </w:r>
            <w:r>
              <w:rPr>
                <w:rFonts w:hint="eastAsia"/>
                <w:b/>
                <w:bCs/>
                <w:szCs w:val="21"/>
              </w:rPr>
              <w:t>恶臭</w:t>
            </w:r>
            <w:r>
              <w:rPr>
                <w:b/>
                <w:bCs/>
                <w:szCs w:val="21"/>
              </w:rPr>
              <w:t>污染</w:t>
            </w:r>
            <w:r>
              <w:rPr>
                <w:rFonts w:hint="eastAsia"/>
                <w:b/>
                <w:bCs/>
                <w:szCs w:val="21"/>
              </w:rPr>
              <w:t>物</w:t>
            </w:r>
            <w:r>
              <w:rPr>
                <w:b/>
                <w:bCs/>
                <w:szCs w:val="21"/>
              </w:rPr>
              <w:t>排放标准》(GB</w:t>
            </w:r>
            <w:r>
              <w:rPr>
                <w:rFonts w:hint="eastAsia"/>
                <w:b/>
                <w:bCs/>
                <w:szCs w:val="21"/>
              </w:rPr>
              <w:t>14554</w:t>
            </w:r>
            <w:r>
              <w:rPr>
                <w:b/>
                <w:bCs/>
                <w:szCs w:val="21"/>
              </w:rPr>
              <w:t>-</w:t>
            </w:r>
            <w:r>
              <w:rPr>
                <w:rFonts w:hint="eastAsia"/>
                <w:b/>
                <w:bCs/>
                <w:szCs w:val="21"/>
              </w:rPr>
              <w:t>93</w:t>
            </w:r>
            <w:r>
              <w:rPr>
                <w:b/>
                <w:bCs/>
                <w:szCs w:val="21"/>
              </w:rPr>
              <w:t>)</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145"/>
              <w:gridCol w:w="2285"/>
              <w:gridCol w:w="3137"/>
            </w:tblGrid>
            <w:tr w14:paraId="4863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94" w:type="pct"/>
                  <w:shd w:val="clear" w:color="auto" w:fill="auto"/>
                </w:tcPr>
                <w:p w14:paraId="35517A6A">
                  <w:pPr>
                    <w:snapToGrid w:val="0"/>
                    <w:spacing w:line="440" w:lineRule="exact"/>
                    <w:jc w:val="center"/>
                    <w:rPr>
                      <w:szCs w:val="21"/>
                    </w:rPr>
                  </w:pPr>
                  <w:r>
                    <w:rPr>
                      <w:rFonts w:hint="eastAsia"/>
                      <w:szCs w:val="21"/>
                    </w:rPr>
                    <w:t>控制项目</w:t>
                  </w:r>
                </w:p>
              </w:tc>
              <w:tc>
                <w:tcPr>
                  <w:tcW w:w="716" w:type="pct"/>
                  <w:shd w:val="clear" w:color="auto" w:fill="auto"/>
                </w:tcPr>
                <w:p w14:paraId="7A272BF3">
                  <w:pPr>
                    <w:snapToGrid w:val="0"/>
                    <w:spacing w:line="440" w:lineRule="exact"/>
                    <w:jc w:val="center"/>
                    <w:rPr>
                      <w:szCs w:val="21"/>
                    </w:rPr>
                  </w:pPr>
                  <w:r>
                    <w:rPr>
                      <w:rFonts w:hint="eastAsia"/>
                      <w:szCs w:val="21"/>
                    </w:rPr>
                    <w:t>单位</w:t>
                  </w:r>
                </w:p>
              </w:tc>
              <w:tc>
                <w:tcPr>
                  <w:tcW w:w="1428" w:type="pct"/>
                </w:tcPr>
                <w:p w14:paraId="04AB1B86">
                  <w:pPr>
                    <w:snapToGrid w:val="0"/>
                    <w:spacing w:line="440" w:lineRule="exact"/>
                    <w:jc w:val="center"/>
                    <w:rPr>
                      <w:szCs w:val="21"/>
                    </w:rPr>
                  </w:pPr>
                  <w:r>
                    <w:rPr>
                      <w:rFonts w:hint="eastAsia"/>
                      <w:szCs w:val="21"/>
                    </w:rPr>
                    <w:t>臭气浓度标准值</w:t>
                  </w:r>
                </w:p>
              </w:tc>
              <w:tc>
                <w:tcPr>
                  <w:tcW w:w="1961" w:type="pct"/>
                </w:tcPr>
                <w:p w14:paraId="7B1BCAA9">
                  <w:pPr>
                    <w:snapToGrid w:val="0"/>
                    <w:spacing w:line="440" w:lineRule="exact"/>
                    <w:jc w:val="center"/>
                    <w:rPr>
                      <w:szCs w:val="21"/>
                    </w:rPr>
                  </w:pPr>
                  <w:r>
                    <w:rPr>
                      <w:rFonts w:hint="eastAsia"/>
                      <w:szCs w:val="21"/>
                    </w:rPr>
                    <w:t>污染物排放控制位置</w:t>
                  </w:r>
                </w:p>
              </w:tc>
            </w:tr>
            <w:tr w14:paraId="3820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94" w:type="pct"/>
                  <w:shd w:val="clear" w:color="auto" w:fill="auto"/>
                </w:tcPr>
                <w:p w14:paraId="5B4B0F8A">
                  <w:pPr>
                    <w:snapToGrid w:val="0"/>
                    <w:spacing w:line="440" w:lineRule="exact"/>
                    <w:jc w:val="center"/>
                    <w:rPr>
                      <w:szCs w:val="21"/>
                    </w:rPr>
                  </w:pPr>
                  <w:r>
                    <w:rPr>
                      <w:rFonts w:hint="eastAsia"/>
                      <w:szCs w:val="21"/>
                    </w:rPr>
                    <w:t>臭气浓度</w:t>
                  </w:r>
                </w:p>
              </w:tc>
              <w:tc>
                <w:tcPr>
                  <w:tcW w:w="716" w:type="pct"/>
                  <w:shd w:val="clear" w:color="auto" w:fill="auto"/>
                </w:tcPr>
                <w:p w14:paraId="37947B37">
                  <w:pPr>
                    <w:snapToGrid w:val="0"/>
                    <w:spacing w:line="440" w:lineRule="exact"/>
                    <w:jc w:val="center"/>
                    <w:rPr>
                      <w:szCs w:val="21"/>
                    </w:rPr>
                  </w:pPr>
                  <w:r>
                    <w:rPr>
                      <w:rFonts w:hint="eastAsia"/>
                      <w:szCs w:val="21"/>
                    </w:rPr>
                    <w:t>无量纲</w:t>
                  </w:r>
                </w:p>
              </w:tc>
              <w:tc>
                <w:tcPr>
                  <w:tcW w:w="1428" w:type="pct"/>
                </w:tcPr>
                <w:p w14:paraId="2B664552">
                  <w:pPr>
                    <w:snapToGrid w:val="0"/>
                    <w:spacing w:line="440" w:lineRule="exact"/>
                    <w:jc w:val="center"/>
                    <w:rPr>
                      <w:szCs w:val="21"/>
                    </w:rPr>
                  </w:pPr>
                  <w:r>
                    <w:rPr>
                      <w:rFonts w:hint="eastAsia"/>
                      <w:szCs w:val="21"/>
                    </w:rPr>
                    <w:t>20</w:t>
                  </w:r>
                </w:p>
              </w:tc>
              <w:tc>
                <w:tcPr>
                  <w:tcW w:w="1961" w:type="pct"/>
                </w:tcPr>
                <w:p w14:paraId="2CA72A1F">
                  <w:pPr>
                    <w:snapToGrid w:val="0"/>
                    <w:spacing w:line="440" w:lineRule="exact"/>
                    <w:jc w:val="center"/>
                    <w:rPr>
                      <w:szCs w:val="21"/>
                    </w:rPr>
                  </w:pPr>
                  <w:r>
                    <w:rPr>
                      <w:rFonts w:hint="eastAsia"/>
                      <w:szCs w:val="21"/>
                    </w:rPr>
                    <w:t>厂界（二级新改扩建）</w:t>
                  </w:r>
                </w:p>
              </w:tc>
            </w:tr>
          </w:tbl>
          <w:p w14:paraId="25CFB7E0">
            <w:pPr>
              <w:topLinePunct/>
              <w:adjustRightInd w:val="0"/>
              <w:snapToGrid w:val="0"/>
              <w:jc w:val="center"/>
              <w:rPr>
                <w:b/>
                <w:bCs/>
                <w:szCs w:val="21"/>
              </w:rPr>
            </w:pPr>
          </w:p>
          <w:p w14:paraId="1B30E2A7">
            <w:pPr>
              <w:topLinePunct/>
              <w:adjustRightInd w:val="0"/>
              <w:snapToGrid w:val="0"/>
              <w:jc w:val="center"/>
              <w:rPr>
                <w:b/>
                <w:bCs/>
                <w:szCs w:val="21"/>
              </w:rPr>
            </w:pPr>
            <w:r>
              <w:rPr>
                <w:b/>
                <w:bCs/>
                <w:szCs w:val="21"/>
              </w:rPr>
              <w:t>表</w:t>
            </w:r>
            <w:r>
              <w:rPr>
                <w:rFonts w:hint="eastAsia"/>
                <w:b/>
                <w:bCs/>
                <w:szCs w:val="21"/>
              </w:rPr>
              <w:t>3.3-4</w:t>
            </w:r>
            <w:r>
              <w:rPr>
                <w:b/>
                <w:bCs/>
                <w:szCs w:val="21"/>
              </w:rPr>
              <w:t xml:space="preserve">  重庆市《</w:t>
            </w:r>
            <w:r>
              <w:rPr>
                <w:rFonts w:hint="eastAsia"/>
                <w:b/>
                <w:bCs/>
                <w:szCs w:val="21"/>
              </w:rPr>
              <w:t>大气污染物综合排放标准</w:t>
            </w:r>
            <w:r>
              <w:rPr>
                <w:b/>
                <w:bCs/>
                <w:szCs w:val="21"/>
              </w:rPr>
              <w:t>》（DB</w:t>
            </w:r>
            <w:r>
              <w:rPr>
                <w:rFonts w:hint="eastAsia"/>
                <w:b/>
                <w:bCs/>
                <w:szCs w:val="21"/>
              </w:rPr>
              <w:t>50</w:t>
            </w:r>
            <w:r>
              <w:rPr>
                <w:b/>
                <w:bCs/>
                <w:szCs w:val="21"/>
              </w:rPr>
              <w:t>/</w:t>
            </w:r>
            <w:r>
              <w:rPr>
                <w:rFonts w:hint="eastAsia"/>
                <w:b/>
                <w:bCs/>
                <w:szCs w:val="21"/>
              </w:rPr>
              <w:t>418</w:t>
            </w:r>
            <w:r>
              <w:rPr>
                <w:b/>
                <w:bCs/>
                <w:szCs w:val="21"/>
              </w:rPr>
              <w:t>-201</w:t>
            </w:r>
            <w:r>
              <w:rPr>
                <w:rFonts w:hint="eastAsia"/>
                <w:b/>
                <w:bCs/>
                <w:szCs w:val="21"/>
              </w:rPr>
              <w:t>6</w:t>
            </w:r>
            <w:r>
              <w:rPr>
                <w:b/>
                <w:bCs/>
                <w:szCs w:val="21"/>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170"/>
              <w:gridCol w:w="4822"/>
            </w:tblGrid>
            <w:tr w14:paraId="29FFC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1" w:hRule="atLeast"/>
                <w:jc w:val="center"/>
              </w:trPr>
              <w:tc>
                <w:tcPr>
                  <w:tcW w:w="1983" w:type="pct"/>
                  <w:vMerge w:val="restart"/>
                  <w:vAlign w:val="center"/>
                </w:tcPr>
                <w:p w14:paraId="57939873">
                  <w:pPr>
                    <w:jc w:val="center"/>
                  </w:pPr>
                  <w:r>
                    <w:t>污染物</w:t>
                  </w:r>
                </w:p>
              </w:tc>
              <w:tc>
                <w:tcPr>
                  <w:tcW w:w="3017" w:type="pct"/>
                  <w:vMerge w:val="restart"/>
                  <w:vAlign w:val="center"/>
                </w:tcPr>
                <w:p w14:paraId="48CE3FA1">
                  <w:pPr>
                    <w:jc w:val="center"/>
                  </w:pPr>
                  <w:r>
                    <w:t>无组织排放监控浓度限值mg/m</w:t>
                  </w:r>
                  <w:r>
                    <w:rPr>
                      <w:vertAlign w:val="superscript"/>
                    </w:rPr>
                    <w:t>3</w:t>
                  </w:r>
                </w:p>
              </w:tc>
            </w:tr>
            <w:tr w14:paraId="19C5F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1983" w:type="pct"/>
                  <w:vMerge w:val="continue"/>
                  <w:vAlign w:val="center"/>
                </w:tcPr>
                <w:p w14:paraId="41D6A849">
                  <w:pPr>
                    <w:widowControl/>
                    <w:spacing w:line="320" w:lineRule="exact"/>
                    <w:jc w:val="center"/>
                    <w:rPr>
                      <w:szCs w:val="21"/>
                    </w:rPr>
                  </w:pPr>
                </w:p>
              </w:tc>
              <w:tc>
                <w:tcPr>
                  <w:tcW w:w="3017" w:type="pct"/>
                  <w:vMerge w:val="continue"/>
                  <w:vAlign w:val="center"/>
                </w:tcPr>
                <w:p w14:paraId="67CCA6C1">
                  <w:pPr>
                    <w:widowControl/>
                    <w:spacing w:line="320" w:lineRule="exact"/>
                    <w:jc w:val="center"/>
                    <w:rPr>
                      <w:szCs w:val="21"/>
                    </w:rPr>
                  </w:pPr>
                </w:p>
              </w:tc>
            </w:tr>
            <w:tr w14:paraId="0E23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6" w:hRule="atLeast"/>
                <w:jc w:val="center"/>
              </w:trPr>
              <w:tc>
                <w:tcPr>
                  <w:tcW w:w="1983" w:type="pct"/>
                  <w:vAlign w:val="center"/>
                </w:tcPr>
                <w:p w14:paraId="13460594">
                  <w:pPr>
                    <w:jc w:val="center"/>
                  </w:pPr>
                  <w:r>
                    <w:t>其他颗粒物</w:t>
                  </w:r>
                </w:p>
              </w:tc>
              <w:tc>
                <w:tcPr>
                  <w:tcW w:w="3017" w:type="pct"/>
                  <w:vAlign w:val="center"/>
                </w:tcPr>
                <w:p w14:paraId="591123A0">
                  <w:pPr>
                    <w:jc w:val="center"/>
                  </w:pPr>
                  <w:r>
                    <w:t>1.0</w:t>
                  </w:r>
                </w:p>
              </w:tc>
            </w:tr>
          </w:tbl>
          <w:p w14:paraId="50799094">
            <w:pPr>
              <w:topLinePunct/>
              <w:adjustRightInd w:val="0"/>
              <w:snapToGrid w:val="0"/>
              <w:jc w:val="center"/>
              <w:rPr>
                <w:b/>
                <w:bCs/>
                <w:szCs w:val="21"/>
              </w:rPr>
            </w:pPr>
          </w:p>
          <w:p w14:paraId="31E4F6DD">
            <w:pPr>
              <w:topLinePunct/>
              <w:adjustRightInd w:val="0"/>
              <w:snapToGrid w:val="0"/>
              <w:jc w:val="center"/>
              <w:rPr>
                <w:b/>
                <w:bCs/>
                <w:szCs w:val="21"/>
              </w:rPr>
            </w:pPr>
            <w:r>
              <w:rPr>
                <w:b/>
                <w:bCs/>
                <w:szCs w:val="21"/>
              </w:rPr>
              <w:t>表</w:t>
            </w:r>
            <w:r>
              <w:rPr>
                <w:rFonts w:hint="eastAsia"/>
                <w:b/>
                <w:bCs/>
                <w:szCs w:val="21"/>
              </w:rPr>
              <w:t>3.3-5</w:t>
            </w:r>
            <w:r>
              <w:rPr>
                <w:b/>
                <w:bCs/>
                <w:szCs w:val="21"/>
              </w:rPr>
              <w:t xml:space="preserve"> 《餐饮业大气污染物排放标准》（DB50/859-2018）</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380"/>
              <w:gridCol w:w="3612"/>
            </w:tblGrid>
            <w:tr w14:paraId="2CEBA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740" w:type="pct"/>
                  <w:vAlign w:val="center"/>
                </w:tcPr>
                <w:p w14:paraId="3B93B186">
                  <w:pPr>
                    <w:jc w:val="center"/>
                    <w:rPr>
                      <w:b/>
                    </w:rPr>
                  </w:pPr>
                  <w:r>
                    <w:rPr>
                      <w:b/>
                    </w:rPr>
                    <w:t>污染物项目</w:t>
                  </w:r>
                </w:p>
              </w:tc>
              <w:tc>
                <w:tcPr>
                  <w:tcW w:w="2260" w:type="pct"/>
                  <w:vAlign w:val="center"/>
                </w:tcPr>
                <w:p w14:paraId="3D36A149">
                  <w:pPr>
                    <w:jc w:val="center"/>
                    <w:rPr>
                      <w:b/>
                    </w:rPr>
                  </w:pPr>
                  <w:r>
                    <w:rPr>
                      <w:b/>
                    </w:rPr>
                    <w:t>最高允许排放浓度（mg/m</w:t>
                  </w:r>
                  <w:r>
                    <w:rPr>
                      <w:b/>
                      <w:vertAlign w:val="superscript"/>
                    </w:rPr>
                    <w:t>3</w:t>
                  </w:r>
                  <w:r>
                    <w:rPr>
                      <w:b/>
                    </w:rPr>
                    <w:t>）</w:t>
                  </w:r>
                </w:p>
              </w:tc>
            </w:tr>
            <w:tr w14:paraId="69CA8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2740" w:type="pct"/>
                  <w:vAlign w:val="center"/>
                </w:tcPr>
                <w:p w14:paraId="2A151759">
                  <w:pPr>
                    <w:jc w:val="center"/>
                  </w:pPr>
                  <w:r>
                    <w:t>油烟</w:t>
                  </w:r>
                </w:p>
              </w:tc>
              <w:tc>
                <w:tcPr>
                  <w:tcW w:w="2260" w:type="pct"/>
                  <w:vAlign w:val="center"/>
                </w:tcPr>
                <w:p w14:paraId="72B2AAFB">
                  <w:pPr>
                    <w:jc w:val="center"/>
                  </w:pPr>
                  <w:r>
                    <w:t>1.0</w:t>
                  </w:r>
                </w:p>
              </w:tc>
            </w:tr>
            <w:tr w14:paraId="46446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 w:hRule="atLeast"/>
                <w:jc w:val="center"/>
              </w:trPr>
              <w:tc>
                <w:tcPr>
                  <w:tcW w:w="2740" w:type="pct"/>
                  <w:vAlign w:val="center"/>
                </w:tcPr>
                <w:p w14:paraId="2E7AF869">
                  <w:pPr>
                    <w:jc w:val="center"/>
                  </w:pPr>
                  <w:r>
                    <w:t>非甲烷总烃</w:t>
                  </w:r>
                </w:p>
              </w:tc>
              <w:tc>
                <w:tcPr>
                  <w:tcW w:w="2260" w:type="pct"/>
                  <w:vAlign w:val="center"/>
                </w:tcPr>
                <w:p w14:paraId="4218B007">
                  <w:pPr>
                    <w:jc w:val="center"/>
                  </w:pPr>
                  <w:r>
                    <w:t>10.0</w:t>
                  </w:r>
                </w:p>
              </w:tc>
            </w:tr>
          </w:tbl>
          <w:p w14:paraId="1EDD0DB9">
            <w:pPr>
              <w:topLinePunct/>
              <w:adjustRightInd w:val="0"/>
              <w:snapToGrid w:val="0"/>
              <w:jc w:val="center"/>
              <w:rPr>
                <w:b/>
                <w:bCs/>
                <w:szCs w:val="21"/>
              </w:rPr>
            </w:pPr>
            <w:r>
              <w:rPr>
                <w:b/>
                <w:bCs/>
                <w:szCs w:val="21"/>
              </w:rPr>
              <w:t>表</w:t>
            </w:r>
            <w:r>
              <w:rPr>
                <w:rFonts w:hint="eastAsia"/>
                <w:b/>
                <w:bCs/>
                <w:szCs w:val="21"/>
              </w:rPr>
              <w:t xml:space="preserve">3.3-6 </w:t>
            </w:r>
            <w:r>
              <w:rPr>
                <w:b/>
                <w:bCs/>
                <w:szCs w:val="21"/>
              </w:rPr>
              <w:t xml:space="preserve"> 餐饮单位规模划分</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1824"/>
              <w:gridCol w:w="1766"/>
              <w:gridCol w:w="1560"/>
            </w:tblGrid>
            <w:tr w14:paraId="5F702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5000" w:type="pct"/>
                  <w:gridSpan w:val="4"/>
                  <w:vAlign w:val="center"/>
                </w:tcPr>
                <w:p w14:paraId="37EBE778">
                  <w:pPr>
                    <w:jc w:val="center"/>
                    <w:rPr>
                      <w:b/>
                    </w:rPr>
                  </w:pPr>
                  <w:r>
                    <w:rPr>
                      <w:b/>
                    </w:rPr>
                    <w:t>饮食业单位的规模划分</w:t>
                  </w:r>
                </w:p>
              </w:tc>
            </w:tr>
            <w:tr w14:paraId="435AF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778" w:type="pct"/>
                  <w:vAlign w:val="center"/>
                </w:tcPr>
                <w:p w14:paraId="0D5B864E">
                  <w:pPr>
                    <w:jc w:val="center"/>
                  </w:pPr>
                  <w:r>
                    <w:t>规模</w:t>
                  </w:r>
                </w:p>
              </w:tc>
              <w:tc>
                <w:tcPr>
                  <w:tcW w:w="1141" w:type="pct"/>
                  <w:vAlign w:val="center"/>
                </w:tcPr>
                <w:p w14:paraId="24DE1844">
                  <w:pPr>
                    <w:jc w:val="center"/>
                  </w:pPr>
                  <w:r>
                    <w:t>小型</w:t>
                  </w:r>
                </w:p>
              </w:tc>
              <w:tc>
                <w:tcPr>
                  <w:tcW w:w="1105" w:type="pct"/>
                  <w:vAlign w:val="center"/>
                </w:tcPr>
                <w:p w14:paraId="043B2389">
                  <w:pPr>
                    <w:jc w:val="center"/>
                  </w:pPr>
                  <w:r>
                    <w:t>中型</w:t>
                  </w:r>
                </w:p>
              </w:tc>
              <w:tc>
                <w:tcPr>
                  <w:tcW w:w="976" w:type="pct"/>
                  <w:vAlign w:val="center"/>
                </w:tcPr>
                <w:p w14:paraId="0CE91769">
                  <w:pPr>
                    <w:jc w:val="center"/>
                  </w:pPr>
                  <w:r>
                    <w:t>大型</w:t>
                  </w:r>
                </w:p>
              </w:tc>
            </w:tr>
            <w:tr w14:paraId="30D67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778" w:type="pct"/>
                  <w:vAlign w:val="center"/>
                </w:tcPr>
                <w:p w14:paraId="798B8976">
                  <w:pPr>
                    <w:jc w:val="center"/>
                  </w:pPr>
                  <w:r>
                    <w:t>基准灶头数</w:t>
                  </w:r>
                </w:p>
              </w:tc>
              <w:tc>
                <w:tcPr>
                  <w:tcW w:w="1141" w:type="pct"/>
                  <w:vAlign w:val="center"/>
                </w:tcPr>
                <w:p w14:paraId="2DAF4291">
                  <w:pPr>
                    <w:jc w:val="center"/>
                  </w:pPr>
                  <w:r>
                    <w:t>≥1，&lt;3</w:t>
                  </w:r>
                </w:p>
              </w:tc>
              <w:tc>
                <w:tcPr>
                  <w:tcW w:w="1105" w:type="pct"/>
                  <w:vAlign w:val="center"/>
                </w:tcPr>
                <w:p w14:paraId="6328F45B">
                  <w:pPr>
                    <w:jc w:val="center"/>
                  </w:pPr>
                  <w:r>
                    <w:t>≥3，&lt;6</w:t>
                  </w:r>
                </w:p>
              </w:tc>
              <w:tc>
                <w:tcPr>
                  <w:tcW w:w="976" w:type="pct"/>
                  <w:vAlign w:val="center"/>
                </w:tcPr>
                <w:p w14:paraId="7ACFBF30">
                  <w:pPr>
                    <w:jc w:val="center"/>
                  </w:pPr>
                  <w:r>
                    <w:t>≥6</w:t>
                  </w:r>
                </w:p>
              </w:tc>
            </w:tr>
            <w:tr w14:paraId="298D2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 w:hRule="atLeast"/>
                <w:jc w:val="center"/>
              </w:trPr>
              <w:tc>
                <w:tcPr>
                  <w:tcW w:w="1778" w:type="pct"/>
                  <w:vAlign w:val="center"/>
                </w:tcPr>
                <w:p w14:paraId="29EB4CC5">
                  <w:pPr>
                    <w:jc w:val="center"/>
                  </w:pPr>
                  <w:r>
                    <w:t>对应灶头总功率(10</w:t>
                  </w:r>
                  <w:r>
                    <w:rPr>
                      <w:vertAlign w:val="superscript"/>
                    </w:rPr>
                    <w:t>8</w:t>
                  </w:r>
                  <w:r>
                    <w:t>J/h)</w:t>
                  </w:r>
                </w:p>
              </w:tc>
              <w:tc>
                <w:tcPr>
                  <w:tcW w:w="1141" w:type="pct"/>
                  <w:vAlign w:val="center"/>
                </w:tcPr>
                <w:p w14:paraId="158E5BC5">
                  <w:pPr>
                    <w:jc w:val="center"/>
                  </w:pPr>
                  <w:r>
                    <w:t>1.67，&lt;5.00</w:t>
                  </w:r>
                </w:p>
              </w:tc>
              <w:tc>
                <w:tcPr>
                  <w:tcW w:w="1105" w:type="pct"/>
                  <w:vAlign w:val="center"/>
                </w:tcPr>
                <w:p w14:paraId="355FD7A1">
                  <w:pPr>
                    <w:jc w:val="center"/>
                  </w:pPr>
                  <w:r>
                    <w:t>≥5，&lt;10</w:t>
                  </w:r>
                </w:p>
              </w:tc>
              <w:tc>
                <w:tcPr>
                  <w:tcW w:w="976" w:type="pct"/>
                  <w:vAlign w:val="center"/>
                </w:tcPr>
                <w:p w14:paraId="5BA4C059">
                  <w:pPr>
                    <w:jc w:val="center"/>
                  </w:pPr>
                  <w:r>
                    <w:t>≥10</w:t>
                  </w:r>
                </w:p>
              </w:tc>
            </w:tr>
          </w:tbl>
          <w:p w14:paraId="51FF26C8">
            <w:pPr>
              <w:spacing w:line="480" w:lineRule="exact"/>
              <w:rPr>
                <w:b/>
                <w:bCs/>
                <w:sz w:val="24"/>
              </w:rPr>
            </w:pPr>
            <w:r>
              <w:rPr>
                <w:rFonts w:hint="eastAsia"/>
                <w:b/>
                <w:bCs/>
                <w:sz w:val="24"/>
              </w:rPr>
              <w:t>3.3.2废水排放标准</w:t>
            </w:r>
          </w:p>
          <w:p w14:paraId="3FFD5337">
            <w:pPr>
              <w:adjustRightInd w:val="0"/>
              <w:snapToGrid w:val="0"/>
              <w:spacing w:line="480" w:lineRule="exact"/>
              <w:ind w:firstLine="480" w:firstLineChars="200"/>
              <w:jc w:val="left"/>
              <w:rPr>
                <w:rFonts w:eastAsiaTheme="minorEastAsia"/>
                <w:sz w:val="24"/>
              </w:rPr>
            </w:pPr>
            <w:r>
              <w:rPr>
                <w:rFonts w:hAnsiTheme="minorEastAsia" w:eastAsiaTheme="minorEastAsia"/>
                <w:kern w:val="0"/>
                <w:sz w:val="24"/>
              </w:rPr>
              <w:t>项目产生的食堂废水经隔油池处理后与员工生活污水、地面清洁废水一起经自建的生化池处理达</w:t>
            </w:r>
            <w:r>
              <w:rPr>
                <w:rFonts w:hAnsiTheme="minorEastAsia" w:eastAsiaTheme="minorEastAsia"/>
                <w:sz w:val="24"/>
              </w:rPr>
              <w:t>《污水综合排放标准》（</w:t>
            </w:r>
            <w:r>
              <w:rPr>
                <w:rFonts w:eastAsiaTheme="minorEastAsia"/>
                <w:sz w:val="24"/>
              </w:rPr>
              <w:t>GB8978-1996</w:t>
            </w:r>
            <w:r>
              <w:rPr>
                <w:rFonts w:hAnsiTheme="minorEastAsia" w:eastAsiaTheme="minorEastAsia"/>
                <w:sz w:val="24"/>
              </w:rPr>
              <w:t>）三级标准后，经市政污水管网进入李渡大耍坝污水处理厂进一步处理达《城镇污水处理厂污染物排放标准》（</w:t>
            </w:r>
            <w:r>
              <w:rPr>
                <w:rFonts w:eastAsiaTheme="minorEastAsia"/>
                <w:sz w:val="24"/>
              </w:rPr>
              <w:t>GB18918-2002</w:t>
            </w:r>
            <w:r>
              <w:rPr>
                <w:rFonts w:hAnsiTheme="minorEastAsia" w:eastAsiaTheme="minorEastAsia"/>
                <w:sz w:val="24"/>
              </w:rPr>
              <w:t>）一级</w:t>
            </w:r>
            <w:r>
              <w:rPr>
                <w:rFonts w:eastAsiaTheme="minorEastAsia"/>
                <w:sz w:val="24"/>
              </w:rPr>
              <w:t>B</w:t>
            </w:r>
            <w:r>
              <w:rPr>
                <w:rFonts w:hAnsiTheme="minorEastAsia" w:eastAsiaTheme="minorEastAsia"/>
                <w:sz w:val="24"/>
              </w:rPr>
              <w:t>标准后排入长江。排放标准值详见表</w:t>
            </w:r>
            <w:r>
              <w:rPr>
                <w:rFonts w:eastAsiaTheme="minorEastAsia"/>
                <w:sz w:val="24"/>
              </w:rPr>
              <w:t>3.3-7</w:t>
            </w:r>
            <w:r>
              <w:rPr>
                <w:rFonts w:hAnsiTheme="minorEastAsia" w:eastAsiaTheme="minorEastAsia"/>
                <w:sz w:val="24"/>
              </w:rPr>
              <w:t>。</w:t>
            </w:r>
          </w:p>
          <w:p w14:paraId="43C33631">
            <w:pPr>
              <w:adjustRightInd w:val="0"/>
              <w:snapToGrid w:val="0"/>
              <w:spacing w:line="480" w:lineRule="exact"/>
              <w:jc w:val="center"/>
              <w:rPr>
                <w:b/>
                <w:bCs/>
                <w:szCs w:val="21"/>
              </w:rPr>
            </w:pPr>
            <w:r>
              <w:rPr>
                <w:b/>
                <w:bCs/>
                <w:szCs w:val="21"/>
              </w:rPr>
              <w:t>表3.3-</w:t>
            </w:r>
            <w:r>
              <w:rPr>
                <w:rFonts w:hint="eastAsia"/>
                <w:b/>
                <w:bCs/>
                <w:szCs w:val="21"/>
              </w:rPr>
              <w:t>7</w:t>
            </w:r>
            <w:r>
              <w:rPr>
                <w:b/>
                <w:bCs/>
                <w:szCs w:val="21"/>
              </w:rPr>
              <w:t xml:space="preserve"> 废水排放标准限值一览表  单位：mg/L</w:t>
            </w:r>
          </w:p>
          <w:tbl>
            <w:tblPr>
              <w:tblStyle w:val="2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830"/>
              <w:gridCol w:w="683"/>
              <w:gridCol w:w="774"/>
              <w:gridCol w:w="566"/>
              <w:gridCol w:w="720"/>
              <w:gridCol w:w="708"/>
              <w:gridCol w:w="777"/>
              <w:gridCol w:w="777"/>
            </w:tblGrid>
            <w:tr w14:paraId="3099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1282" w:type="pct"/>
                  <w:tcBorders>
                    <w:top w:val="single" w:color="auto" w:sz="4" w:space="0"/>
                    <w:left w:val="single" w:color="auto" w:sz="4" w:space="0"/>
                    <w:bottom w:val="single" w:color="auto" w:sz="4" w:space="0"/>
                    <w:right w:val="single" w:color="auto" w:sz="4" w:space="0"/>
                  </w:tcBorders>
                  <w:vAlign w:val="center"/>
                </w:tcPr>
                <w:p w14:paraId="3C91EB4E">
                  <w:pPr>
                    <w:adjustRightInd w:val="0"/>
                    <w:snapToGrid w:val="0"/>
                    <w:jc w:val="center"/>
                    <w:rPr>
                      <w:b/>
                      <w:bCs/>
                      <w:szCs w:val="21"/>
                    </w:rPr>
                  </w:pPr>
                  <w:r>
                    <w:rPr>
                      <w:rFonts w:hAnsi="宋体"/>
                      <w:b/>
                      <w:bCs/>
                      <w:szCs w:val="21"/>
                    </w:rPr>
                    <w:t>项目</w:t>
                  </w:r>
                </w:p>
              </w:tc>
              <w:tc>
                <w:tcPr>
                  <w:tcW w:w="529" w:type="pct"/>
                  <w:tcBorders>
                    <w:top w:val="single" w:color="auto" w:sz="4" w:space="0"/>
                    <w:left w:val="single" w:color="auto" w:sz="4" w:space="0"/>
                    <w:bottom w:val="single" w:color="auto" w:sz="4" w:space="0"/>
                    <w:right w:val="single" w:color="auto" w:sz="4" w:space="0"/>
                  </w:tcBorders>
                  <w:vAlign w:val="center"/>
                </w:tcPr>
                <w:p w14:paraId="00EB7A28">
                  <w:pPr>
                    <w:pStyle w:val="18"/>
                    <w:spacing w:after="0"/>
                    <w:ind w:left="0" w:leftChars="0"/>
                    <w:jc w:val="center"/>
                    <w:rPr>
                      <w:b/>
                      <w:bCs/>
                      <w:sz w:val="21"/>
                      <w:szCs w:val="21"/>
                    </w:rPr>
                  </w:pPr>
                  <w:r>
                    <w:rPr>
                      <w:b/>
                      <w:bCs/>
                      <w:sz w:val="21"/>
                      <w:szCs w:val="21"/>
                    </w:rPr>
                    <w:t>pH</w:t>
                  </w:r>
                </w:p>
              </w:tc>
              <w:tc>
                <w:tcPr>
                  <w:tcW w:w="435" w:type="pct"/>
                  <w:tcBorders>
                    <w:top w:val="single" w:color="auto" w:sz="4" w:space="0"/>
                    <w:left w:val="single" w:color="auto" w:sz="4" w:space="0"/>
                    <w:bottom w:val="single" w:color="auto" w:sz="4" w:space="0"/>
                    <w:right w:val="single" w:color="auto" w:sz="4" w:space="0"/>
                  </w:tcBorders>
                  <w:vAlign w:val="center"/>
                </w:tcPr>
                <w:p w14:paraId="712E24DB">
                  <w:pPr>
                    <w:adjustRightInd w:val="0"/>
                    <w:snapToGrid w:val="0"/>
                    <w:jc w:val="center"/>
                    <w:rPr>
                      <w:b/>
                      <w:bCs/>
                      <w:szCs w:val="21"/>
                    </w:rPr>
                  </w:pPr>
                  <w:r>
                    <w:rPr>
                      <w:b/>
                      <w:bCs/>
                      <w:szCs w:val="21"/>
                    </w:rPr>
                    <w:t>COD</w:t>
                  </w:r>
                </w:p>
              </w:tc>
              <w:tc>
                <w:tcPr>
                  <w:tcW w:w="493" w:type="pct"/>
                  <w:tcBorders>
                    <w:top w:val="single" w:color="auto" w:sz="4" w:space="0"/>
                    <w:left w:val="single" w:color="auto" w:sz="4" w:space="0"/>
                    <w:bottom w:val="single" w:color="auto" w:sz="4" w:space="0"/>
                    <w:right w:val="single" w:color="auto" w:sz="4" w:space="0"/>
                  </w:tcBorders>
                  <w:vAlign w:val="center"/>
                </w:tcPr>
                <w:p w14:paraId="04BE544A">
                  <w:pPr>
                    <w:adjustRightInd w:val="0"/>
                    <w:snapToGrid w:val="0"/>
                    <w:jc w:val="center"/>
                    <w:rPr>
                      <w:b/>
                      <w:bCs/>
                      <w:szCs w:val="21"/>
                    </w:rPr>
                  </w:pPr>
                  <w:r>
                    <w:rPr>
                      <w:b/>
                      <w:bCs/>
                      <w:szCs w:val="21"/>
                    </w:rPr>
                    <w:t>BOD</w:t>
                  </w:r>
                  <w:r>
                    <w:rPr>
                      <w:b/>
                      <w:bCs/>
                      <w:szCs w:val="21"/>
                      <w:vertAlign w:val="subscript"/>
                    </w:rPr>
                    <w:t>5</w:t>
                  </w:r>
                </w:p>
              </w:tc>
              <w:tc>
                <w:tcPr>
                  <w:tcW w:w="361" w:type="pct"/>
                  <w:tcBorders>
                    <w:top w:val="single" w:color="auto" w:sz="4" w:space="0"/>
                    <w:left w:val="single" w:color="auto" w:sz="4" w:space="0"/>
                    <w:bottom w:val="single" w:color="auto" w:sz="4" w:space="0"/>
                    <w:right w:val="single" w:color="auto" w:sz="4" w:space="0"/>
                  </w:tcBorders>
                  <w:vAlign w:val="center"/>
                </w:tcPr>
                <w:p w14:paraId="71CC0D91">
                  <w:pPr>
                    <w:adjustRightInd w:val="0"/>
                    <w:snapToGrid w:val="0"/>
                    <w:jc w:val="center"/>
                    <w:rPr>
                      <w:b/>
                      <w:bCs/>
                      <w:szCs w:val="21"/>
                    </w:rPr>
                  </w:pPr>
                  <w:r>
                    <w:rPr>
                      <w:b/>
                      <w:bCs/>
                      <w:szCs w:val="21"/>
                    </w:rPr>
                    <w:t>SS</w:t>
                  </w:r>
                </w:p>
              </w:tc>
              <w:tc>
                <w:tcPr>
                  <w:tcW w:w="459" w:type="pct"/>
                  <w:tcBorders>
                    <w:top w:val="single" w:color="auto" w:sz="4" w:space="0"/>
                    <w:left w:val="single" w:color="auto" w:sz="4" w:space="0"/>
                    <w:bottom w:val="single" w:color="auto" w:sz="4" w:space="0"/>
                    <w:right w:val="single" w:color="auto" w:sz="4" w:space="0"/>
                  </w:tcBorders>
                  <w:vAlign w:val="center"/>
                </w:tcPr>
                <w:p w14:paraId="55098C10">
                  <w:pPr>
                    <w:adjustRightInd w:val="0"/>
                    <w:snapToGrid w:val="0"/>
                    <w:jc w:val="center"/>
                    <w:rPr>
                      <w:b/>
                      <w:bCs/>
                      <w:szCs w:val="21"/>
                    </w:rPr>
                  </w:pPr>
                  <w:r>
                    <w:rPr>
                      <w:rFonts w:hAnsi="宋体"/>
                      <w:b/>
                      <w:bCs/>
                      <w:szCs w:val="21"/>
                    </w:rPr>
                    <w:t>氨氮</w:t>
                  </w:r>
                </w:p>
              </w:tc>
              <w:tc>
                <w:tcPr>
                  <w:tcW w:w="451" w:type="pct"/>
                  <w:tcBorders>
                    <w:top w:val="single" w:color="auto" w:sz="4" w:space="0"/>
                    <w:left w:val="single" w:color="auto" w:sz="4" w:space="0"/>
                    <w:bottom w:val="single" w:color="auto" w:sz="4" w:space="0"/>
                    <w:right w:val="single" w:color="auto" w:sz="4" w:space="0"/>
                  </w:tcBorders>
                  <w:vAlign w:val="center"/>
                </w:tcPr>
                <w:p w14:paraId="60735AB5">
                  <w:pPr>
                    <w:adjustRightInd w:val="0"/>
                    <w:snapToGrid w:val="0"/>
                    <w:jc w:val="center"/>
                    <w:rPr>
                      <w:b/>
                      <w:bCs/>
                      <w:w w:val="70"/>
                      <w:szCs w:val="21"/>
                    </w:rPr>
                  </w:pPr>
                  <w:r>
                    <w:rPr>
                      <w:rFonts w:hAnsi="宋体"/>
                      <w:b/>
                      <w:bCs/>
                      <w:w w:val="70"/>
                      <w:szCs w:val="21"/>
                    </w:rPr>
                    <w:t>石油类</w:t>
                  </w:r>
                </w:p>
              </w:tc>
              <w:tc>
                <w:tcPr>
                  <w:tcW w:w="495" w:type="pct"/>
                  <w:tcBorders>
                    <w:top w:val="single" w:color="auto" w:sz="4" w:space="0"/>
                    <w:left w:val="single" w:color="auto" w:sz="4" w:space="0"/>
                    <w:bottom w:val="single" w:color="auto" w:sz="4" w:space="0"/>
                    <w:right w:val="single" w:color="auto" w:sz="4" w:space="0"/>
                  </w:tcBorders>
                  <w:vAlign w:val="center"/>
                </w:tcPr>
                <w:p w14:paraId="6FED724D">
                  <w:pPr>
                    <w:adjustRightInd w:val="0"/>
                    <w:snapToGrid w:val="0"/>
                    <w:jc w:val="center"/>
                    <w:rPr>
                      <w:b/>
                      <w:bCs/>
                      <w:szCs w:val="21"/>
                    </w:rPr>
                  </w:pPr>
                  <w:r>
                    <w:rPr>
                      <w:rFonts w:hAnsi="宋体"/>
                      <w:b/>
                      <w:bCs/>
                      <w:szCs w:val="21"/>
                    </w:rPr>
                    <w:t>动植物油</w:t>
                  </w:r>
                </w:p>
              </w:tc>
              <w:tc>
                <w:tcPr>
                  <w:tcW w:w="494" w:type="pct"/>
                  <w:tcBorders>
                    <w:top w:val="single" w:color="auto" w:sz="4" w:space="0"/>
                    <w:left w:val="single" w:color="auto" w:sz="4" w:space="0"/>
                    <w:bottom w:val="single" w:color="auto" w:sz="4" w:space="0"/>
                    <w:right w:val="single" w:color="auto" w:sz="4" w:space="0"/>
                  </w:tcBorders>
                  <w:vAlign w:val="center"/>
                </w:tcPr>
                <w:p w14:paraId="451510FD">
                  <w:pPr>
                    <w:adjustRightInd w:val="0"/>
                    <w:snapToGrid w:val="0"/>
                    <w:jc w:val="center"/>
                    <w:rPr>
                      <w:b/>
                      <w:bCs/>
                      <w:szCs w:val="21"/>
                    </w:rPr>
                  </w:pPr>
                  <w:r>
                    <w:rPr>
                      <w:rFonts w:hAnsi="宋体"/>
                      <w:b/>
                      <w:bCs/>
                      <w:szCs w:val="21"/>
                    </w:rPr>
                    <w:t>总磷</w:t>
                  </w:r>
                </w:p>
              </w:tc>
            </w:tr>
            <w:tr w14:paraId="1AA7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1282" w:type="pct"/>
                  <w:tcBorders>
                    <w:top w:val="single" w:color="auto" w:sz="4" w:space="0"/>
                    <w:left w:val="single" w:color="auto" w:sz="4" w:space="0"/>
                    <w:bottom w:val="single" w:color="auto" w:sz="4" w:space="0"/>
                    <w:right w:val="single" w:color="auto" w:sz="4" w:space="0"/>
                  </w:tcBorders>
                  <w:vAlign w:val="center"/>
                </w:tcPr>
                <w:p w14:paraId="64276D81">
                  <w:pPr>
                    <w:adjustRightInd w:val="0"/>
                    <w:snapToGrid w:val="0"/>
                    <w:jc w:val="center"/>
                    <w:rPr>
                      <w:szCs w:val="21"/>
                    </w:rPr>
                  </w:pPr>
                  <w:r>
                    <w:rPr>
                      <w:rFonts w:hAnsi="宋体"/>
                      <w:szCs w:val="21"/>
                    </w:rPr>
                    <w:t>《污水综合排放标准》（</w:t>
                  </w:r>
                  <w:r>
                    <w:rPr>
                      <w:szCs w:val="21"/>
                    </w:rPr>
                    <w:t>GB8978-1996</w:t>
                  </w:r>
                  <w:r>
                    <w:rPr>
                      <w:rFonts w:hAnsi="宋体"/>
                      <w:szCs w:val="21"/>
                    </w:rPr>
                    <w:t>）三级排放标准</w:t>
                  </w:r>
                </w:p>
              </w:tc>
              <w:tc>
                <w:tcPr>
                  <w:tcW w:w="529" w:type="pct"/>
                  <w:tcBorders>
                    <w:top w:val="single" w:color="auto" w:sz="4" w:space="0"/>
                    <w:left w:val="single" w:color="auto" w:sz="4" w:space="0"/>
                    <w:bottom w:val="single" w:color="auto" w:sz="4" w:space="0"/>
                    <w:right w:val="single" w:color="auto" w:sz="4" w:space="0"/>
                  </w:tcBorders>
                  <w:vAlign w:val="center"/>
                </w:tcPr>
                <w:p w14:paraId="2894E298">
                  <w:pPr>
                    <w:adjustRightInd w:val="0"/>
                    <w:snapToGrid w:val="0"/>
                    <w:jc w:val="center"/>
                    <w:rPr>
                      <w:szCs w:val="21"/>
                    </w:rPr>
                  </w:pPr>
                  <w:r>
                    <w:rPr>
                      <w:szCs w:val="21"/>
                    </w:rPr>
                    <w:t>6</w:t>
                  </w:r>
                  <w:r>
                    <w:rPr>
                      <w:rFonts w:hAnsi="宋体"/>
                      <w:szCs w:val="21"/>
                    </w:rPr>
                    <w:t>～</w:t>
                  </w:r>
                  <w:r>
                    <w:rPr>
                      <w:szCs w:val="21"/>
                    </w:rPr>
                    <w:t>9</w:t>
                  </w:r>
                </w:p>
              </w:tc>
              <w:tc>
                <w:tcPr>
                  <w:tcW w:w="435" w:type="pct"/>
                  <w:tcBorders>
                    <w:top w:val="single" w:color="auto" w:sz="4" w:space="0"/>
                    <w:left w:val="single" w:color="auto" w:sz="4" w:space="0"/>
                    <w:bottom w:val="single" w:color="auto" w:sz="4" w:space="0"/>
                    <w:right w:val="single" w:color="auto" w:sz="4" w:space="0"/>
                  </w:tcBorders>
                  <w:vAlign w:val="center"/>
                </w:tcPr>
                <w:p w14:paraId="4E7E3389">
                  <w:pPr>
                    <w:adjustRightInd w:val="0"/>
                    <w:snapToGrid w:val="0"/>
                    <w:jc w:val="center"/>
                    <w:rPr>
                      <w:szCs w:val="21"/>
                    </w:rPr>
                  </w:pPr>
                  <w:r>
                    <w:rPr>
                      <w:szCs w:val="21"/>
                    </w:rPr>
                    <w:t>500</w:t>
                  </w:r>
                </w:p>
              </w:tc>
              <w:tc>
                <w:tcPr>
                  <w:tcW w:w="493" w:type="pct"/>
                  <w:tcBorders>
                    <w:top w:val="single" w:color="auto" w:sz="4" w:space="0"/>
                    <w:left w:val="single" w:color="auto" w:sz="4" w:space="0"/>
                    <w:bottom w:val="single" w:color="auto" w:sz="4" w:space="0"/>
                    <w:right w:val="single" w:color="auto" w:sz="4" w:space="0"/>
                  </w:tcBorders>
                  <w:vAlign w:val="center"/>
                </w:tcPr>
                <w:p w14:paraId="0ABD311A">
                  <w:pPr>
                    <w:adjustRightInd w:val="0"/>
                    <w:snapToGrid w:val="0"/>
                    <w:jc w:val="center"/>
                    <w:rPr>
                      <w:szCs w:val="21"/>
                    </w:rPr>
                  </w:pPr>
                  <w:r>
                    <w:rPr>
                      <w:szCs w:val="21"/>
                    </w:rPr>
                    <w:t>300</w:t>
                  </w:r>
                </w:p>
              </w:tc>
              <w:tc>
                <w:tcPr>
                  <w:tcW w:w="361" w:type="pct"/>
                  <w:tcBorders>
                    <w:top w:val="single" w:color="auto" w:sz="4" w:space="0"/>
                    <w:left w:val="single" w:color="auto" w:sz="4" w:space="0"/>
                    <w:bottom w:val="single" w:color="auto" w:sz="4" w:space="0"/>
                    <w:right w:val="single" w:color="auto" w:sz="4" w:space="0"/>
                  </w:tcBorders>
                  <w:vAlign w:val="center"/>
                </w:tcPr>
                <w:p w14:paraId="1AEA7757">
                  <w:pPr>
                    <w:adjustRightInd w:val="0"/>
                    <w:snapToGrid w:val="0"/>
                    <w:jc w:val="center"/>
                    <w:rPr>
                      <w:szCs w:val="21"/>
                    </w:rPr>
                  </w:pPr>
                  <w:r>
                    <w:rPr>
                      <w:szCs w:val="21"/>
                    </w:rPr>
                    <w:t>400</w:t>
                  </w:r>
                </w:p>
              </w:tc>
              <w:tc>
                <w:tcPr>
                  <w:tcW w:w="459" w:type="pct"/>
                  <w:tcBorders>
                    <w:top w:val="single" w:color="auto" w:sz="4" w:space="0"/>
                    <w:left w:val="single" w:color="auto" w:sz="4" w:space="0"/>
                    <w:bottom w:val="single" w:color="auto" w:sz="4" w:space="0"/>
                    <w:right w:val="single" w:color="auto" w:sz="4" w:space="0"/>
                  </w:tcBorders>
                  <w:vAlign w:val="center"/>
                </w:tcPr>
                <w:p w14:paraId="151E6A85">
                  <w:pPr>
                    <w:adjustRightInd w:val="0"/>
                    <w:snapToGrid w:val="0"/>
                    <w:jc w:val="center"/>
                    <w:rPr>
                      <w:szCs w:val="21"/>
                    </w:rPr>
                  </w:pPr>
                  <w:r>
                    <w:rPr>
                      <w:szCs w:val="21"/>
                    </w:rPr>
                    <w:t>45</w:t>
                  </w:r>
                  <w:r>
                    <w:rPr>
                      <w:rFonts w:ascii="宋体" w:hAnsi="宋体"/>
                      <w:szCs w:val="21"/>
                      <w:vertAlign w:val="superscript"/>
                    </w:rPr>
                    <w:t>①</w:t>
                  </w:r>
                </w:p>
              </w:tc>
              <w:tc>
                <w:tcPr>
                  <w:tcW w:w="451" w:type="pct"/>
                  <w:tcBorders>
                    <w:top w:val="single" w:color="auto" w:sz="4" w:space="0"/>
                    <w:left w:val="single" w:color="auto" w:sz="4" w:space="0"/>
                    <w:bottom w:val="single" w:color="auto" w:sz="4" w:space="0"/>
                    <w:right w:val="single" w:color="auto" w:sz="4" w:space="0"/>
                  </w:tcBorders>
                  <w:vAlign w:val="center"/>
                </w:tcPr>
                <w:p w14:paraId="0D0283DC">
                  <w:pPr>
                    <w:adjustRightInd w:val="0"/>
                    <w:snapToGrid w:val="0"/>
                    <w:jc w:val="center"/>
                    <w:rPr>
                      <w:szCs w:val="21"/>
                    </w:rPr>
                  </w:pPr>
                  <w:r>
                    <w:rPr>
                      <w:szCs w:val="21"/>
                    </w:rPr>
                    <w:t>20</w:t>
                  </w:r>
                </w:p>
              </w:tc>
              <w:tc>
                <w:tcPr>
                  <w:tcW w:w="495" w:type="pct"/>
                  <w:tcBorders>
                    <w:top w:val="single" w:color="auto" w:sz="4" w:space="0"/>
                    <w:left w:val="single" w:color="auto" w:sz="4" w:space="0"/>
                    <w:bottom w:val="single" w:color="auto" w:sz="4" w:space="0"/>
                    <w:right w:val="single" w:color="auto" w:sz="4" w:space="0"/>
                  </w:tcBorders>
                  <w:vAlign w:val="center"/>
                </w:tcPr>
                <w:p w14:paraId="507D6D7F">
                  <w:pPr>
                    <w:adjustRightInd w:val="0"/>
                    <w:snapToGrid w:val="0"/>
                    <w:jc w:val="center"/>
                    <w:rPr>
                      <w:szCs w:val="21"/>
                    </w:rPr>
                  </w:pPr>
                  <w:r>
                    <w:rPr>
                      <w:szCs w:val="21"/>
                    </w:rPr>
                    <w:t>100</w:t>
                  </w:r>
                </w:p>
              </w:tc>
              <w:tc>
                <w:tcPr>
                  <w:tcW w:w="494" w:type="pct"/>
                  <w:tcBorders>
                    <w:top w:val="single" w:color="auto" w:sz="4" w:space="0"/>
                    <w:left w:val="single" w:color="auto" w:sz="4" w:space="0"/>
                    <w:bottom w:val="single" w:color="auto" w:sz="4" w:space="0"/>
                    <w:right w:val="single" w:color="auto" w:sz="4" w:space="0"/>
                  </w:tcBorders>
                  <w:vAlign w:val="center"/>
                </w:tcPr>
                <w:p w14:paraId="01C4B936">
                  <w:pPr>
                    <w:adjustRightInd w:val="0"/>
                    <w:snapToGrid w:val="0"/>
                    <w:jc w:val="center"/>
                    <w:rPr>
                      <w:szCs w:val="21"/>
                    </w:rPr>
                  </w:pPr>
                  <w:r>
                    <w:rPr>
                      <w:szCs w:val="21"/>
                    </w:rPr>
                    <w:t>8</w:t>
                  </w:r>
                </w:p>
              </w:tc>
            </w:tr>
            <w:tr w14:paraId="468B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282" w:type="pct"/>
                  <w:tcBorders>
                    <w:top w:val="single" w:color="auto" w:sz="4" w:space="0"/>
                    <w:left w:val="single" w:color="auto" w:sz="4" w:space="0"/>
                    <w:bottom w:val="single" w:color="auto" w:sz="4" w:space="0"/>
                    <w:right w:val="single" w:color="auto" w:sz="4" w:space="0"/>
                  </w:tcBorders>
                  <w:vAlign w:val="center"/>
                </w:tcPr>
                <w:p w14:paraId="4A32E012">
                  <w:pPr>
                    <w:adjustRightInd w:val="0"/>
                    <w:snapToGrid w:val="0"/>
                    <w:jc w:val="center"/>
                    <w:rPr>
                      <w:szCs w:val="21"/>
                    </w:rPr>
                  </w:pPr>
                  <w:r>
                    <w:rPr>
                      <w:rFonts w:hAnsi="宋体"/>
                      <w:szCs w:val="21"/>
                    </w:rPr>
                    <w:t>《城镇污水处理厂污染物排放标准》（</w:t>
                  </w:r>
                  <w:r>
                    <w:rPr>
                      <w:szCs w:val="21"/>
                    </w:rPr>
                    <w:t>GB18918-2002</w:t>
                  </w:r>
                  <w:r>
                    <w:rPr>
                      <w:rFonts w:hAnsi="宋体"/>
                      <w:szCs w:val="21"/>
                    </w:rPr>
                    <w:t>）一级</w:t>
                  </w:r>
                  <w:r>
                    <w:rPr>
                      <w:szCs w:val="21"/>
                    </w:rPr>
                    <w:t>B</w:t>
                  </w:r>
                  <w:r>
                    <w:rPr>
                      <w:rFonts w:hAnsi="宋体"/>
                      <w:szCs w:val="21"/>
                    </w:rPr>
                    <w:t>标准</w:t>
                  </w:r>
                </w:p>
              </w:tc>
              <w:tc>
                <w:tcPr>
                  <w:tcW w:w="529" w:type="pct"/>
                  <w:tcBorders>
                    <w:top w:val="single" w:color="auto" w:sz="4" w:space="0"/>
                    <w:left w:val="single" w:color="auto" w:sz="4" w:space="0"/>
                    <w:bottom w:val="single" w:color="auto" w:sz="4" w:space="0"/>
                    <w:right w:val="single" w:color="auto" w:sz="4" w:space="0"/>
                  </w:tcBorders>
                  <w:vAlign w:val="center"/>
                </w:tcPr>
                <w:p w14:paraId="56CF7615">
                  <w:pPr>
                    <w:adjustRightInd w:val="0"/>
                    <w:snapToGrid w:val="0"/>
                    <w:jc w:val="center"/>
                    <w:rPr>
                      <w:szCs w:val="21"/>
                    </w:rPr>
                  </w:pPr>
                  <w:r>
                    <w:rPr>
                      <w:szCs w:val="21"/>
                    </w:rPr>
                    <w:t>6</w:t>
                  </w:r>
                  <w:r>
                    <w:rPr>
                      <w:rFonts w:hAnsi="宋体"/>
                      <w:szCs w:val="21"/>
                    </w:rPr>
                    <w:t>～</w:t>
                  </w:r>
                  <w:r>
                    <w:rPr>
                      <w:szCs w:val="21"/>
                    </w:rPr>
                    <w:t>9</w:t>
                  </w:r>
                </w:p>
              </w:tc>
              <w:tc>
                <w:tcPr>
                  <w:tcW w:w="435" w:type="pct"/>
                  <w:tcBorders>
                    <w:top w:val="single" w:color="auto" w:sz="4" w:space="0"/>
                    <w:left w:val="single" w:color="auto" w:sz="4" w:space="0"/>
                    <w:bottom w:val="single" w:color="auto" w:sz="4" w:space="0"/>
                    <w:right w:val="single" w:color="auto" w:sz="4" w:space="0"/>
                  </w:tcBorders>
                  <w:vAlign w:val="center"/>
                </w:tcPr>
                <w:p w14:paraId="39ACE4DE">
                  <w:pPr>
                    <w:adjustRightInd w:val="0"/>
                    <w:snapToGrid w:val="0"/>
                    <w:jc w:val="center"/>
                    <w:rPr>
                      <w:szCs w:val="21"/>
                    </w:rPr>
                  </w:pPr>
                  <w:r>
                    <w:rPr>
                      <w:szCs w:val="21"/>
                    </w:rPr>
                    <w:t>60</w:t>
                  </w:r>
                </w:p>
              </w:tc>
              <w:tc>
                <w:tcPr>
                  <w:tcW w:w="493" w:type="pct"/>
                  <w:tcBorders>
                    <w:top w:val="single" w:color="auto" w:sz="4" w:space="0"/>
                    <w:left w:val="single" w:color="auto" w:sz="4" w:space="0"/>
                    <w:bottom w:val="single" w:color="auto" w:sz="4" w:space="0"/>
                    <w:right w:val="single" w:color="auto" w:sz="4" w:space="0"/>
                  </w:tcBorders>
                  <w:vAlign w:val="center"/>
                </w:tcPr>
                <w:p w14:paraId="0C9D467D">
                  <w:pPr>
                    <w:adjustRightInd w:val="0"/>
                    <w:snapToGrid w:val="0"/>
                    <w:jc w:val="center"/>
                    <w:rPr>
                      <w:szCs w:val="21"/>
                    </w:rPr>
                  </w:pPr>
                  <w:r>
                    <w:rPr>
                      <w:szCs w:val="21"/>
                    </w:rPr>
                    <w:t>20</w:t>
                  </w:r>
                </w:p>
              </w:tc>
              <w:tc>
                <w:tcPr>
                  <w:tcW w:w="361" w:type="pct"/>
                  <w:tcBorders>
                    <w:top w:val="single" w:color="auto" w:sz="4" w:space="0"/>
                    <w:left w:val="single" w:color="auto" w:sz="4" w:space="0"/>
                    <w:bottom w:val="single" w:color="auto" w:sz="4" w:space="0"/>
                    <w:right w:val="single" w:color="auto" w:sz="4" w:space="0"/>
                  </w:tcBorders>
                  <w:vAlign w:val="center"/>
                </w:tcPr>
                <w:p w14:paraId="52B46F95">
                  <w:pPr>
                    <w:adjustRightInd w:val="0"/>
                    <w:snapToGrid w:val="0"/>
                    <w:jc w:val="center"/>
                    <w:rPr>
                      <w:szCs w:val="21"/>
                    </w:rPr>
                  </w:pPr>
                  <w:r>
                    <w:rPr>
                      <w:szCs w:val="21"/>
                    </w:rPr>
                    <w:t>20</w:t>
                  </w:r>
                </w:p>
              </w:tc>
              <w:tc>
                <w:tcPr>
                  <w:tcW w:w="459" w:type="pct"/>
                  <w:tcBorders>
                    <w:top w:val="single" w:color="auto" w:sz="4" w:space="0"/>
                    <w:left w:val="single" w:color="auto" w:sz="4" w:space="0"/>
                    <w:bottom w:val="single" w:color="auto" w:sz="4" w:space="0"/>
                    <w:right w:val="single" w:color="auto" w:sz="4" w:space="0"/>
                  </w:tcBorders>
                  <w:vAlign w:val="center"/>
                </w:tcPr>
                <w:p w14:paraId="231B60E4">
                  <w:pPr>
                    <w:adjustRightInd w:val="0"/>
                    <w:snapToGrid w:val="0"/>
                    <w:jc w:val="center"/>
                    <w:rPr>
                      <w:w w:val="80"/>
                      <w:szCs w:val="21"/>
                    </w:rPr>
                  </w:pPr>
                  <w:r>
                    <w:rPr>
                      <w:w w:val="80"/>
                      <w:szCs w:val="21"/>
                    </w:rPr>
                    <w:t>8</w:t>
                  </w:r>
                  <w:r>
                    <w:rPr>
                      <w:rFonts w:hAnsi="宋体"/>
                      <w:w w:val="80"/>
                      <w:szCs w:val="21"/>
                    </w:rPr>
                    <w:t>（</w:t>
                  </w:r>
                  <w:r>
                    <w:rPr>
                      <w:w w:val="80"/>
                      <w:szCs w:val="21"/>
                    </w:rPr>
                    <w:t>15</w:t>
                  </w:r>
                  <w:r>
                    <w:rPr>
                      <w:rFonts w:hAnsi="宋体"/>
                      <w:w w:val="80"/>
                      <w:szCs w:val="21"/>
                    </w:rPr>
                    <w:t>）</w:t>
                  </w:r>
                  <w:r>
                    <w:rPr>
                      <w:rFonts w:ascii="宋体" w:hAnsi="宋体"/>
                      <w:w w:val="80"/>
                      <w:szCs w:val="21"/>
                      <w:vertAlign w:val="superscript"/>
                    </w:rPr>
                    <w:t>②</w:t>
                  </w:r>
                </w:p>
              </w:tc>
              <w:tc>
                <w:tcPr>
                  <w:tcW w:w="451" w:type="pct"/>
                  <w:tcBorders>
                    <w:top w:val="single" w:color="auto" w:sz="4" w:space="0"/>
                    <w:left w:val="single" w:color="auto" w:sz="4" w:space="0"/>
                    <w:bottom w:val="single" w:color="auto" w:sz="4" w:space="0"/>
                    <w:right w:val="single" w:color="auto" w:sz="4" w:space="0"/>
                  </w:tcBorders>
                  <w:vAlign w:val="center"/>
                </w:tcPr>
                <w:p w14:paraId="1FB36154">
                  <w:pPr>
                    <w:adjustRightInd w:val="0"/>
                    <w:snapToGrid w:val="0"/>
                    <w:jc w:val="center"/>
                    <w:rPr>
                      <w:szCs w:val="21"/>
                    </w:rPr>
                  </w:pPr>
                  <w:r>
                    <w:rPr>
                      <w:szCs w:val="21"/>
                    </w:rPr>
                    <w:t>3</w:t>
                  </w:r>
                </w:p>
              </w:tc>
              <w:tc>
                <w:tcPr>
                  <w:tcW w:w="495" w:type="pct"/>
                  <w:tcBorders>
                    <w:top w:val="single" w:color="auto" w:sz="4" w:space="0"/>
                    <w:left w:val="single" w:color="auto" w:sz="4" w:space="0"/>
                    <w:bottom w:val="single" w:color="auto" w:sz="4" w:space="0"/>
                    <w:right w:val="single" w:color="auto" w:sz="4" w:space="0"/>
                  </w:tcBorders>
                  <w:vAlign w:val="center"/>
                </w:tcPr>
                <w:p w14:paraId="0CFDEF99">
                  <w:pPr>
                    <w:adjustRightInd w:val="0"/>
                    <w:snapToGrid w:val="0"/>
                    <w:jc w:val="center"/>
                    <w:rPr>
                      <w:szCs w:val="21"/>
                    </w:rPr>
                  </w:pPr>
                  <w:r>
                    <w:rPr>
                      <w:szCs w:val="21"/>
                    </w:rPr>
                    <w:t>3</w:t>
                  </w:r>
                </w:p>
              </w:tc>
              <w:tc>
                <w:tcPr>
                  <w:tcW w:w="494" w:type="pct"/>
                  <w:tcBorders>
                    <w:top w:val="single" w:color="auto" w:sz="4" w:space="0"/>
                    <w:left w:val="single" w:color="auto" w:sz="4" w:space="0"/>
                    <w:bottom w:val="single" w:color="auto" w:sz="4" w:space="0"/>
                    <w:right w:val="single" w:color="auto" w:sz="4" w:space="0"/>
                  </w:tcBorders>
                  <w:vAlign w:val="center"/>
                </w:tcPr>
                <w:p w14:paraId="22B529E8">
                  <w:pPr>
                    <w:adjustRightInd w:val="0"/>
                    <w:snapToGrid w:val="0"/>
                    <w:jc w:val="center"/>
                    <w:rPr>
                      <w:szCs w:val="21"/>
                    </w:rPr>
                  </w:pPr>
                  <w:r>
                    <w:rPr>
                      <w:rFonts w:hint="eastAsia"/>
                      <w:szCs w:val="21"/>
                    </w:rPr>
                    <w:t>1</w:t>
                  </w:r>
                </w:p>
              </w:tc>
            </w:tr>
            <w:tr w14:paraId="0791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D15B213">
                  <w:pPr>
                    <w:adjustRightInd w:val="0"/>
                    <w:snapToGrid w:val="0"/>
                    <w:jc w:val="left"/>
                    <w:rPr>
                      <w:sz w:val="18"/>
                      <w:szCs w:val="18"/>
                    </w:rPr>
                  </w:pPr>
                  <w:r>
                    <w:rPr>
                      <w:rFonts w:hAnsi="宋体"/>
                      <w:sz w:val="18"/>
                      <w:szCs w:val="18"/>
                    </w:rPr>
                    <w:t>注：</w:t>
                  </w:r>
                  <w:r>
                    <w:rPr>
                      <w:rFonts w:ascii="宋体" w:hAnsi="宋体"/>
                      <w:sz w:val="18"/>
                      <w:szCs w:val="18"/>
                    </w:rPr>
                    <w:t>①</w:t>
                  </w:r>
                  <w:r>
                    <w:rPr>
                      <w:rFonts w:hAnsi="宋体"/>
                      <w:sz w:val="18"/>
                      <w:szCs w:val="18"/>
                    </w:rPr>
                    <w:t>氨氮执行《污水排入城镇地下水道水质标准》（</w:t>
                  </w:r>
                  <w:r>
                    <w:rPr>
                      <w:sz w:val="18"/>
                      <w:szCs w:val="18"/>
                    </w:rPr>
                    <w:t>GB/T31962-2015</w:t>
                  </w:r>
                  <w:r>
                    <w:rPr>
                      <w:rFonts w:hAnsi="宋体"/>
                      <w:sz w:val="18"/>
                      <w:szCs w:val="18"/>
                    </w:rPr>
                    <w:t>）表</w:t>
                  </w:r>
                  <w:r>
                    <w:rPr>
                      <w:sz w:val="18"/>
                      <w:szCs w:val="18"/>
                    </w:rPr>
                    <w:t>1</w:t>
                  </w:r>
                  <w:r>
                    <w:rPr>
                      <w:rFonts w:hAnsi="宋体"/>
                      <w:sz w:val="18"/>
                      <w:szCs w:val="18"/>
                    </w:rPr>
                    <w:t>中</w:t>
                  </w:r>
                  <w:r>
                    <w:rPr>
                      <w:sz w:val="18"/>
                      <w:szCs w:val="18"/>
                    </w:rPr>
                    <w:t>B</w:t>
                  </w:r>
                  <w:r>
                    <w:rPr>
                      <w:rFonts w:hAnsi="宋体"/>
                      <w:sz w:val="18"/>
                      <w:szCs w:val="18"/>
                    </w:rPr>
                    <w:t>等级标准；</w:t>
                  </w:r>
                </w:p>
                <w:p w14:paraId="4FA2FD3D">
                  <w:pPr>
                    <w:adjustRightInd w:val="0"/>
                    <w:snapToGrid w:val="0"/>
                    <w:jc w:val="left"/>
                    <w:rPr>
                      <w:szCs w:val="21"/>
                    </w:rPr>
                  </w:pPr>
                  <w:r>
                    <w:rPr>
                      <w:rFonts w:ascii="宋体" w:hAnsi="宋体"/>
                      <w:sz w:val="18"/>
                      <w:szCs w:val="18"/>
                    </w:rPr>
                    <w:t>②</w:t>
                  </w:r>
                  <w:r>
                    <w:rPr>
                      <w:rFonts w:hAnsi="宋体"/>
                      <w:sz w:val="18"/>
                      <w:szCs w:val="18"/>
                    </w:rPr>
                    <w:t>括号外为水温＞</w:t>
                  </w:r>
                  <w:r>
                    <w:rPr>
                      <w:sz w:val="18"/>
                      <w:szCs w:val="18"/>
                    </w:rPr>
                    <w:t>12</w:t>
                  </w:r>
                  <w:r>
                    <w:rPr>
                      <w:rFonts w:ascii="宋体" w:hAnsi="宋体"/>
                      <w:sz w:val="18"/>
                      <w:szCs w:val="18"/>
                    </w:rPr>
                    <w:t>℃</w:t>
                  </w:r>
                  <w:r>
                    <w:rPr>
                      <w:rFonts w:hAnsi="宋体"/>
                      <w:sz w:val="18"/>
                      <w:szCs w:val="18"/>
                    </w:rPr>
                    <w:t>时的控制指标，括号内为水温</w:t>
                  </w:r>
                  <w:r>
                    <w:rPr>
                      <w:sz w:val="18"/>
                      <w:szCs w:val="18"/>
                    </w:rPr>
                    <w:t>≤12</w:t>
                  </w:r>
                  <w:r>
                    <w:rPr>
                      <w:rFonts w:ascii="宋体" w:hAnsi="宋体"/>
                      <w:sz w:val="18"/>
                      <w:szCs w:val="18"/>
                    </w:rPr>
                    <w:t>℃</w:t>
                  </w:r>
                  <w:r>
                    <w:rPr>
                      <w:rFonts w:hAnsi="宋体"/>
                      <w:sz w:val="18"/>
                      <w:szCs w:val="18"/>
                    </w:rPr>
                    <w:t>时的控制指标。</w:t>
                  </w:r>
                </w:p>
              </w:tc>
            </w:tr>
          </w:tbl>
          <w:p w14:paraId="4BD02667">
            <w:pPr>
              <w:adjustRightInd w:val="0"/>
              <w:snapToGrid w:val="0"/>
              <w:spacing w:line="360" w:lineRule="auto"/>
              <w:jc w:val="left"/>
              <w:rPr>
                <w:rFonts w:ascii="宋体" w:hAnsi="宋体" w:cs="宋体"/>
                <w:b/>
                <w:kern w:val="0"/>
                <w:sz w:val="24"/>
              </w:rPr>
            </w:pPr>
            <w:r>
              <w:rPr>
                <w:rFonts w:hint="eastAsia"/>
                <w:b/>
                <w:bCs/>
                <w:sz w:val="24"/>
              </w:rPr>
              <w:t>3.3.3</w:t>
            </w:r>
            <w:r>
              <w:rPr>
                <w:rFonts w:hint="eastAsia" w:ascii="宋体" w:hAnsi="宋体" w:cs="宋体"/>
                <w:b/>
                <w:kern w:val="0"/>
                <w:sz w:val="24"/>
              </w:rPr>
              <w:t>噪声</w:t>
            </w:r>
          </w:p>
          <w:p w14:paraId="09088CE7">
            <w:pPr>
              <w:spacing w:line="360" w:lineRule="auto"/>
              <w:ind w:firstLine="480" w:firstLineChars="200"/>
              <w:rPr>
                <w:rFonts w:eastAsiaTheme="minorEastAsia"/>
                <w:sz w:val="24"/>
              </w:rPr>
            </w:pPr>
            <w:r>
              <w:rPr>
                <w:rFonts w:hAnsiTheme="minorEastAsia" w:eastAsiaTheme="minorEastAsia"/>
                <w:sz w:val="24"/>
              </w:rPr>
              <w:t>项目厂界噪声执行《工业企业厂界环境噪声排放标准》（</w:t>
            </w:r>
            <w:r>
              <w:rPr>
                <w:rFonts w:eastAsiaTheme="minorEastAsia"/>
                <w:sz w:val="24"/>
              </w:rPr>
              <w:t>GB12348-2008</w:t>
            </w:r>
            <w:r>
              <w:rPr>
                <w:rFonts w:hAnsiTheme="minorEastAsia" w:eastAsiaTheme="minorEastAsia"/>
                <w:sz w:val="24"/>
              </w:rPr>
              <w:t>）</w:t>
            </w:r>
            <w:r>
              <w:rPr>
                <w:rFonts w:eastAsiaTheme="minorEastAsia"/>
                <w:sz w:val="24"/>
              </w:rPr>
              <w:t>3</w:t>
            </w:r>
            <w:r>
              <w:rPr>
                <w:rFonts w:hAnsiTheme="minorEastAsia" w:eastAsiaTheme="minorEastAsia"/>
                <w:sz w:val="24"/>
              </w:rPr>
              <w:t>类标准，即昼间</w:t>
            </w:r>
            <w:r>
              <w:rPr>
                <w:rFonts w:eastAsiaTheme="minorEastAsia"/>
                <w:sz w:val="24"/>
              </w:rPr>
              <w:t>65dB</w:t>
            </w:r>
            <w:r>
              <w:rPr>
                <w:rFonts w:hAnsiTheme="minorEastAsia" w:eastAsiaTheme="minorEastAsia"/>
                <w:sz w:val="24"/>
              </w:rPr>
              <w:t>（</w:t>
            </w:r>
            <w:r>
              <w:rPr>
                <w:rFonts w:eastAsiaTheme="minorEastAsia"/>
                <w:sz w:val="24"/>
              </w:rPr>
              <w:t>A</w:t>
            </w:r>
            <w:r>
              <w:rPr>
                <w:rFonts w:hAnsiTheme="minorEastAsia" w:eastAsiaTheme="minorEastAsia"/>
                <w:sz w:val="24"/>
              </w:rPr>
              <w:t>），夜间</w:t>
            </w:r>
            <w:r>
              <w:rPr>
                <w:rFonts w:eastAsiaTheme="minorEastAsia"/>
                <w:sz w:val="24"/>
              </w:rPr>
              <w:t>55dB</w:t>
            </w:r>
            <w:r>
              <w:rPr>
                <w:rFonts w:hAnsiTheme="minorEastAsia" w:eastAsiaTheme="minorEastAsia"/>
                <w:sz w:val="24"/>
              </w:rPr>
              <w:t>（</w:t>
            </w:r>
            <w:r>
              <w:rPr>
                <w:rFonts w:eastAsiaTheme="minorEastAsia"/>
                <w:sz w:val="24"/>
              </w:rPr>
              <w:t>A</w:t>
            </w:r>
            <w:r>
              <w:rPr>
                <w:rFonts w:hAnsiTheme="minorEastAsia" w:eastAsiaTheme="minorEastAsia"/>
                <w:sz w:val="24"/>
              </w:rPr>
              <w:t>）。</w:t>
            </w:r>
          </w:p>
          <w:p w14:paraId="10EE8B10">
            <w:pPr>
              <w:spacing w:line="360" w:lineRule="auto"/>
              <w:ind w:firstLine="480" w:firstLineChars="200"/>
              <w:rPr>
                <w:sz w:val="24"/>
              </w:rPr>
            </w:pPr>
            <w:r>
              <w:rPr>
                <w:rFonts w:hint="eastAsia"/>
                <w:sz w:val="24"/>
              </w:rPr>
              <w:t>施工期噪声执行《建筑施工场界环境噪声排放标准》（GB12523-2011）相应标准，即昼间70dB（A）、夜间55dB（A）。</w:t>
            </w:r>
          </w:p>
          <w:p w14:paraId="7C1A4B21">
            <w:pPr>
              <w:jc w:val="center"/>
              <w:rPr>
                <w:b/>
                <w:szCs w:val="21"/>
              </w:rPr>
            </w:pPr>
            <w:r>
              <w:rPr>
                <w:rFonts w:hAnsi="宋体"/>
                <w:b/>
                <w:szCs w:val="21"/>
              </w:rPr>
              <w:t>表</w:t>
            </w:r>
            <w:r>
              <w:rPr>
                <w:rFonts w:hint="eastAsia"/>
                <w:b/>
                <w:szCs w:val="21"/>
              </w:rPr>
              <w:t xml:space="preserve">3.3-8 </w:t>
            </w:r>
            <w:r>
              <w:rPr>
                <w:rFonts w:hint="eastAsia" w:hAnsi="宋体"/>
                <w:b/>
                <w:szCs w:val="21"/>
              </w:rPr>
              <w:t>环境噪声排放标准</w:t>
            </w:r>
            <w:r>
              <w:rPr>
                <w:b/>
                <w:szCs w:val="21"/>
              </w:rPr>
              <w:t xml:space="preserve">  </w:t>
            </w:r>
            <w:r>
              <w:rPr>
                <w:rFonts w:hAnsi="宋体"/>
                <w:b/>
                <w:szCs w:val="21"/>
              </w:rPr>
              <w:t>单位：</w:t>
            </w:r>
            <w:r>
              <w:rPr>
                <w:b/>
                <w:szCs w:val="21"/>
              </w:rPr>
              <w:t xml:space="preserve"> dB</w:t>
            </w:r>
            <w:r>
              <w:rPr>
                <w:rFonts w:hAnsi="宋体"/>
                <w:b/>
                <w:szCs w:val="21"/>
              </w:rPr>
              <w:t>（</w:t>
            </w:r>
            <w:r>
              <w:rPr>
                <w:b/>
                <w:szCs w:val="21"/>
              </w:rPr>
              <w:t>A</w:t>
            </w:r>
            <w:r>
              <w:rPr>
                <w:rFonts w:hAnsi="宋体"/>
                <w:b/>
                <w:szCs w:val="21"/>
              </w:rPr>
              <w:t>）</w:t>
            </w:r>
          </w:p>
          <w:tbl>
            <w:tblPr>
              <w:tblStyle w:val="24"/>
              <w:tblW w:w="7987"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167"/>
              <w:gridCol w:w="852"/>
              <w:gridCol w:w="723"/>
              <w:gridCol w:w="710"/>
              <w:gridCol w:w="4535"/>
            </w:tblGrid>
            <w:tr w14:paraId="482FED0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50" w:hRule="atLeast"/>
                <w:jc w:val="center"/>
              </w:trPr>
              <w:tc>
                <w:tcPr>
                  <w:tcW w:w="1167" w:type="dxa"/>
                  <w:vAlign w:val="center"/>
                </w:tcPr>
                <w:p w14:paraId="5C9DFDD6">
                  <w:pPr>
                    <w:adjustRightInd w:val="0"/>
                    <w:snapToGrid w:val="0"/>
                    <w:jc w:val="center"/>
                    <w:rPr>
                      <w:b/>
                      <w:szCs w:val="21"/>
                    </w:rPr>
                  </w:pPr>
                  <w:r>
                    <w:rPr>
                      <w:rFonts w:hint="eastAsia"/>
                      <w:b/>
                      <w:szCs w:val="21"/>
                    </w:rPr>
                    <w:t>时期</w:t>
                  </w:r>
                </w:p>
              </w:tc>
              <w:tc>
                <w:tcPr>
                  <w:tcW w:w="852" w:type="dxa"/>
                  <w:vAlign w:val="center"/>
                </w:tcPr>
                <w:p w14:paraId="40DE89C0">
                  <w:pPr>
                    <w:adjustRightInd w:val="0"/>
                    <w:snapToGrid w:val="0"/>
                    <w:jc w:val="center"/>
                    <w:rPr>
                      <w:b/>
                      <w:szCs w:val="21"/>
                    </w:rPr>
                  </w:pPr>
                  <w:r>
                    <w:rPr>
                      <w:b/>
                      <w:szCs w:val="21"/>
                    </w:rPr>
                    <w:t>类别</w:t>
                  </w:r>
                </w:p>
              </w:tc>
              <w:tc>
                <w:tcPr>
                  <w:tcW w:w="723" w:type="dxa"/>
                  <w:vAlign w:val="center"/>
                </w:tcPr>
                <w:p w14:paraId="18B0CBD5">
                  <w:pPr>
                    <w:adjustRightInd w:val="0"/>
                    <w:snapToGrid w:val="0"/>
                    <w:jc w:val="center"/>
                    <w:rPr>
                      <w:b/>
                      <w:szCs w:val="21"/>
                    </w:rPr>
                  </w:pPr>
                  <w:r>
                    <w:rPr>
                      <w:b/>
                      <w:szCs w:val="21"/>
                    </w:rPr>
                    <w:t>昼间</w:t>
                  </w:r>
                </w:p>
              </w:tc>
              <w:tc>
                <w:tcPr>
                  <w:tcW w:w="710" w:type="dxa"/>
                  <w:vAlign w:val="center"/>
                </w:tcPr>
                <w:p w14:paraId="68F5578F">
                  <w:pPr>
                    <w:adjustRightInd w:val="0"/>
                    <w:snapToGrid w:val="0"/>
                    <w:jc w:val="center"/>
                    <w:rPr>
                      <w:b/>
                      <w:szCs w:val="21"/>
                    </w:rPr>
                  </w:pPr>
                  <w:r>
                    <w:rPr>
                      <w:b/>
                      <w:szCs w:val="21"/>
                    </w:rPr>
                    <w:t>夜间</w:t>
                  </w:r>
                </w:p>
              </w:tc>
              <w:tc>
                <w:tcPr>
                  <w:tcW w:w="4535" w:type="dxa"/>
                  <w:vAlign w:val="center"/>
                </w:tcPr>
                <w:p w14:paraId="6B4DC1C3">
                  <w:pPr>
                    <w:adjustRightInd w:val="0"/>
                    <w:snapToGrid w:val="0"/>
                    <w:jc w:val="center"/>
                    <w:rPr>
                      <w:b/>
                      <w:szCs w:val="21"/>
                    </w:rPr>
                  </w:pPr>
                  <w:r>
                    <w:rPr>
                      <w:rFonts w:hint="eastAsia"/>
                      <w:b/>
                      <w:szCs w:val="21"/>
                    </w:rPr>
                    <w:t>备注</w:t>
                  </w:r>
                </w:p>
              </w:tc>
            </w:tr>
            <w:tr w14:paraId="3F70249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50" w:hRule="atLeast"/>
                <w:jc w:val="center"/>
              </w:trPr>
              <w:tc>
                <w:tcPr>
                  <w:tcW w:w="1167" w:type="dxa"/>
                  <w:vAlign w:val="center"/>
                </w:tcPr>
                <w:p w14:paraId="329149D3">
                  <w:pPr>
                    <w:adjustRightInd w:val="0"/>
                    <w:snapToGrid w:val="0"/>
                    <w:jc w:val="center"/>
                    <w:rPr>
                      <w:szCs w:val="21"/>
                    </w:rPr>
                  </w:pPr>
                  <w:r>
                    <w:rPr>
                      <w:rFonts w:hint="eastAsia"/>
                      <w:szCs w:val="21"/>
                    </w:rPr>
                    <w:t>施工期</w:t>
                  </w:r>
                </w:p>
              </w:tc>
              <w:tc>
                <w:tcPr>
                  <w:tcW w:w="852" w:type="dxa"/>
                  <w:vAlign w:val="center"/>
                </w:tcPr>
                <w:p w14:paraId="2D08F05E">
                  <w:pPr>
                    <w:adjustRightInd w:val="0"/>
                    <w:snapToGrid w:val="0"/>
                    <w:jc w:val="center"/>
                    <w:rPr>
                      <w:szCs w:val="21"/>
                    </w:rPr>
                  </w:pPr>
                  <w:r>
                    <w:rPr>
                      <w:szCs w:val="21"/>
                    </w:rPr>
                    <w:t>/</w:t>
                  </w:r>
                </w:p>
              </w:tc>
              <w:tc>
                <w:tcPr>
                  <w:tcW w:w="723" w:type="dxa"/>
                  <w:vAlign w:val="center"/>
                </w:tcPr>
                <w:p w14:paraId="7FDE4DF8">
                  <w:pPr>
                    <w:adjustRightInd w:val="0"/>
                    <w:snapToGrid w:val="0"/>
                    <w:jc w:val="center"/>
                    <w:rPr>
                      <w:szCs w:val="21"/>
                    </w:rPr>
                  </w:pPr>
                  <w:r>
                    <w:rPr>
                      <w:szCs w:val="21"/>
                    </w:rPr>
                    <w:t>70</w:t>
                  </w:r>
                </w:p>
              </w:tc>
              <w:tc>
                <w:tcPr>
                  <w:tcW w:w="710" w:type="dxa"/>
                  <w:vAlign w:val="center"/>
                </w:tcPr>
                <w:p w14:paraId="12F1D3B0">
                  <w:pPr>
                    <w:adjustRightInd w:val="0"/>
                    <w:snapToGrid w:val="0"/>
                    <w:jc w:val="center"/>
                    <w:rPr>
                      <w:szCs w:val="21"/>
                    </w:rPr>
                  </w:pPr>
                  <w:r>
                    <w:rPr>
                      <w:szCs w:val="21"/>
                    </w:rPr>
                    <w:t>55</w:t>
                  </w:r>
                </w:p>
              </w:tc>
              <w:tc>
                <w:tcPr>
                  <w:tcW w:w="4535" w:type="dxa"/>
                  <w:vAlign w:val="center"/>
                </w:tcPr>
                <w:p w14:paraId="2AF335FE">
                  <w:pPr>
                    <w:adjustRightInd w:val="0"/>
                    <w:snapToGrid w:val="0"/>
                    <w:jc w:val="center"/>
                    <w:rPr>
                      <w:szCs w:val="21"/>
                    </w:rPr>
                  </w:pPr>
                  <w:r>
                    <w:rPr>
                      <w:szCs w:val="21"/>
                    </w:rPr>
                    <w:t>《建筑施工场界环境噪声排放标准》(GB12523－2011)</w:t>
                  </w:r>
                </w:p>
              </w:tc>
            </w:tr>
            <w:tr w14:paraId="5789D2A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250" w:hRule="atLeast"/>
                <w:jc w:val="center"/>
              </w:trPr>
              <w:tc>
                <w:tcPr>
                  <w:tcW w:w="1167" w:type="dxa"/>
                  <w:vAlign w:val="center"/>
                </w:tcPr>
                <w:p w14:paraId="0242EF9F">
                  <w:pPr>
                    <w:adjustRightInd w:val="0"/>
                    <w:snapToGrid w:val="0"/>
                    <w:jc w:val="center"/>
                    <w:rPr>
                      <w:szCs w:val="21"/>
                    </w:rPr>
                  </w:pPr>
                  <w:r>
                    <w:rPr>
                      <w:rFonts w:hint="eastAsia"/>
                      <w:szCs w:val="21"/>
                    </w:rPr>
                    <w:t>营运期</w:t>
                  </w:r>
                </w:p>
              </w:tc>
              <w:tc>
                <w:tcPr>
                  <w:tcW w:w="852" w:type="dxa"/>
                  <w:vAlign w:val="center"/>
                </w:tcPr>
                <w:p w14:paraId="63547336">
                  <w:pPr>
                    <w:adjustRightInd w:val="0"/>
                    <w:snapToGrid w:val="0"/>
                    <w:jc w:val="center"/>
                    <w:rPr>
                      <w:szCs w:val="21"/>
                    </w:rPr>
                  </w:pPr>
                  <w:r>
                    <w:rPr>
                      <w:rFonts w:hint="eastAsia"/>
                      <w:szCs w:val="21"/>
                    </w:rPr>
                    <w:t>3</w:t>
                  </w:r>
                  <w:r>
                    <w:rPr>
                      <w:szCs w:val="21"/>
                    </w:rPr>
                    <w:t>类</w:t>
                  </w:r>
                </w:p>
              </w:tc>
              <w:tc>
                <w:tcPr>
                  <w:tcW w:w="723" w:type="dxa"/>
                  <w:vAlign w:val="center"/>
                </w:tcPr>
                <w:p w14:paraId="4463A0D7">
                  <w:pPr>
                    <w:adjustRightInd w:val="0"/>
                    <w:snapToGrid w:val="0"/>
                    <w:jc w:val="center"/>
                    <w:rPr>
                      <w:szCs w:val="21"/>
                    </w:rPr>
                  </w:pPr>
                  <w:r>
                    <w:rPr>
                      <w:rFonts w:hint="eastAsia"/>
                      <w:szCs w:val="21"/>
                    </w:rPr>
                    <w:t>65</w:t>
                  </w:r>
                </w:p>
              </w:tc>
              <w:tc>
                <w:tcPr>
                  <w:tcW w:w="710" w:type="dxa"/>
                  <w:vAlign w:val="center"/>
                </w:tcPr>
                <w:p w14:paraId="075366EF">
                  <w:pPr>
                    <w:adjustRightInd w:val="0"/>
                    <w:snapToGrid w:val="0"/>
                    <w:jc w:val="center"/>
                    <w:rPr>
                      <w:szCs w:val="21"/>
                    </w:rPr>
                  </w:pPr>
                  <w:r>
                    <w:rPr>
                      <w:rFonts w:hint="eastAsia"/>
                      <w:szCs w:val="21"/>
                    </w:rPr>
                    <w:t>55</w:t>
                  </w:r>
                </w:p>
              </w:tc>
              <w:tc>
                <w:tcPr>
                  <w:tcW w:w="4535" w:type="dxa"/>
                  <w:vAlign w:val="center"/>
                </w:tcPr>
                <w:p w14:paraId="58102550">
                  <w:pPr>
                    <w:adjustRightInd w:val="0"/>
                    <w:snapToGrid w:val="0"/>
                    <w:jc w:val="center"/>
                    <w:rPr>
                      <w:szCs w:val="21"/>
                    </w:rPr>
                  </w:pPr>
                  <w:r>
                    <w:rPr>
                      <w:szCs w:val="21"/>
                    </w:rPr>
                    <w:t>《工业企业厂界环境噪声排放标准》(GB12348－2008)</w:t>
                  </w:r>
                </w:p>
              </w:tc>
            </w:tr>
          </w:tbl>
          <w:p w14:paraId="71CA9916">
            <w:pPr>
              <w:pStyle w:val="64"/>
              <w:spacing w:line="480" w:lineRule="exact"/>
              <w:ind w:left="0" w:leftChars="0" w:right="105" w:firstLine="0" w:firstLineChars="0"/>
              <w:rPr>
                <w:rFonts w:ascii="Times New Roman" w:hAnsi="Times New Roman" w:eastAsiaTheme="minorEastAsia"/>
                <w:b/>
                <w:sz w:val="24"/>
                <w:szCs w:val="24"/>
              </w:rPr>
            </w:pPr>
            <w:r>
              <w:rPr>
                <w:rFonts w:ascii="Times New Roman" w:hAnsi="Times New Roman" w:eastAsiaTheme="minorEastAsia"/>
                <w:b/>
                <w:bCs/>
                <w:sz w:val="24"/>
              </w:rPr>
              <w:t>3.3.4</w:t>
            </w:r>
            <w:r>
              <w:rPr>
                <w:rFonts w:hint="eastAsia" w:ascii="Times New Roman" w:hAnsi="Times New Roman" w:eastAsiaTheme="minorEastAsia"/>
                <w:b/>
                <w:bCs/>
                <w:sz w:val="24"/>
              </w:rPr>
              <w:t xml:space="preserve">  </w:t>
            </w:r>
            <w:r>
              <w:rPr>
                <w:rFonts w:ascii="Times New Roman" w:hAnsiTheme="minorEastAsia" w:eastAsiaTheme="minorEastAsia"/>
                <w:b/>
                <w:sz w:val="24"/>
                <w:szCs w:val="24"/>
              </w:rPr>
              <w:t>固体废弃物</w:t>
            </w:r>
          </w:p>
          <w:p w14:paraId="0989290C">
            <w:pPr>
              <w:autoSpaceDE w:val="0"/>
              <w:autoSpaceDN w:val="0"/>
              <w:adjustRightInd w:val="0"/>
              <w:spacing w:line="480" w:lineRule="exact"/>
              <w:ind w:firstLine="482"/>
              <w:textAlignment w:val="baseline"/>
              <w:rPr>
                <w:sz w:val="24"/>
              </w:rPr>
            </w:pPr>
            <w:r>
              <w:rPr>
                <w:rFonts w:hint="eastAsia"/>
                <w:kern w:val="0"/>
                <w:sz w:val="24"/>
              </w:rPr>
              <w:t>一般工业固体废物贮存过程应满足相应防渗漏、防雨淋、防扬尘等环保要求</w:t>
            </w:r>
            <w:r>
              <w:rPr>
                <w:sz w:val="24"/>
              </w:rPr>
              <w:t>；危险废物暂存执行《危险废物贮存污染控制标准》(GB18597-2001)及2013修改单。</w:t>
            </w:r>
          </w:p>
        </w:tc>
      </w:tr>
      <w:tr w14:paraId="206B6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03" w:type="dxa"/>
            <w:vAlign w:val="center"/>
          </w:tcPr>
          <w:p w14:paraId="300EF8E6">
            <w:pPr>
              <w:adjustRightInd w:val="0"/>
              <w:snapToGrid w:val="0"/>
              <w:jc w:val="center"/>
              <w:rPr>
                <w:rFonts w:ascii="宋体" w:hAnsi="宋体" w:cs="宋体"/>
                <w:kern w:val="0"/>
                <w:sz w:val="24"/>
              </w:rPr>
            </w:pPr>
            <w:r>
              <w:rPr>
                <w:rFonts w:hint="eastAsia" w:ascii="宋体" w:hAnsi="宋体" w:cs="宋体"/>
                <w:kern w:val="0"/>
                <w:sz w:val="24"/>
              </w:rPr>
              <w:t>总量</w:t>
            </w:r>
          </w:p>
          <w:p w14:paraId="4E32D79E">
            <w:pPr>
              <w:adjustRightInd w:val="0"/>
              <w:snapToGrid w:val="0"/>
              <w:jc w:val="center"/>
              <w:rPr>
                <w:rFonts w:ascii="宋体" w:hAnsi="宋体" w:cs="宋体"/>
                <w:kern w:val="0"/>
                <w:sz w:val="24"/>
              </w:rPr>
            </w:pPr>
            <w:r>
              <w:rPr>
                <w:rFonts w:hint="eastAsia" w:ascii="宋体" w:hAnsi="宋体" w:cs="宋体"/>
                <w:kern w:val="0"/>
                <w:sz w:val="24"/>
              </w:rPr>
              <w:t>控制</w:t>
            </w:r>
          </w:p>
          <w:p w14:paraId="69409554">
            <w:pPr>
              <w:adjustRightInd w:val="0"/>
              <w:snapToGrid w:val="0"/>
              <w:jc w:val="center"/>
              <w:rPr>
                <w:rFonts w:ascii="宋体" w:hAnsi="宋体" w:cs="宋体"/>
                <w:kern w:val="0"/>
                <w:sz w:val="24"/>
              </w:rPr>
            </w:pPr>
            <w:r>
              <w:rPr>
                <w:rFonts w:hint="eastAsia" w:ascii="宋体" w:hAnsi="宋体" w:cs="宋体"/>
                <w:kern w:val="0"/>
                <w:sz w:val="24"/>
              </w:rPr>
              <w:t>指标</w:t>
            </w:r>
          </w:p>
        </w:tc>
        <w:tc>
          <w:tcPr>
            <w:tcW w:w="8217" w:type="dxa"/>
            <w:vAlign w:val="center"/>
          </w:tcPr>
          <w:p w14:paraId="05285BB7">
            <w:pPr>
              <w:adjustRightInd w:val="0"/>
              <w:snapToGrid w:val="0"/>
              <w:spacing w:line="480" w:lineRule="exact"/>
              <w:ind w:firstLine="480" w:firstLineChars="200"/>
              <w:jc w:val="left"/>
              <w:rPr>
                <w:rFonts w:eastAsiaTheme="minorEastAsia"/>
                <w:sz w:val="24"/>
              </w:rPr>
            </w:pPr>
            <w:r>
              <w:rPr>
                <w:rFonts w:hAnsiTheme="minorEastAsia" w:eastAsiaTheme="minorEastAsia"/>
                <w:sz w:val="24"/>
              </w:rPr>
              <w:t>依据国家关于污染物排放执行总量控制的有关规定，结合项目排污特点，</w:t>
            </w:r>
            <w:r>
              <w:rPr>
                <w:rFonts w:eastAsiaTheme="minorEastAsia"/>
                <w:sz w:val="24"/>
              </w:rPr>
              <w:t xml:space="preserve"> </w:t>
            </w:r>
            <w:r>
              <w:rPr>
                <w:rFonts w:hAnsiTheme="minorEastAsia" w:eastAsiaTheme="minorEastAsia"/>
                <w:sz w:val="24"/>
              </w:rPr>
              <w:t>经计算，本项目污染物总量控制指标建议如下：</w:t>
            </w:r>
          </w:p>
          <w:p w14:paraId="51E0D5C2">
            <w:pPr>
              <w:adjustRightInd w:val="0"/>
              <w:snapToGrid w:val="0"/>
              <w:spacing w:line="480" w:lineRule="exact"/>
              <w:ind w:firstLine="482" w:firstLineChars="200"/>
              <w:jc w:val="left"/>
              <w:rPr>
                <w:rFonts w:eastAsiaTheme="minorEastAsia"/>
                <w:b/>
                <w:sz w:val="24"/>
              </w:rPr>
            </w:pPr>
            <w:r>
              <w:rPr>
                <w:rFonts w:hAnsiTheme="minorEastAsia" w:eastAsiaTheme="minorEastAsia"/>
                <w:b/>
                <w:sz w:val="24"/>
              </w:rPr>
              <w:t>废水：</w:t>
            </w:r>
          </w:p>
          <w:p w14:paraId="6195580E">
            <w:pPr>
              <w:adjustRightInd w:val="0"/>
              <w:snapToGrid w:val="0"/>
              <w:spacing w:line="480" w:lineRule="exact"/>
              <w:ind w:firstLine="480" w:firstLineChars="200"/>
              <w:rPr>
                <w:rFonts w:eastAsiaTheme="minorEastAsia"/>
                <w:kern w:val="0"/>
                <w:sz w:val="24"/>
              </w:rPr>
            </w:pPr>
            <w:r>
              <w:rPr>
                <w:rFonts w:hAnsiTheme="minorEastAsia" w:eastAsiaTheme="minorEastAsia"/>
                <w:kern w:val="0"/>
                <w:sz w:val="24"/>
              </w:rPr>
              <w:t>排入污水处理厂的量：</w:t>
            </w:r>
            <w:r>
              <w:rPr>
                <w:rFonts w:eastAsiaTheme="minorEastAsia"/>
                <w:kern w:val="0"/>
                <w:sz w:val="24"/>
              </w:rPr>
              <w:t>COD</w:t>
            </w:r>
            <w:r>
              <w:rPr>
                <w:rFonts w:hAnsiTheme="minorEastAsia" w:eastAsiaTheme="minorEastAsia"/>
                <w:kern w:val="0"/>
                <w:sz w:val="24"/>
              </w:rPr>
              <w:t>：</w:t>
            </w:r>
            <w:r>
              <w:rPr>
                <w:rFonts w:hint="eastAsia" w:eastAsiaTheme="minorEastAsia"/>
                <w:kern w:val="0"/>
                <w:sz w:val="24"/>
              </w:rPr>
              <w:t>9.441</w:t>
            </w:r>
            <w:r>
              <w:rPr>
                <w:rFonts w:eastAsiaTheme="minorEastAsia"/>
                <w:kern w:val="0"/>
                <w:sz w:val="24"/>
              </w:rPr>
              <w:t>t/a</w:t>
            </w:r>
            <w:r>
              <w:rPr>
                <w:rFonts w:hAnsiTheme="minorEastAsia" w:eastAsiaTheme="minorEastAsia"/>
                <w:kern w:val="0"/>
                <w:sz w:val="24"/>
              </w:rPr>
              <w:t>，</w:t>
            </w:r>
            <w:r>
              <w:rPr>
                <w:rFonts w:eastAsiaTheme="minorEastAsia"/>
                <w:kern w:val="0"/>
                <w:sz w:val="24"/>
              </w:rPr>
              <w:t>NH</w:t>
            </w:r>
            <w:r>
              <w:rPr>
                <w:rFonts w:eastAsiaTheme="minorEastAsia"/>
                <w:kern w:val="0"/>
                <w:sz w:val="24"/>
                <w:vertAlign w:val="subscript"/>
              </w:rPr>
              <w:t>3</w:t>
            </w:r>
            <w:r>
              <w:rPr>
                <w:rFonts w:eastAsiaTheme="minorEastAsia"/>
                <w:kern w:val="0"/>
                <w:sz w:val="24"/>
              </w:rPr>
              <w:t>-N</w:t>
            </w:r>
            <w:r>
              <w:rPr>
                <w:rFonts w:hAnsiTheme="minorEastAsia" w:eastAsiaTheme="minorEastAsia"/>
                <w:kern w:val="0"/>
                <w:sz w:val="24"/>
              </w:rPr>
              <w:t>：</w:t>
            </w:r>
            <w:r>
              <w:rPr>
                <w:rFonts w:hint="eastAsia" w:eastAsiaTheme="minorEastAsia"/>
                <w:kern w:val="0"/>
                <w:sz w:val="24"/>
              </w:rPr>
              <w:t>0.708</w:t>
            </w:r>
            <w:r>
              <w:rPr>
                <w:rFonts w:eastAsiaTheme="minorEastAsia"/>
                <w:kern w:val="0"/>
                <w:sz w:val="24"/>
              </w:rPr>
              <w:t>t/a</w:t>
            </w:r>
            <w:r>
              <w:rPr>
                <w:rFonts w:hAnsiTheme="minorEastAsia" w:eastAsiaTheme="minorEastAsia"/>
                <w:kern w:val="0"/>
                <w:sz w:val="24"/>
              </w:rPr>
              <w:t>；</w:t>
            </w:r>
          </w:p>
          <w:p w14:paraId="7E52750C">
            <w:pPr>
              <w:adjustRightInd w:val="0"/>
              <w:snapToGrid w:val="0"/>
              <w:spacing w:line="480" w:lineRule="exact"/>
              <w:ind w:firstLine="480" w:firstLineChars="200"/>
              <w:rPr>
                <w:rFonts w:eastAsiaTheme="minorEastAsia"/>
                <w:kern w:val="0"/>
                <w:sz w:val="24"/>
              </w:rPr>
            </w:pPr>
            <w:r>
              <w:rPr>
                <w:rFonts w:hAnsiTheme="minorEastAsia" w:eastAsiaTheme="minorEastAsia"/>
                <w:kern w:val="0"/>
                <w:sz w:val="24"/>
              </w:rPr>
              <w:t>污水处理厂外排环境的量：</w:t>
            </w:r>
            <w:r>
              <w:rPr>
                <w:rFonts w:eastAsiaTheme="minorEastAsia"/>
                <w:kern w:val="0"/>
                <w:sz w:val="24"/>
              </w:rPr>
              <w:t>COD</w:t>
            </w:r>
            <w:r>
              <w:rPr>
                <w:rFonts w:hAnsiTheme="minorEastAsia" w:eastAsiaTheme="minorEastAsia"/>
                <w:kern w:val="0"/>
                <w:sz w:val="24"/>
              </w:rPr>
              <w:t>：</w:t>
            </w:r>
            <w:r>
              <w:rPr>
                <w:rFonts w:hint="eastAsia" w:eastAsiaTheme="minorEastAsia"/>
                <w:kern w:val="0"/>
                <w:sz w:val="24"/>
              </w:rPr>
              <w:t>1.416</w:t>
            </w:r>
            <w:r>
              <w:rPr>
                <w:rFonts w:eastAsiaTheme="minorEastAsia"/>
                <w:kern w:val="0"/>
                <w:sz w:val="24"/>
              </w:rPr>
              <w:t>t/a</w:t>
            </w:r>
            <w:r>
              <w:rPr>
                <w:rFonts w:hAnsiTheme="minorEastAsia" w:eastAsiaTheme="minorEastAsia"/>
                <w:kern w:val="0"/>
                <w:sz w:val="24"/>
              </w:rPr>
              <w:t>，</w:t>
            </w:r>
            <w:r>
              <w:rPr>
                <w:rFonts w:eastAsiaTheme="minorEastAsia"/>
                <w:kern w:val="0"/>
                <w:sz w:val="24"/>
              </w:rPr>
              <w:t>NH</w:t>
            </w:r>
            <w:r>
              <w:rPr>
                <w:rFonts w:eastAsiaTheme="minorEastAsia"/>
                <w:kern w:val="0"/>
                <w:sz w:val="24"/>
                <w:vertAlign w:val="subscript"/>
              </w:rPr>
              <w:t>3</w:t>
            </w:r>
            <w:r>
              <w:rPr>
                <w:rFonts w:eastAsiaTheme="minorEastAsia"/>
                <w:kern w:val="0"/>
                <w:sz w:val="24"/>
              </w:rPr>
              <w:t>-N</w:t>
            </w:r>
            <w:r>
              <w:rPr>
                <w:rFonts w:hAnsiTheme="minorEastAsia" w:eastAsiaTheme="minorEastAsia"/>
                <w:kern w:val="0"/>
                <w:sz w:val="24"/>
              </w:rPr>
              <w:t>：</w:t>
            </w:r>
            <w:r>
              <w:rPr>
                <w:rFonts w:hint="eastAsia" w:hAnsiTheme="minorEastAsia" w:eastAsiaTheme="minorEastAsia"/>
                <w:kern w:val="0"/>
                <w:sz w:val="24"/>
              </w:rPr>
              <w:t>0.189</w:t>
            </w:r>
            <w:r>
              <w:rPr>
                <w:rFonts w:eastAsiaTheme="minorEastAsia"/>
                <w:kern w:val="0"/>
                <w:sz w:val="24"/>
              </w:rPr>
              <w:t xml:space="preserve"> t/a</w:t>
            </w:r>
            <w:r>
              <w:rPr>
                <w:rFonts w:hAnsiTheme="minorEastAsia" w:eastAsiaTheme="minorEastAsia"/>
                <w:kern w:val="0"/>
                <w:sz w:val="24"/>
              </w:rPr>
              <w:t>。</w:t>
            </w:r>
          </w:p>
          <w:p w14:paraId="350C8E96">
            <w:pPr>
              <w:adjustRightInd w:val="0"/>
              <w:snapToGrid w:val="0"/>
              <w:spacing w:line="480" w:lineRule="exact"/>
              <w:ind w:firstLine="482" w:firstLineChars="200"/>
              <w:jc w:val="left"/>
              <w:rPr>
                <w:rFonts w:ascii="宋体" w:hAnsi="宋体" w:cs="宋体"/>
                <w:kern w:val="0"/>
                <w:sz w:val="24"/>
              </w:rPr>
            </w:pPr>
            <w:r>
              <w:rPr>
                <w:rFonts w:hAnsiTheme="minorEastAsia" w:eastAsiaTheme="minorEastAsia"/>
                <w:b/>
                <w:kern w:val="0"/>
                <w:sz w:val="24"/>
              </w:rPr>
              <w:t>有组织废气：</w:t>
            </w:r>
            <w:r>
              <w:rPr>
                <w:rFonts w:hAnsiTheme="minorEastAsia" w:eastAsiaTheme="minorEastAsia"/>
                <w:kern w:val="0"/>
                <w:sz w:val="24"/>
              </w:rPr>
              <w:t>非甲烷总烃</w:t>
            </w:r>
            <w:r>
              <w:rPr>
                <w:rFonts w:hint="eastAsia" w:eastAsiaTheme="minorEastAsia"/>
                <w:kern w:val="0"/>
                <w:sz w:val="24"/>
              </w:rPr>
              <w:t>1.966</w:t>
            </w:r>
            <w:r>
              <w:rPr>
                <w:rFonts w:eastAsiaTheme="minorEastAsia"/>
                <w:kern w:val="0"/>
                <w:sz w:val="24"/>
              </w:rPr>
              <w:t xml:space="preserve">t/a </w:t>
            </w:r>
          </w:p>
        </w:tc>
      </w:tr>
    </w:tbl>
    <w:p w14:paraId="6A953586">
      <w:pPr>
        <w:pStyle w:val="20"/>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6A6FF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746" w:type="dxa"/>
            <w:tcMar>
              <w:left w:w="28" w:type="dxa"/>
              <w:right w:w="28" w:type="dxa"/>
            </w:tcMar>
            <w:vAlign w:val="center"/>
          </w:tcPr>
          <w:p w14:paraId="7FFE3060">
            <w:pPr>
              <w:pStyle w:val="20"/>
              <w:adjustRightInd w:val="0"/>
              <w:snapToGrid w:val="0"/>
              <w:spacing w:before="0" w:beforeAutospacing="0" w:after="0" w:afterAutospacing="0"/>
              <w:jc w:val="center"/>
              <w:rPr>
                <w:rFonts w:cs="宋体"/>
                <w:kern w:val="2"/>
                <w:szCs w:val="24"/>
              </w:rPr>
            </w:pPr>
            <w:r>
              <w:rPr>
                <w:rFonts w:hint="eastAsia" w:cs="宋体"/>
                <w:kern w:val="2"/>
                <w:szCs w:val="24"/>
              </w:rPr>
              <w:t>施工</w:t>
            </w:r>
          </w:p>
          <w:p w14:paraId="7D9F20AC">
            <w:pPr>
              <w:pStyle w:val="20"/>
              <w:adjustRightInd w:val="0"/>
              <w:snapToGrid w:val="0"/>
              <w:spacing w:before="0" w:beforeAutospacing="0" w:after="0" w:afterAutospacing="0"/>
              <w:jc w:val="center"/>
              <w:rPr>
                <w:rFonts w:cs="宋体"/>
                <w:kern w:val="2"/>
                <w:szCs w:val="24"/>
              </w:rPr>
            </w:pPr>
            <w:r>
              <w:rPr>
                <w:rFonts w:hint="eastAsia" w:cs="宋体"/>
                <w:kern w:val="2"/>
                <w:szCs w:val="24"/>
              </w:rPr>
              <w:t>期环</w:t>
            </w:r>
          </w:p>
          <w:p w14:paraId="0D663DE1">
            <w:pPr>
              <w:pStyle w:val="20"/>
              <w:adjustRightInd w:val="0"/>
              <w:snapToGrid w:val="0"/>
              <w:spacing w:before="0" w:beforeAutospacing="0" w:after="0" w:afterAutospacing="0"/>
              <w:jc w:val="center"/>
              <w:rPr>
                <w:rFonts w:cs="宋体"/>
                <w:kern w:val="2"/>
                <w:szCs w:val="24"/>
              </w:rPr>
            </w:pPr>
            <w:r>
              <w:rPr>
                <w:rFonts w:hint="eastAsia" w:cs="宋体"/>
                <w:kern w:val="2"/>
                <w:szCs w:val="24"/>
              </w:rPr>
              <w:t>境保</w:t>
            </w:r>
          </w:p>
          <w:p w14:paraId="47C2C6B6">
            <w:pPr>
              <w:pStyle w:val="20"/>
              <w:adjustRightInd w:val="0"/>
              <w:snapToGrid w:val="0"/>
              <w:spacing w:before="0" w:beforeAutospacing="0" w:after="0" w:afterAutospacing="0"/>
              <w:jc w:val="center"/>
              <w:rPr>
                <w:rFonts w:cs="宋体"/>
                <w:kern w:val="2"/>
                <w:szCs w:val="24"/>
              </w:rPr>
            </w:pPr>
            <w:r>
              <w:rPr>
                <w:rFonts w:hint="eastAsia" w:cs="宋体"/>
                <w:kern w:val="2"/>
                <w:szCs w:val="24"/>
              </w:rPr>
              <w:t>护措</w:t>
            </w:r>
          </w:p>
          <w:p w14:paraId="5371858C">
            <w:pPr>
              <w:pStyle w:val="20"/>
              <w:adjustRightInd w:val="0"/>
              <w:snapToGrid w:val="0"/>
              <w:spacing w:before="0" w:beforeAutospacing="0" w:after="0" w:afterAutospacing="0"/>
              <w:jc w:val="center"/>
              <w:rPr>
                <w:rFonts w:cs="宋体"/>
                <w:bCs/>
                <w:kern w:val="2"/>
                <w:szCs w:val="24"/>
              </w:rPr>
            </w:pPr>
            <w:r>
              <w:rPr>
                <w:rFonts w:hint="eastAsia" w:cs="宋体"/>
                <w:kern w:val="2"/>
                <w:szCs w:val="24"/>
              </w:rPr>
              <w:t>施</w:t>
            </w:r>
          </w:p>
        </w:tc>
        <w:tc>
          <w:tcPr>
            <w:tcW w:w="8162" w:type="dxa"/>
            <w:vAlign w:val="center"/>
          </w:tcPr>
          <w:p w14:paraId="0485850F">
            <w:pPr>
              <w:adjustRightInd w:val="0"/>
              <w:snapToGrid w:val="0"/>
              <w:spacing w:line="440" w:lineRule="exact"/>
              <w:jc w:val="left"/>
              <w:rPr>
                <w:b/>
                <w:spacing w:val="-10"/>
                <w:sz w:val="24"/>
              </w:rPr>
            </w:pPr>
            <w:r>
              <w:rPr>
                <w:b/>
                <w:spacing w:val="-10"/>
                <w:sz w:val="24"/>
              </w:rPr>
              <w:t>4.1.1 大气环境</w:t>
            </w:r>
          </w:p>
          <w:p w14:paraId="47273016">
            <w:pPr>
              <w:autoSpaceDE w:val="0"/>
              <w:autoSpaceDN w:val="0"/>
              <w:adjustRightInd w:val="0"/>
              <w:spacing w:line="480" w:lineRule="exact"/>
              <w:ind w:firstLine="480" w:firstLineChars="200"/>
              <w:jc w:val="left"/>
              <w:rPr>
                <w:kern w:val="0"/>
                <w:sz w:val="24"/>
              </w:rPr>
            </w:pPr>
            <w:r>
              <w:rPr>
                <w:rFonts w:hAnsi="宋体"/>
                <w:kern w:val="0"/>
                <w:sz w:val="24"/>
              </w:rPr>
              <w:t>拟建项目对大气环境的影响主要源于燃油动力机械尾气和扬尘。</w:t>
            </w:r>
            <w:r>
              <w:rPr>
                <w:kern w:val="0"/>
                <w:sz w:val="24"/>
              </w:rPr>
              <w:t xml:space="preserve"> </w:t>
            </w:r>
          </w:p>
          <w:p w14:paraId="6A320F39">
            <w:pPr>
              <w:autoSpaceDE w:val="0"/>
              <w:autoSpaceDN w:val="0"/>
              <w:adjustRightInd w:val="0"/>
              <w:spacing w:line="480" w:lineRule="exact"/>
              <w:ind w:firstLine="480" w:firstLineChars="200"/>
              <w:jc w:val="left"/>
              <w:rPr>
                <w:kern w:val="0"/>
                <w:sz w:val="24"/>
              </w:rPr>
            </w:pPr>
            <w:r>
              <w:rPr>
                <w:rFonts w:hAnsi="宋体"/>
                <w:kern w:val="0"/>
                <w:sz w:val="24"/>
              </w:rPr>
              <w:t>由于施工属于暂时性行为，施工机械间断作业，且使用数量不大，因此其污染物排放量不大，对大气环境的影响不明显。建筑材料运输和散装水泥作业等过程均会产生扬尘，据有关资料表明，在正常风况下，施工活动产生的粉尘在施工区域近地面环境空气中</w:t>
            </w:r>
            <w:r>
              <w:rPr>
                <w:kern w:val="0"/>
                <w:sz w:val="24"/>
              </w:rPr>
              <w:t>TSP</w:t>
            </w:r>
            <w:r>
              <w:rPr>
                <w:rFonts w:hAnsi="宋体"/>
                <w:kern w:val="0"/>
                <w:sz w:val="24"/>
              </w:rPr>
              <w:t>浓度可达到</w:t>
            </w:r>
            <w:r>
              <w:rPr>
                <w:kern w:val="0"/>
                <w:sz w:val="24"/>
              </w:rPr>
              <w:t>1.5~3.0mg/m</w:t>
            </w:r>
            <w:r>
              <w:rPr>
                <w:kern w:val="0"/>
                <w:sz w:val="24"/>
                <w:vertAlign w:val="superscript"/>
              </w:rPr>
              <w:t>3</w:t>
            </w:r>
            <w:r>
              <w:rPr>
                <w:rFonts w:hAnsi="宋体"/>
                <w:kern w:val="0"/>
                <w:sz w:val="24"/>
              </w:rPr>
              <w:t>，对施工区域周围</w:t>
            </w:r>
            <w:r>
              <w:rPr>
                <w:kern w:val="0"/>
                <w:sz w:val="24"/>
              </w:rPr>
              <w:t>50~100m</w:t>
            </w:r>
            <w:r>
              <w:rPr>
                <w:rFonts w:hAnsi="宋体"/>
                <w:kern w:val="0"/>
                <w:sz w:val="24"/>
              </w:rPr>
              <w:t>以外的贡献值符合环境空气质量一级标准；在大风（</w:t>
            </w:r>
            <w:r>
              <w:rPr>
                <w:kern w:val="0"/>
                <w:sz w:val="24"/>
              </w:rPr>
              <w:t>&gt;5</w:t>
            </w:r>
            <w:r>
              <w:rPr>
                <w:rFonts w:hAnsi="宋体"/>
                <w:kern w:val="0"/>
                <w:sz w:val="24"/>
              </w:rPr>
              <w:t>级）的情况下，施工粉尘对施工区域周围</w:t>
            </w:r>
            <w:r>
              <w:rPr>
                <w:kern w:val="0"/>
                <w:sz w:val="24"/>
              </w:rPr>
              <w:t>100~300m</w:t>
            </w:r>
            <w:r>
              <w:rPr>
                <w:rFonts w:hAnsi="宋体"/>
                <w:kern w:val="0"/>
                <w:sz w:val="24"/>
              </w:rPr>
              <w:t>以外的贡献值符合环境空气质量一级标准。</w:t>
            </w:r>
            <w:r>
              <w:rPr>
                <w:kern w:val="0"/>
                <w:sz w:val="24"/>
              </w:rPr>
              <w:t xml:space="preserve"> </w:t>
            </w:r>
          </w:p>
          <w:p w14:paraId="1EEA3401">
            <w:pPr>
              <w:autoSpaceDE w:val="0"/>
              <w:autoSpaceDN w:val="0"/>
              <w:adjustRightInd w:val="0"/>
              <w:spacing w:line="480" w:lineRule="exact"/>
              <w:ind w:firstLine="480" w:firstLineChars="200"/>
              <w:jc w:val="left"/>
              <w:rPr>
                <w:kern w:val="0"/>
                <w:sz w:val="24"/>
              </w:rPr>
            </w:pPr>
            <w:r>
              <w:rPr>
                <w:rFonts w:hAnsi="宋体"/>
                <w:kern w:val="0"/>
                <w:sz w:val="24"/>
              </w:rPr>
              <w:t>目前施工现场周边</w:t>
            </w:r>
            <w:r>
              <w:rPr>
                <w:kern w:val="0"/>
                <w:sz w:val="24"/>
              </w:rPr>
              <w:t>200m</w:t>
            </w:r>
            <w:r>
              <w:rPr>
                <w:rFonts w:hAnsi="宋体"/>
                <w:kern w:val="0"/>
                <w:sz w:val="24"/>
              </w:rPr>
              <w:t>范围内</w:t>
            </w:r>
            <w:r>
              <w:rPr>
                <w:rFonts w:hint="eastAsia" w:hAnsi="宋体"/>
                <w:kern w:val="0"/>
                <w:sz w:val="24"/>
              </w:rPr>
              <w:t>无</w:t>
            </w:r>
            <w:r>
              <w:rPr>
                <w:rFonts w:hAnsi="宋体"/>
                <w:kern w:val="0"/>
                <w:sz w:val="24"/>
              </w:rPr>
              <w:t>环境敏感目标。建议施工期</w:t>
            </w:r>
            <w:r>
              <w:rPr>
                <w:rFonts w:hint="eastAsia" w:hAnsi="宋体"/>
                <w:kern w:val="0"/>
                <w:sz w:val="24"/>
              </w:rPr>
              <w:t>应</w:t>
            </w:r>
            <w:r>
              <w:rPr>
                <w:rFonts w:hAnsi="宋体"/>
                <w:kern w:val="0"/>
                <w:sz w:val="24"/>
              </w:rPr>
              <w:t>加强施工机械的管理和维修、提高正常使用率、及时洒水等抑尘措施来减缓不利影响。在道路清扫保洁作业中定期洒水降尘并逐步提高道路机械化吸尘作业率；禁止车辆带泥（尘）上路行驶；运输渣土、砂石、水泥、垃圾等物质的车辆采取防扬尘和漏洒措施；控制区域内的裸露地面、土坡、树池、人行道、车行道；建筑施工场界砌筑高度不低于</w:t>
            </w:r>
            <w:r>
              <w:rPr>
                <w:kern w:val="0"/>
                <w:sz w:val="24"/>
              </w:rPr>
              <w:t>1.8m</w:t>
            </w:r>
            <w:r>
              <w:rPr>
                <w:rFonts w:hAnsi="宋体"/>
                <w:kern w:val="0"/>
                <w:sz w:val="24"/>
              </w:rPr>
              <w:t>的围档；采用桩基</w:t>
            </w:r>
            <w:bookmarkStart w:id="10" w:name="_GoBack"/>
            <w:bookmarkEnd w:id="10"/>
            <w:r>
              <w:rPr>
                <w:rFonts w:hAnsi="宋体"/>
                <w:kern w:val="0"/>
                <w:sz w:val="24"/>
              </w:rPr>
              <w:t>础的施工场地内实行全封闭和硬地坪施工；要求使用预拌混凝土，禁止施工现场搅拌混凝土；禁止在道路和行道上堆放、转运产生扬尘污染的建筑材料；禁止在施工现场高空抛撒弃渣和熔融沥青、油毡等。</w:t>
            </w:r>
            <w:r>
              <w:rPr>
                <w:kern w:val="0"/>
                <w:sz w:val="24"/>
              </w:rPr>
              <w:t xml:space="preserve"> </w:t>
            </w:r>
          </w:p>
          <w:p w14:paraId="0BA64D5C">
            <w:pPr>
              <w:adjustRightInd w:val="0"/>
              <w:snapToGrid w:val="0"/>
              <w:spacing w:line="440" w:lineRule="exact"/>
              <w:ind w:firstLine="480" w:firstLineChars="200"/>
              <w:jc w:val="left"/>
              <w:rPr>
                <w:rFonts w:hAnsi="宋体"/>
                <w:kern w:val="0"/>
                <w:sz w:val="24"/>
              </w:rPr>
            </w:pPr>
            <w:r>
              <w:rPr>
                <w:rFonts w:hAnsi="宋体"/>
                <w:kern w:val="0"/>
                <w:sz w:val="24"/>
              </w:rPr>
              <w:t>总之，施工期环境空气质量主要受施工粉尘影响，尽管随施工结束而消失，但该影响倍受关注，因此，施工中必须按相关规定和要求，完善和落实尘污染控制措施。严格按照《关于控制城市扬尘污染的指导意见》、《重庆市大气污染防治条例》等有关法规文件要求采取有效的抑尘措施，缩短施工期，尽量将施工扬尘对周边环境的影响降到最低。</w:t>
            </w:r>
          </w:p>
          <w:p w14:paraId="0A709E53">
            <w:pPr>
              <w:adjustRightInd w:val="0"/>
              <w:snapToGrid w:val="0"/>
              <w:spacing w:line="440" w:lineRule="exact"/>
              <w:jc w:val="left"/>
              <w:rPr>
                <w:b/>
                <w:spacing w:val="-10"/>
                <w:sz w:val="24"/>
              </w:rPr>
            </w:pPr>
            <w:r>
              <w:rPr>
                <w:b/>
                <w:spacing w:val="-10"/>
                <w:sz w:val="24"/>
              </w:rPr>
              <w:t>4.1.2 地表水环境</w:t>
            </w:r>
          </w:p>
          <w:p w14:paraId="29B280EC">
            <w:pPr>
              <w:adjustRightInd w:val="0"/>
              <w:snapToGrid w:val="0"/>
              <w:spacing w:line="480" w:lineRule="exact"/>
              <w:ind w:firstLine="480" w:firstLineChars="200"/>
              <w:jc w:val="left"/>
              <w:rPr>
                <w:sz w:val="24"/>
              </w:rPr>
            </w:pPr>
            <w:r>
              <w:rPr>
                <w:rFonts w:hAnsi="宋体"/>
                <w:sz w:val="24"/>
              </w:rPr>
              <w:t>在土建施工期间，拟建项目对地表水环境的影响，主要来自少量施工废水和大雨天气条件下地面开挖造成的水土流失和堆积物流失产生的悬浮物及施工期生活污水，若不加强管理，可能顺应地形进入市政污水管道</w:t>
            </w:r>
            <w:r>
              <w:rPr>
                <w:rFonts w:hint="eastAsia" w:hAnsi="宋体"/>
                <w:sz w:val="24"/>
              </w:rPr>
              <w:t>最终</w:t>
            </w:r>
            <w:r>
              <w:rPr>
                <w:rFonts w:hAnsi="宋体"/>
                <w:sz w:val="24"/>
              </w:rPr>
              <w:t>进入长江。</w:t>
            </w:r>
            <w:r>
              <w:rPr>
                <w:sz w:val="24"/>
              </w:rPr>
              <w:t xml:space="preserve"> </w:t>
            </w:r>
          </w:p>
          <w:p w14:paraId="2BBEAC72">
            <w:pPr>
              <w:autoSpaceDE w:val="0"/>
              <w:autoSpaceDN w:val="0"/>
              <w:adjustRightInd w:val="0"/>
              <w:spacing w:line="480" w:lineRule="exact"/>
              <w:ind w:firstLine="480" w:firstLineChars="200"/>
              <w:jc w:val="left"/>
              <w:rPr>
                <w:kern w:val="0"/>
                <w:sz w:val="24"/>
              </w:rPr>
            </w:pPr>
            <w:r>
              <w:rPr>
                <w:rFonts w:hAnsi="宋体"/>
                <w:kern w:val="0"/>
                <w:sz w:val="24"/>
              </w:rPr>
              <w:t>按照《中华人民共和国水污染防治法》的相关要求，施工方应采取以下措施：</w:t>
            </w:r>
            <w:r>
              <w:rPr>
                <w:kern w:val="0"/>
                <w:sz w:val="24"/>
              </w:rPr>
              <w:t xml:space="preserve"> </w:t>
            </w:r>
          </w:p>
          <w:p w14:paraId="6EB60A8D">
            <w:pPr>
              <w:autoSpaceDE w:val="0"/>
              <w:autoSpaceDN w:val="0"/>
              <w:adjustRightInd w:val="0"/>
              <w:spacing w:line="480" w:lineRule="exact"/>
              <w:ind w:firstLine="480" w:firstLineChars="200"/>
              <w:jc w:val="left"/>
              <w:rPr>
                <w:kern w:val="0"/>
                <w:sz w:val="24"/>
              </w:rPr>
            </w:pPr>
            <w:r>
              <w:rPr>
                <w:rFonts w:hAnsi="宋体"/>
                <w:kern w:val="0"/>
                <w:sz w:val="24"/>
              </w:rPr>
              <w:t>（</w:t>
            </w:r>
            <w:r>
              <w:rPr>
                <w:kern w:val="0"/>
                <w:sz w:val="24"/>
              </w:rPr>
              <w:t>1</w:t>
            </w:r>
            <w:r>
              <w:rPr>
                <w:rFonts w:hAnsi="宋体"/>
                <w:kern w:val="0"/>
                <w:sz w:val="24"/>
              </w:rPr>
              <w:t>）施工期产生的废水隔油沉砂后回用。</w:t>
            </w:r>
            <w:r>
              <w:rPr>
                <w:kern w:val="0"/>
                <w:sz w:val="24"/>
              </w:rPr>
              <w:t xml:space="preserve"> </w:t>
            </w:r>
          </w:p>
          <w:p w14:paraId="5533E2C3">
            <w:pPr>
              <w:autoSpaceDE w:val="0"/>
              <w:autoSpaceDN w:val="0"/>
              <w:adjustRightInd w:val="0"/>
              <w:spacing w:line="480" w:lineRule="exact"/>
              <w:ind w:firstLine="480" w:firstLineChars="200"/>
              <w:jc w:val="left"/>
              <w:rPr>
                <w:kern w:val="0"/>
                <w:sz w:val="24"/>
              </w:rPr>
            </w:pPr>
            <w:r>
              <w:rPr>
                <w:rFonts w:hAnsi="宋体"/>
                <w:kern w:val="0"/>
                <w:sz w:val="24"/>
              </w:rPr>
              <w:t>（</w:t>
            </w:r>
            <w:r>
              <w:rPr>
                <w:kern w:val="0"/>
                <w:sz w:val="24"/>
              </w:rPr>
              <w:t>2</w:t>
            </w:r>
            <w:r>
              <w:rPr>
                <w:rFonts w:hAnsi="宋体"/>
                <w:kern w:val="0"/>
                <w:sz w:val="24"/>
              </w:rPr>
              <w:t>）施工过程中</w:t>
            </w:r>
            <w:r>
              <w:rPr>
                <w:rFonts w:hint="eastAsia" w:hAnsi="宋体"/>
                <w:kern w:val="0"/>
                <w:sz w:val="24"/>
              </w:rPr>
              <w:t>建设</w:t>
            </w:r>
            <w:r>
              <w:rPr>
                <w:rFonts w:hAnsi="宋体"/>
                <w:kern w:val="0"/>
                <w:sz w:val="24"/>
              </w:rPr>
              <w:t>临时施工营地，生活废水</w:t>
            </w:r>
            <w:r>
              <w:rPr>
                <w:rFonts w:hint="eastAsia" w:hAnsi="宋体"/>
                <w:kern w:val="0"/>
                <w:sz w:val="24"/>
              </w:rPr>
              <w:t>通过建设化粪池处理后排入附近污水管网</w:t>
            </w:r>
            <w:r>
              <w:rPr>
                <w:rFonts w:hAnsi="宋体"/>
                <w:kern w:val="0"/>
                <w:sz w:val="24"/>
              </w:rPr>
              <w:t>。</w:t>
            </w:r>
            <w:r>
              <w:rPr>
                <w:kern w:val="0"/>
                <w:sz w:val="24"/>
              </w:rPr>
              <w:t xml:space="preserve"> </w:t>
            </w:r>
          </w:p>
          <w:p w14:paraId="7D649015">
            <w:pPr>
              <w:adjustRightInd w:val="0"/>
              <w:snapToGrid w:val="0"/>
              <w:spacing w:line="480" w:lineRule="exact"/>
              <w:ind w:firstLine="480" w:firstLineChars="200"/>
              <w:jc w:val="left"/>
              <w:rPr>
                <w:sz w:val="24"/>
              </w:rPr>
            </w:pPr>
            <w:r>
              <w:rPr>
                <w:rFonts w:hAnsi="宋体"/>
                <w:kern w:val="0"/>
                <w:sz w:val="24"/>
              </w:rPr>
              <w:t>（</w:t>
            </w:r>
            <w:r>
              <w:rPr>
                <w:kern w:val="0"/>
                <w:sz w:val="24"/>
              </w:rPr>
              <w:t>3</w:t>
            </w:r>
            <w:r>
              <w:rPr>
                <w:rFonts w:hAnsi="宋体"/>
                <w:kern w:val="0"/>
                <w:sz w:val="24"/>
              </w:rPr>
              <w:t>）施工弃方及时清运，废料严禁乱堆乱放，以防止被雨水冲刷，污染环境。</w:t>
            </w:r>
          </w:p>
          <w:p w14:paraId="42CAFBF8">
            <w:pPr>
              <w:adjustRightInd w:val="0"/>
              <w:snapToGrid w:val="0"/>
              <w:spacing w:line="440" w:lineRule="exact"/>
              <w:jc w:val="left"/>
              <w:rPr>
                <w:b/>
                <w:spacing w:val="-10"/>
                <w:sz w:val="24"/>
              </w:rPr>
            </w:pPr>
            <w:r>
              <w:rPr>
                <w:b/>
                <w:spacing w:val="-10"/>
                <w:sz w:val="24"/>
              </w:rPr>
              <w:t>4.1.3声环境</w:t>
            </w:r>
          </w:p>
          <w:p w14:paraId="4853FD08">
            <w:pPr>
              <w:autoSpaceDE w:val="0"/>
              <w:autoSpaceDN w:val="0"/>
              <w:adjustRightInd w:val="0"/>
              <w:spacing w:line="480" w:lineRule="exact"/>
              <w:ind w:firstLine="480" w:firstLineChars="200"/>
              <w:jc w:val="left"/>
              <w:rPr>
                <w:kern w:val="0"/>
                <w:sz w:val="24"/>
              </w:rPr>
            </w:pPr>
            <w:r>
              <w:rPr>
                <w:rFonts w:hAnsi="宋体"/>
                <w:kern w:val="0"/>
                <w:sz w:val="24"/>
              </w:rPr>
              <w:t>施工期噪声主要声源为动力设备、施工机械、车辆运输作业，主要产生于建筑拆除、土建、安装三个阶段，主要噪声源源强介于</w:t>
            </w:r>
            <w:r>
              <w:rPr>
                <w:kern w:val="0"/>
                <w:sz w:val="24"/>
              </w:rPr>
              <w:t>70~90dB</w:t>
            </w:r>
            <w:r>
              <w:rPr>
                <w:rFonts w:hAnsi="宋体"/>
                <w:kern w:val="0"/>
                <w:sz w:val="24"/>
              </w:rPr>
              <w:t>（</w:t>
            </w:r>
            <w:r>
              <w:rPr>
                <w:kern w:val="0"/>
                <w:sz w:val="24"/>
              </w:rPr>
              <w:t>A</w:t>
            </w:r>
            <w:r>
              <w:rPr>
                <w:rFonts w:hAnsi="宋体"/>
                <w:kern w:val="0"/>
                <w:sz w:val="24"/>
              </w:rPr>
              <w:t>）之间。施工的露天由于施工机械自身特点及施工场地的开放性，不易进行噪声防治，只能靠自然衰减降低对环境的影响。</w:t>
            </w:r>
            <w:r>
              <w:rPr>
                <w:kern w:val="0"/>
                <w:sz w:val="24"/>
              </w:rPr>
              <w:t xml:space="preserve"> </w:t>
            </w:r>
          </w:p>
          <w:p w14:paraId="7751140B">
            <w:pPr>
              <w:adjustRightInd w:val="0"/>
              <w:snapToGrid w:val="0"/>
              <w:spacing w:line="480" w:lineRule="exact"/>
              <w:ind w:firstLine="480" w:firstLineChars="200"/>
              <w:rPr>
                <w:rFonts w:hAnsi="宋体"/>
                <w:kern w:val="0"/>
                <w:sz w:val="24"/>
              </w:rPr>
            </w:pPr>
            <w:r>
              <w:rPr>
                <w:rFonts w:hAnsi="宋体"/>
                <w:kern w:val="0"/>
                <w:sz w:val="24"/>
              </w:rPr>
              <w:t>根据重庆市环境监测中心多年对各类建筑施工工地场界外</w:t>
            </w:r>
            <w:r>
              <w:rPr>
                <w:kern w:val="0"/>
                <w:sz w:val="24"/>
              </w:rPr>
              <w:t xml:space="preserve">5m </w:t>
            </w:r>
            <w:r>
              <w:rPr>
                <w:rFonts w:hAnsi="宋体"/>
                <w:kern w:val="0"/>
                <w:sz w:val="24"/>
              </w:rPr>
              <w:t>噪声监测结果统计，噪声声级峰值约</w:t>
            </w:r>
            <w:r>
              <w:rPr>
                <w:kern w:val="0"/>
                <w:sz w:val="24"/>
              </w:rPr>
              <w:t>87dB</w:t>
            </w:r>
            <w:r>
              <w:rPr>
                <w:rFonts w:hAnsi="宋体"/>
                <w:kern w:val="0"/>
                <w:sz w:val="24"/>
              </w:rPr>
              <w:t>（</w:t>
            </w:r>
            <w:r>
              <w:rPr>
                <w:kern w:val="0"/>
                <w:sz w:val="24"/>
              </w:rPr>
              <w:t>A</w:t>
            </w:r>
            <w:r>
              <w:rPr>
                <w:rFonts w:hAnsi="宋体"/>
                <w:kern w:val="0"/>
                <w:sz w:val="24"/>
              </w:rPr>
              <w:t>），一般情况声级</w:t>
            </w:r>
            <w:r>
              <w:rPr>
                <w:kern w:val="0"/>
                <w:sz w:val="24"/>
              </w:rPr>
              <w:t>78dB</w:t>
            </w:r>
            <w:r>
              <w:rPr>
                <w:rFonts w:hAnsi="宋体"/>
                <w:kern w:val="0"/>
                <w:sz w:val="24"/>
              </w:rPr>
              <w:t>（</w:t>
            </w:r>
            <w:r>
              <w:rPr>
                <w:kern w:val="0"/>
                <w:sz w:val="24"/>
              </w:rPr>
              <w:t>A</w:t>
            </w:r>
            <w:r>
              <w:rPr>
                <w:rFonts w:hAnsi="宋体"/>
                <w:kern w:val="0"/>
                <w:sz w:val="24"/>
              </w:rPr>
              <w:t>）。为了反映施工噪声对环境的影响，利用距离传播衰减模式预测分析施工机械噪声的污染范围、程度，预测时不考虑障碍物如场界围墙、树木等造成的噪声衰减量。距离传播衰减模式：</w:t>
            </w:r>
          </w:p>
          <w:p w14:paraId="55994549">
            <w:pPr>
              <w:adjustRightInd w:val="0"/>
              <w:snapToGrid w:val="0"/>
              <w:spacing w:line="480" w:lineRule="exact"/>
              <w:ind w:firstLine="480" w:firstLineChars="200"/>
              <w:rPr>
                <w:kern w:val="0"/>
                <w:sz w:val="24"/>
              </w:rPr>
            </w:pPr>
            <w:r>
              <w:rPr>
                <w:kern w:val="0"/>
                <w:sz w:val="24"/>
              </w:rPr>
              <w:drawing>
                <wp:anchor distT="0" distB="0" distL="114300" distR="114300" simplePos="0" relativeHeight="251739136" behindDoc="0" locked="0" layoutInCell="1" allowOverlap="1">
                  <wp:simplePos x="0" y="0"/>
                  <wp:positionH relativeFrom="column">
                    <wp:posOffset>1309370</wp:posOffset>
                  </wp:positionH>
                  <wp:positionV relativeFrom="paragraph">
                    <wp:posOffset>-1270</wp:posOffset>
                  </wp:positionV>
                  <wp:extent cx="1819275" cy="266700"/>
                  <wp:effectExtent l="19050" t="0" r="9525" b="0"/>
                  <wp:wrapNone/>
                  <wp:docPr id="423" name="图片 423" descr="166305938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3" descr="1663059386546"/>
                          <pic:cNvPicPr>
                            <a:picLocks noChangeAspect="1" noChangeArrowheads="1"/>
                          </pic:cNvPicPr>
                        </pic:nvPicPr>
                        <pic:blipFill>
                          <a:blip r:embed="rId26" cstate="print"/>
                          <a:srcRect/>
                          <a:stretch>
                            <a:fillRect/>
                          </a:stretch>
                        </pic:blipFill>
                        <pic:spPr>
                          <a:xfrm>
                            <a:off x="0" y="0"/>
                            <a:ext cx="1819275" cy="266700"/>
                          </a:xfrm>
                          <a:prstGeom prst="rect">
                            <a:avLst/>
                          </a:prstGeom>
                          <a:noFill/>
                          <a:ln w="9525">
                            <a:noFill/>
                            <a:miter lim="800000"/>
                            <a:headEnd/>
                            <a:tailEnd/>
                          </a:ln>
                        </pic:spPr>
                      </pic:pic>
                    </a:graphicData>
                  </a:graphic>
                </wp:anchor>
              </w:drawing>
            </w:r>
          </w:p>
          <w:p w14:paraId="14885A94">
            <w:pPr>
              <w:pStyle w:val="77"/>
              <w:spacing w:line="480" w:lineRule="exact"/>
              <w:ind w:firstLine="480" w:firstLineChars="200"/>
              <w:rPr>
                <w:rFonts w:ascii="Times New Roman" w:hAnsi="Times New Roman"/>
                <w:color w:val="auto"/>
              </w:rPr>
            </w:pPr>
            <w:r>
              <w:rPr>
                <w:rFonts w:ascii="Times New Roman"/>
                <w:color w:val="auto"/>
              </w:rPr>
              <w:t>式中：</w:t>
            </w:r>
            <w:r>
              <w:rPr>
                <w:rFonts w:ascii="Times New Roman" w:hAnsi="Times New Roman"/>
                <w:color w:val="auto"/>
              </w:rPr>
              <w:t>LP1——</w:t>
            </w:r>
            <w:r>
              <w:rPr>
                <w:rFonts w:ascii="Times New Roman"/>
                <w:color w:val="auto"/>
              </w:rPr>
              <w:t>受声点</w:t>
            </w:r>
            <w:r>
              <w:rPr>
                <w:rFonts w:ascii="Times New Roman" w:hAnsi="Times New Roman"/>
                <w:color w:val="auto"/>
              </w:rPr>
              <w:t xml:space="preserve">P1 </w:t>
            </w:r>
            <w:r>
              <w:rPr>
                <w:rFonts w:ascii="Times New Roman"/>
                <w:color w:val="auto"/>
              </w:rPr>
              <w:t>处的声级，</w:t>
            </w:r>
            <w:r>
              <w:rPr>
                <w:rFonts w:ascii="Times New Roman" w:hAnsi="Times New Roman"/>
                <w:color w:val="auto"/>
              </w:rPr>
              <w:t>dB</w:t>
            </w:r>
            <w:r>
              <w:rPr>
                <w:rFonts w:ascii="Times New Roman"/>
                <w:color w:val="auto"/>
              </w:rPr>
              <w:t>；</w:t>
            </w:r>
            <w:r>
              <w:rPr>
                <w:rFonts w:ascii="Times New Roman" w:hAnsi="Times New Roman"/>
                <w:color w:val="auto"/>
              </w:rPr>
              <w:t xml:space="preserve"> </w:t>
            </w:r>
          </w:p>
          <w:p w14:paraId="62609040">
            <w:pPr>
              <w:autoSpaceDE w:val="0"/>
              <w:autoSpaceDN w:val="0"/>
              <w:adjustRightInd w:val="0"/>
              <w:spacing w:line="480" w:lineRule="exact"/>
              <w:ind w:firstLine="480" w:firstLineChars="200"/>
              <w:jc w:val="left"/>
              <w:rPr>
                <w:kern w:val="0"/>
                <w:sz w:val="24"/>
              </w:rPr>
            </w:pPr>
            <w:r>
              <w:rPr>
                <w:rFonts w:hint="eastAsia"/>
                <w:kern w:val="0"/>
                <w:sz w:val="24"/>
              </w:rPr>
              <w:t xml:space="preserve">      </w:t>
            </w:r>
            <w:r>
              <w:rPr>
                <w:kern w:val="0"/>
                <w:sz w:val="24"/>
              </w:rPr>
              <w:t>LP2——</w:t>
            </w:r>
            <w:r>
              <w:rPr>
                <w:rFonts w:hAnsi="宋体"/>
                <w:kern w:val="0"/>
                <w:sz w:val="24"/>
              </w:rPr>
              <w:t>受声点</w:t>
            </w:r>
            <w:r>
              <w:rPr>
                <w:kern w:val="0"/>
                <w:sz w:val="24"/>
              </w:rPr>
              <w:t xml:space="preserve">P2 </w:t>
            </w:r>
            <w:r>
              <w:rPr>
                <w:rFonts w:hAnsi="宋体"/>
                <w:kern w:val="0"/>
                <w:sz w:val="24"/>
              </w:rPr>
              <w:t>处的声级，</w:t>
            </w:r>
            <w:r>
              <w:rPr>
                <w:kern w:val="0"/>
                <w:sz w:val="24"/>
              </w:rPr>
              <w:t>dB</w:t>
            </w:r>
            <w:r>
              <w:rPr>
                <w:rFonts w:hAnsi="宋体"/>
                <w:kern w:val="0"/>
                <w:sz w:val="24"/>
              </w:rPr>
              <w:t>；</w:t>
            </w:r>
            <w:r>
              <w:rPr>
                <w:kern w:val="0"/>
                <w:sz w:val="24"/>
              </w:rPr>
              <w:t xml:space="preserve"> </w:t>
            </w:r>
          </w:p>
          <w:p w14:paraId="61CAE89C">
            <w:pPr>
              <w:autoSpaceDE w:val="0"/>
              <w:autoSpaceDN w:val="0"/>
              <w:adjustRightInd w:val="0"/>
              <w:spacing w:line="480" w:lineRule="exact"/>
              <w:ind w:firstLine="480" w:firstLineChars="200"/>
              <w:jc w:val="left"/>
              <w:rPr>
                <w:kern w:val="0"/>
                <w:sz w:val="24"/>
              </w:rPr>
            </w:pPr>
            <w:r>
              <w:rPr>
                <w:rFonts w:hint="eastAsia"/>
                <w:kern w:val="0"/>
                <w:sz w:val="24"/>
              </w:rPr>
              <w:t xml:space="preserve">      </w:t>
            </w:r>
            <w:r>
              <w:rPr>
                <w:kern w:val="0"/>
                <w:sz w:val="24"/>
              </w:rPr>
              <w:t>r1——</w:t>
            </w:r>
            <w:r>
              <w:rPr>
                <w:rFonts w:hAnsi="宋体"/>
                <w:kern w:val="0"/>
                <w:sz w:val="24"/>
              </w:rPr>
              <w:t>声源至</w:t>
            </w:r>
            <w:r>
              <w:rPr>
                <w:kern w:val="0"/>
                <w:sz w:val="24"/>
              </w:rPr>
              <w:t xml:space="preserve">P1 </w:t>
            </w:r>
            <w:r>
              <w:rPr>
                <w:rFonts w:hAnsi="宋体"/>
                <w:kern w:val="0"/>
                <w:sz w:val="24"/>
              </w:rPr>
              <w:t>的距离，</w:t>
            </w:r>
            <w:r>
              <w:rPr>
                <w:kern w:val="0"/>
                <w:sz w:val="24"/>
              </w:rPr>
              <w:t>m</w:t>
            </w:r>
            <w:r>
              <w:rPr>
                <w:rFonts w:hAnsi="宋体"/>
                <w:kern w:val="0"/>
                <w:sz w:val="24"/>
              </w:rPr>
              <w:t>；</w:t>
            </w:r>
            <w:r>
              <w:rPr>
                <w:kern w:val="0"/>
                <w:sz w:val="24"/>
              </w:rPr>
              <w:t xml:space="preserve"> </w:t>
            </w:r>
          </w:p>
          <w:p w14:paraId="15A364BD">
            <w:pPr>
              <w:autoSpaceDE w:val="0"/>
              <w:autoSpaceDN w:val="0"/>
              <w:adjustRightInd w:val="0"/>
              <w:spacing w:line="480" w:lineRule="exact"/>
              <w:ind w:firstLine="480" w:firstLineChars="200"/>
              <w:jc w:val="left"/>
              <w:rPr>
                <w:kern w:val="0"/>
                <w:sz w:val="24"/>
              </w:rPr>
            </w:pPr>
            <w:r>
              <w:rPr>
                <w:rFonts w:hint="eastAsia"/>
                <w:kern w:val="0"/>
                <w:sz w:val="24"/>
              </w:rPr>
              <w:t xml:space="preserve">      </w:t>
            </w:r>
            <w:r>
              <w:rPr>
                <w:kern w:val="0"/>
                <w:sz w:val="24"/>
              </w:rPr>
              <w:t>r2——</w:t>
            </w:r>
            <w:r>
              <w:rPr>
                <w:rFonts w:hAnsi="宋体"/>
                <w:kern w:val="0"/>
                <w:sz w:val="24"/>
              </w:rPr>
              <w:t>声源至</w:t>
            </w:r>
            <w:r>
              <w:rPr>
                <w:kern w:val="0"/>
                <w:sz w:val="24"/>
              </w:rPr>
              <w:t xml:space="preserve">P2 </w:t>
            </w:r>
            <w:r>
              <w:rPr>
                <w:rFonts w:hAnsi="宋体"/>
                <w:kern w:val="0"/>
                <w:sz w:val="24"/>
              </w:rPr>
              <w:t>的距离，</w:t>
            </w:r>
            <w:r>
              <w:rPr>
                <w:kern w:val="0"/>
                <w:sz w:val="24"/>
              </w:rPr>
              <w:t>m</w:t>
            </w:r>
            <w:r>
              <w:rPr>
                <w:rFonts w:hAnsi="宋体"/>
                <w:kern w:val="0"/>
                <w:sz w:val="24"/>
              </w:rPr>
              <w:t>。</w:t>
            </w:r>
            <w:r>
              <w:rPr>
                <w:kern w:val="0"/>
                <w:sz w:val="24"/>
              </w:rPr>
              <w:t xml:space="preserve"> </w:t>
            </w:r>
          </w:p>
          <w:p w14:paraId="6CCAD928">
            <w:pPr>
              <w:adjustRightInd w:val="0"/>
              <w:snapToGrid w:val="0"/>
              <w:spacing w:line="480" w:lineRule="exact"/>
              <w:ind w:firstLine="480" w:firstLineChars="200"/>
              <w:rPr>
                <w:rFonts w:hAnsi="宋体"/>
                <w:kern w:val="0"/>
                <w:sz w:val="24"/>
              </w:rPr>
            </w:pPr>
            <w:r>
              <w:rPr>
                <w:rFonts w:hAnsi="宋体"/>
                <w:kern w:val="0"/>
                <w:sz w:val="24"/>
              </w:rPr>
              <w:t>利用距离传播衰减模式预测施工场区周围噪声等值线分布情况（不考虑任何隔声措施），结果见表</w:t>
            </w:r>
            <w:r>
              <w:rPr>
                <w:rFonts w:hint="eastAsia"/>
                <w:kern w:val="0"/>
                <w:sz w:val="24"/>
              </w:rPr>
              <w:t>4</w:t>
            </w:r>
            <w:r>
              <w:rPr>
                <w:kern w:val="0"/>
                <w:sz w:val="24"/>
              </w:rPr>
              <w:t>.1-1</w:t>
            </w:r>
            <w:r>
              <w:rPr>
                <w:rFonts w:hAnsi="宋体"/>
                <w:kern w:val="0"/>
                <w:sz w:val="24"/>
              </w:rPr>
              <w:t>。</w:t>
            </w:r>
          </w:p>
          <w:p w14:paraId="4E96E5C4">
            <w:pPr>
              <w:adjustRightInd w:val="0"/>
              <w:snapToGrid w:val="0"/>
              <w:spacing w:line="480" w:lineRule="exact"/>
              <w:jc w:val="center"/>
              <w:rPr>
                <w:b/>
                <w:kern w:val="0"/>
                <w:szCs w:val="21"/>
              </w:rPr>
            </w:pPr>
            <w:r>
              <w:rPr>
                <w:rFonts w:hAnsi="宋体"/>
                <w:b/>
                <w:kern w:val="0"/>
                <w:szCs w:val="21"/>
              </w:rPr>
              <w:t>表</w:t>
            </w:r>
            <w:r>
              <w:rPr>
                <w:b/>
                <w:kern w:val="0"/>
                <w:szCs w:val="21"/>
              </w:rPr>
              <w:t xml:space="preserve">4.1-1 </w:t>
            </w:r>
            <w:r>
              <w:rPr>
                <w:rFonts w:hAnsi="宋体"/>
                <w:b/>
                <w:kern w:val="0"/>
                <w:szCs w:val="21"/>
              </w:rPr>
              <w:t>施工噪声影响预测结果一览表</w:t>
            </w:r>
            <w:r>
              <w:rPr>
                <w:b/>
                <w:kern w:val="0"/>
                <w:szCs w:val="21"/>
              </w:rPr>
              <w:t xml:space="preserve">  dB</w:t>
            </w:r>
            <w:r>
              <w:rPr>
                <w:rFonts w:hAnsi="宋体"/>
                <w:b/>
                <w:kern w:val="0"/>
                <w:szCs w:val="21"/>
              </w:rPr>
              <w:t>（</w:t>
            </w:r>
            <w:r>
              <w:rPr>
                <w:b/>
                <w:kern w:val="0"/>
                <w:szCs w:val="21"/>
              </w:rPr>
              <w:t>A</w:t>
            </w:r>
            <w:r>
              <w:rPr>
                <w:rFonts w:hAnsi="宋体"/>
                <w:b/>
                <w:kern w:val="0"/>
                <w:szCs w:val="21"/>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654"/>
              <w:gridCol w:w="991"/>
              <w:gridCol w:w="991"/>
              <w:gridCol w:w="991"/>
              <w:gridCol w:w="992"/>
              <w:gridCol w:w="992"/>
              <w:gridCol w:w="992"/>
            </w:tblGrid>
            <w:tr w14:paraId="6F3F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65302666">
                  <w:pPr>
                    <w:adjustRightInd w:val="0"/>
                    <w:snapToGrid w:val="0"/>
                    <w:jc w:val="center"/>
                    <w:rPr>
                      <w:kern w:val="0"/>
                      <w:szCs w:val="21"/>
                    </w:rPr>
                  </w:pPr>
                  <w:r>
                    <w:rPr>
                      <w:rFonts w:hAnsi="宋体"/>
                      <w:kern w:val="0"/>
                      <w:szCs w:val="21"/>
                    </w:rPr>
                    <w:t>距离（</w:t>
                  </w:r>
                  <w:r>
                    <w:rPr>
                      <w:kern w:val="0"/>
                      <w:szCs w:val="21"/>
                    </w:rPr>
                    <w:t>m</w:t>
                  </w:r>
                  <w:r>
                    <w:rPr>
                      <w:rFonts w:hAnsi="宋体"/>
                      <w:kern w:val="0"/>
                      <w:szCs w:val="21"/>
                    </w:rPr>
                    <w:t>）</w:t>
                  </w:r>
                </w:p>
              </w:tc>
              <w:tc>
                <w:tcPr>
                  <w:tcW w:w="654" w:type="dxa"/>
                  <w:vAlign w:val="center"/>
                </w:tcPr>
                <w:p w14:paraId="3E914BB7">
                  <w:pPr>
                    <w:adjustRightInd w:val="0"/>
                    <w:snapToGrid w:val="0"/>
                    <w:jc w:val="center"/>
                    <w:rPr>
                      <w:kern w:val="0"/>
                      <w:szCs w:val="21"/>
                    </w:rPr>
                  </w:pPr>
                  <w:r>
                    <w:rPr>
                      <w:kern w:val="0"/>
                      <w:szCs w:val="21"/>
                    </w:rPr>
                    <w:t>5</w:t>
                  </w:r>
                </w:p>
              </w:tc>
              <w:tc>
                <w:tcPr>
                  <w:tcW w:w="991" w:type="dxa"/>
                  <w:vAlign w:val="center"/>
                </w:tcPr>
                <w:p w14:paraId="4C6497AA">
                  <w:pPr>
                    <w:adjustRightInd w:val="0"/>
                    <w:snapToGrid w:val="0"/>
                    <w:jc w:val="center"/>
                    <w:rPr>
                      <w:kern w:val="0"/>
                      <w:szCs w:val="21"/>
                    </w:rPr>
                  </w:pPr>
                  <w:r>
                    <w:rPr>
                      <w:kern w:val="0"/>
                      <w:szCs w:val="21"/>
                    </w:rPr>
                    <w:t>10</w:t>
                  </w:r>
                </w:p>
              </w:tc>
              <w:tc>
                <w:tcPr>
                  <w:tcW w:w="991" w:type="dxa"/>
                  <w:vAlign w:val="center"/>
                </w:tcPr>
                <w:p w14:paraId="02B064DA">
                  <w:pPr>
                    <w:adjustRightInd w:val="0"/>
                    <w:snapToGrid w:val="0"/>
                    <w:jc w:val="center"/>
                    <w:rPr>
                      <w:kern w:val="0"/>
                      <w:szCs w:val="21"/>
                    </w:rPr>
                  </w:pPr>
                  <w:r>
                    <w:rPr>
                      <w:kern w:val="0"/>
                      <w:szCs w:val="21"/>
                    </w:rPr>
                    <w:t>15</w:t>
                  </w:r>
                </w:p>
              </w:tc>
              <w:tc>
                <w:tcPr>
                  <w:tcW w:w="991" w:type="dxa"/>
                  <w:vAlign w:val="center"/>
                </w:tcPr>
                <w:p w14:paraId="61397C00">
                  <w:pPr>
                    <w:adjustRightInd w:val="0"/>
                    <w:snapToGrid w:val="0"/>
                    <w:jc w:val="center"/>
                    <w:rPr>
                      <w:kern w:val="0"/>
                      <w:szCs w:val="21"/>
                    </w:rPr>
                  </w:pPr>
                  <w:r>
                    <w:rPr>
                      <w:kern w:val="0"/>
                      <w:szCs w:val="21"/>
                    </w:rPr>
                    <w:t>20</w:t>
                  </w:r>
                </w:p>
              </w:tc>
              <w:tc>
                <w:tcPr>
                  <w:tcW w:w="992" w:type="dxa"/>
                  <w:vAlign w:val="center"/>
                </w:tcPr>
                <w:p w14:paraId="70645A6B">
                  <w:pPr>
                    <w:adjustRightInd w:val="0"/>
                    <w:snapToGrid w:val="0"/>
                    <w:jc w:val="center"/>
                    <w:rPr>
                      <w:kern w:val="0"/>
                      <w:szCs w:val="21"/>
                    </w:rPr>
                  </w:pPr>
                  <w:r>
                    <w:rPr>
                      <w:kern w:val="0"/>
                      <w:szCs w:val="21"/>
                    </w:rPr>
                    <w:t>30</w:t>
                  </w:r>
                </w:p>
              </w:tc>
              <w:tc>
                <w:tcPr>
                  <w:tcW w:w="992" w:type="dxa"/>
                  <w:vAlign w:val="center"/>
                </w:tcPr>
                <w:p w14:paraId="7F9F2746">
                  <w:pPr>
                    <w:adjustRightInd w:val="0"/>
                    <w:snapToGrid w:val="0"/>
                    <w:jc w:val="center"/>
                    <w:rPr>
                      <w:kern w:val="0"/>
                      <w:szCs w:val="21"/>
                    </w:rPr>
                  </w:pPr>
                  <w:r>
                    <w:rPr>
                      <w:kern w:val="0"/>
                      <w:szCs w:val="21"/>
                    </w:rPr>
                    <w:t>40</w:t>
                  </w:r>
                </w:p>
              </w:tc>
              <w:tc>
                <w:tcPr>
                  <w:tcW w:w="992" w:type="dxa"/>
                  <w:vAlign w:val="center"/>
                </w:tcPr>
                <w:p w14:paraId="1E496FC8">
                  <w:pPr>
                    <w:adjustRightInd w:val="0"/>
                    <w:snapToGrid w:val="0"/>
                    <w:jc w:val="center"/>
                    <w:rPr>
                      <w:kern w:val="0"/>
                      <w:szCs w:val="21"/>
                    </w:rPr>
                  </w:pPr>
                  <w:r>
                    <w:rPr>
                      <w:kern w:val="0"/>
                      <w:szCs w:val="21"/>
                    </w:rPr>
                    <w:t>50</w:t>
                  </w:r>
                </w:p>
              </w:tc>
            </w:tr>
            <w:tr w14:paraId="449C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0CBD71DF">
                  <w:pPr>
                    <w:adjustRightInd w:val="0"/>
                    <w:snapToGrid w:val="0"/>
                    <w:jc w:val="center"/>
                    <w:rPr>
                      <w:kern w:val="0"/>
                      <w:szCs w:val="21"/>
                    </w:rPr>
                  </w:pPr>
                  <w:r>
                    <w:rPr>
                      <w:rFonts w:hAnsi="宋体"/>
                      <w:kern w:val="0"/>
                      <w:szCs w:val="21"/>
                    </w:rPr>
                    <w:t>峰值</w:t>
                  </w:r>
                </w:p>
              </w:tc>
              <w:tc>
                <w:tcPr>
                  <w:tcW w:w="654" w:type="dxa"/>
                  <w:vAlign w:val="center"/>
                </w:tcPr>
                <w:p w14:paraId="50035A26">
                  <w:pPr>
                    <w:adjustRightInd w:val="0"/>
                    <w:snapToGrid w:val="0"/>
                    <w:jc w:val="center"/>
                    <w:rPr>
                      <w:kern w:val="0"/>
                      <w:szCs w:val="21"/>
                    </w:rPr>
                  </w:pPr>
                  <w:r>
                    <w:rPr>
                      <w:rFonts w:hint="eastAsia"/>
                      <w:kern w:val="0"/>
                      <w:szCs w:val="21"/>
                    </w:rPr>
                    <w:t>87</w:t>
                  </w:r>
                </w:p>
              </w:tc>
              <w:tc>
                <w:tcPr>
                  <w:tcW w:w="991" w:type="dxa"/>
                  <w:vAlign w:val="center"/>
                </w:tcPr>
                <w:p w14:paraId="702E5504">
                  <w:pPr>
                    <w:adjustRightInd w:val="0"/>
                    <w:snapToGrid w:val="0"/>
                    <w:jc w:val="center"/>
                    <w:rPr>
                      <w:kern w:val="0"/>
                      <w:szCs w:val="21"/>
                    </w:rPr>
                  </w:pPr>
                  <w:r>
                    <w:rPr>
                      <w:rFonts w:hint="eastAsia"/>
                      <w:kern w:val="0"/>
                      <w:szCs w:val="21"/>
                    </w:rPr>
                    <w:t>81</w:t>
                  </w:r>
                </w:p>
              </w:tc>
              <w:tc>
                <w:tcPr>
                  <w:tcW w:w="991" w:type="dxa"/>
                  <w:vAlign w:val="center"/>
                </w:tcPr>
                <w:p w14:paraId="13C0794E">
                  <w:pPr>
                    <w:adjustRightInd w:val="0"/>
                    <w:snapToGrid w:val="0"/>
                    <w:jc w:val="center"/>
                    <w:rPr>
                      <w:kern w:val="0"/>
                      <w:szCs w:val="21"/>
                    </w:rPr>
                  </w:pPr>
                  <w:r>
                    <w:rPr>
                      <w:rFonts w:hint="eastAsia"/>
                      <w:kern w:val="0"/>
                      <w:szCs w:val="21"/>
                    </w:rPr>
                    <w:t>77</w:t>
                  </w:r>
                </w:p>
              </w:tc>
              <w:tc>
                <w:tcPr>
                  <w:tcW w:w="991" w:type="dxa"/>
                  <w:vAlign w:val="center"/>
                </w:tcPr>
                <w:p w14:paraId="47F7EBA9">
                  <w:pPr>
                    <w:adjustRightInd w:val="0"/>
                    <w:snapToGrid w:val="0"/>
                    <w:jc w:val="center"/>
                    <w:rPr>
                      <w:kern w:val="0"/>
                      <w:szCs w:val="21"/>
                    </w:rPr>
                  </w:pPr>
                  <w:r>
                    <w:rPr>
                      <w:rFonts w:hint="eastAsia"/>
                      <w:kern w:val="0"/>
                      <w:szCs w:val="21"/>
                    </w:rPr>
                    <w:t>75</w:t>
                  </w:r>
                </w:p>
              </w:tc>
              <w:tc>
                <w:tcPr>
                  <w:tcW w:w="992" w:type="dxa"/>
                  <w:vAlign w:val="center"/>
                </w:tcPr>
                <w:p w14:paraId="5CA9D3B2">
                  <w:pPr>
                    <w:adjustRightInd w:val="0"/>
                    <w:snapToGrid w:val="0"/>
                    <w:jc w:val="center"/>
                    <w:rPr>
                      <w:kern w:val="0"/>
                      <w:szCs w:val="21"/>
                    </w:rPr>
                  </w:pPr>
                  <w:r>
                    <w:rPr>
                      <w:rFonts w:hint="eastAsia"/>
                      <w:kern w:val="0"/>
                      <w:szCs w:val="21"/>
                    </w:rPr>
                    <w:t>71</w:t>
                  </w:r>
                </w:p>
              </w:tc>
              <w:tc>
                <w:tcPr>
                  <w:tcW w:w="992" w:type="dxa"/>
                  <w:vAlign w:val="center"/>
                </w:tcPr>
                <w:p w14:paraId="00ED6B93">
                  <w:pPr>
                    <w:adjustRightInd w:val="0"/>
                    <w:snapToGrid w:val="0"/>
                    <w:jc w:val="center"/>
                    <w:rPr>
                      <w:kern w:val="0"/>
                      <w:szCs w:val="21"/>
                    </w:rPr>
                  </w:pPr>
                  <w:r>
                    <w:rPr>
                      <w:rFonts w:hint="eastAsia"/>
                      <w:kern w:val="0"/>
                      <w:szCs w:val="21"/>
                    </w:rPr>
                    <w:t>69</w:t>
                  </w:r>
                </w:p>
              </w:tc>
              <w:tc>
                <w:tcPr>
                  <w:tcW w:w="992" w:type="dxa"/>
                  <w:vAlign w:val="center"/>
                </w:tcPr>
                <w:p w14:paraId="52E6944D">
                  <w:pPr>
                    <w:adjustRightInd w:val="0"/>
                    <w:snapToGrid w:val="0"/>
                    <w:jc w:val="center"/>
                    <w:rPr>
                      <w:kern w:val="0"/>
                      <w:szCs w:val="21"/>
                    </w:rPr>
                  </w:pPr>
                  <w:r>
                    <w:rPr>
                      <w:rFonts w:hint="eastAsia"/>
                      <w:kern w:val="0"/>
                      <w:szCs w:val="21"/>
                    </w:rPr>
                    <w:t>67</w:t>
                  </w:r>
                </w:p>
              </w:tc>
            </w:tr>
            <w:tr w14:paraId="7E3B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466F59F1">
                  <w:pPr>
                    <w:adjustRightInd w:val="0"/>
                    <w:snapToGrid w:val="0"/>
                    <w:jc w:val="center"/>
                    <w:rPr>
                      <w:kern w:val="0"/>
                      <w:szCs w:val="21"/>
                    </w:rPr>
                  </w:pPr>
                  <w:r>
                    <w:rPr>
                      <w:rFonts w:hAnsi="宋体"/>
                      <w:kern w:val="0"/>
                      <w:szCs w:val="21"/>
                    </w:rPr>
                    <w:t>一般情况</w:t>
                  </w:r>
                </w:p>
              </w:tc>
              <w:tc>
                <w:tcPr>
                  <w:tcW w:w="654" w:type="dxa"/>
                  <w:vAlign w:val="center"/>
                </w:tcPr>
                <w:p w14:paraId="3FEE5339">
                  <w:pPr>
                    <w:adjustRightInd w:val="0"/>
                    <w:snapToGrid w:val="0"/>
                    <w:jc w:val="center"/>
                    <w:rPr>
                      <w:kern w:val="0"/>
                      <w:szCs w:val="21"/>
                    </w:rPr>
                  </w:pPr>
                  <w:r>
                    <w:rPr>
                      <w:rFonts w:hint="eastAsia"/>
                      <w:kern w:val="0"/>
                      <w:szCs w:val="21"/>
                    </w:rPr>
                    <w:t>78</w:t>
                  </w:r>
                </w:p>
              </w:tc>
              <w:tc>
                <w:tcPr>
                  <w:tcW w:w="991" w:type="dxa"/>
                  <w:vAlign w:val="center"/>
                </w:tcPr>
                <w:p w14:paraId="62DA715A">
                  <w:pPr>
                    <w:adjustRightInd w:val="0"/>
                    <w:snapToGrid w:val="0"/>
                    <w:jc w:val="center"/>
                    <w:rPr>
                      <w:kern w:val="0"/>
                      <w:szCs w:val="21"/>
                    </w:rPr>
                  </w:pPr>
                  <w:r>
                    <w:rPr>
                      <w:rFonts w:hint="eastAsia"/>
                      <w:kern w:val="0"/>
                      <w:szCs w:val="21"/>
                    </w:rPr>
                    <w:t>72</w:t>
                  </w:r>
                </w:p>
              </w:tc>
              <w:tc>
                <w:tcPr>
                  <w:tcW w:w="991" w:type="dxa"/>
                  <w:vAlign w:val="center"/>
                </w:tcPr>
                <w:p w14:paraId="36CC744C">
                  <w:pPr>
                    <w:adjustRightInd w:val="0"/>
                    <w:snapToGrid w:val="0"/>
                    <w:jc w:val="center"/>
                    <w:rPr>
                      <w:kern w:val="0"/>
                      <w:szCs w:val="21"/>
                    </w:rPr>
                  </w:pPr>
                  <w:r>
                    <w:rPr>
                      <w:rFonts w:hint="eastAsia"/>
                      <w:kern w:val="0"/>
                      <w:szCs w:val="21"/>
                    </w:rPr>
                    <w:t>68</w:t>
                  </w:r>
                </w:p>
              </w:tc>
              <w:tc>
                <w:tcPr>
                  <w:tcW w:w="991" w:type="dxa"/>
                  <w:vAlign w:val="center"/>
                </w:tcPr>
                <w:p w14:paraId="4D1A404B">
                  <w:pPr>
                    <w:adjustRightInd w:val="0"/>
                    <w:snapToGrid w:val="0"/>
                    <w:jc w:val="center"/>
                    <w:rPr>
                      <w:kern w:val="0"/>
                      <w:szCs w:val="21"/>
                    </w:rPr>
                  </w:pPr>
                  <w:r>
                    <w:rPr>
                      <w:rFonts w:hint="eastAsia"/>
                      <w:kern w:val="0"/>
                      <w:szCs w:val="21"/>
                    </w:rPr>
                    <w:t>66</w:t>
                  </w:r>
                </w:p>
              </w:tc>
              <w:tc>
                <w:tcPr>
                  <w:tcW w:w="992" w:type="dxa"/>
                  <w:vAlign w:val="center"/>
                </w:tcPr>
                <w:p w14:paraId="2946BEDF">
                  <w:pPr>
                    <w:adjustRightInd w:val="0"/>
                    <w:snapToGrid w:val="0"/>
                    <w:jc w:val="center"/>
                    <w:rPr>
                      <w:kern w:val="0"/>
                      <w:szCs w:val="21"/>
                    </w:rPr>
                  </w:pPr>
                  <w:r>
                    <w:rPr>
                      <w:rFonts w:hint="eastAsia"/>
                      <w:kern w:val="0"/>
                      <w:szCs w:val="21"/>
                    </w:rPr>
                    <w:t>62</w:t>
                  </w:r>
                </w:p>
              </w:tc>
              <w:tc>
                <w:tcPr>
                  <w:tcW w:w="992" w:type="dxa"/>
                  <w:vAlign w:val="center"/>
                </w:tcPr>
                <w:p w14:paraId="1DECC430">
                  <w:pPr>
                    <w:adjustRightInd w:val="0"/>
                    <w:snapToGrid w:val="0"/>
                    <w:jc w:val="center"/>
                    <w:rPr>
                      <w:kern w:val="0"/>
                      <w:szCs w:val="21"/>
                    </w:rPr>
                  </w:pPr>
                  <w:r>
                    <w:rPr>
                      <w:rFonts w:hint="eastAsia"/>
                      <w:kern w:val="0"/>
                      <w:szCs w:val="21"/>
                    </w:rPr>
                    <w:t>60</w:t>
                  </w:r>
                </w:p>
              </w:tc>
              <w:tc>
                <w:tcPr>
                  <w:tcW w:w="992" w:type="dxa"/>
                  <w:vAlign w:val="center"/>
                </w:tcPr>
                <w:p w14:paraId="46442DD6">
                  <w:pPr>
                    <w:adjustRightInd w:val="0"/>
                    <w:snapToGrid w:val="0"/>
                    <w:jc w:val="center"/>
                    <w:rPr>
                      <w:kern w:val="0"/>
                      <w:szCs w:val="21"/>
                    </w:rPr>
                  </w:pPr>
                  <w:r>
                    <w:rPr>
                      <w:rFonts w:hint="eastAsia"/>
                      <w:kern w:val="0"/>
                      <w:szCs w:val="21"/>
                    </w:rPr>
                    <w:t>58</w:t>
                  </w:r>
                </w:p>
              </w:tc>
            </w:tr>
            <w:tr w14:paraId="21DC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3C322667">
                  <w:pPr>
                    <w:adjustRightInd w:val="0"/>
                    <w:snapToGrid w:val="0"/>
                    <w:jc w:val="center"/>
                    <w:rPr>
                      <w:kern w:val="0"/>
                      <w:szCs w:val="21"/>
                    </w:rPr>
                  </w:pPr>
                  <w:r>
                    <w:rPr>
                      <w:rFonts w:hAnsi="宋体"/>
                      <w:kern w:val="0"/>
                      <w:szCs w:val="21"/>
                    </w:rPr>
                    <w:t>距离（</w:t>
                  </w:r>
                  <w:r>
                    <w:rPr>
                      <w:kern w:val="0"/>
                      <w:szCs w:val="21"/>
                    </w:rPr>
                    <w:t>m</w:t>
                  </w:r>
                  <w:r>
                    <w:rPr>
                      <w:rFonts w:hAnsi="宋体"/>
                      <w:kern w:val="0"/>
                      <w:szCs w:val="21"/>
                    </w:rPr>
                    <w:t>）</w:t>
                  </w:r>
                </w:p>
              </w:tc>
              <w:tc>
                <w:tcPr>
                  <w:tcW w:w="654" w:type="dxa"/>
                  <w:vAlign w:val="center"/>
                </w:tcPr>
                <w:p w14:paraId="0A9E04DD">
                  <w:pPr>
                    <w:adjustRightInd w:val="0"/>
                    <w:snapToGrid w:val="0"/>
                    <w:jc w:val="center"/>
                    <w:rPr>
                      <w:kern w:val="0"/>
                      <w:szCs w:val="21"/>
                    </w:rPr>
                  </w:pPr>
                  <w:r>
                    <w:rPr>
                      <w:rFonts w:hint="eastAsia"/>
                      <w:kern w:val="0"/>
                      <w:szCs w:val="21"/>
                    </w:rPr>
                    <w:t>60</w:t>
                  </w:r>
                </w:p>
              </w:tc>
              <w:tc>
                <w:tcPr>
                  <w:tcW w:w="991" w:type="dxa"/>
                  <w:vAlign w:val="center"/>
                </w:tcPr>
                <w:p w14:paraId="2F4062AA">
                  <w:pPr>
                    <w:adjustRightInd w:val="0"/>
                    <w:snapToGrid w:val="0"/>
                    <w:jc w:val="center"/>
                    <w:rPr>
                      <w:kern w:val="0"/>
                      <w:szCs w:val="21"/>
                    </w:rPr>
                  </w:pPr>
                  <w:r>
                    <w:rPr>
                      <w:rFonts w:hint="eastAsia"/>
                      <w:kern w:val="0"/>
                      <w:szCs w:val="21"/>
                    </w:rPr>
                    <w:t>80</w:t>
                  </w:r>
                </w:p>
              </w:tc>
              <w:tc>
                <w:tcPr>
                  <w:tcW w:w="991" w:type="dxa"/>
                  <w:vAlign w:val="center"/>
                </w:tcPr>
                <w:p w14:paraId="6011D38E">
                  <w:pPr>
                    <w:adjustRightInd w:val="0"/>
                    <w:snapToGrid w:val="0"/>
                    <w:jc w:val="center"/>
                    <w:rPr>
                      <w:kern w:val="0"/>
                      <w:szCs w:val="21"/>
                    </w:rPr>
                  </w:pPr>
                  <w:r>
                    <w:rPr>
                      <w:rFonts w:hint="eastAsia"/>
                      <w:kern w:val="0"/>
                      <w:szCs w:val="21"/>
                    </w:rPr>
                    <w:t>100</w:t>
                  </w:r>
                </w:p>
              </w:tc>
              <w:tc>
                <w:tcPr>
                  <w:tcW w:w="991" w:type="dxa"/>
                  <w:vAlign w:val="center"/>
                </w:tcPr>
                <w:p w14:paraId="24DBE222">
                  <w:pPr>
                    <w:adjustRightInd w:val="0"/>
                    <w:snapToGrid w:val="0"/>
                    <w:jc w:val="center"/>
                    <w:rPr>
                      <w:kern w:val="0"/>
                      <w:szCs w:val="21"/>
                    </w:rPr>
                  </w:pPr>
                  <w:r>
                    <w:rPr>
                      <w:rFonts w:hint="eastAsia"/>
                      <w:kern w:val="0"/>
                      <w:szCs w:val="21"/>
                    </w:rPr>
                    <w:t>110</w:t>
                  </w:r>
                </w:p>
              </w:tc>
              <w:tc>
                <w:tcPr>
                  <w:tcW w:w="992" w:type="dxa"/>
                  <w:vAlign w:val="center"/>
                </w:tcPr>
                <w:p w14:paraId="7DF770A2">
                  <w:pPr>
                    <w:adjustRightInd w:val="0"/>
                    <w:snapToGrid w:val="0"/>
                    <w:jc w:val="center"/>
                    <w:rPr>
                      <w:kern w:val="0"/>
                      <w:szCs w:val="21"/>
                    </w:rPr>
                  </w:pPr>
                  <w:r>
                    <w:rPr>
                      <w:rFonts w:hint="eastAsia"/>
                      <w:kern w:val="0"/>
                      <w:szCs w:val="21"/>
                    </w:rPr>
                    <w:t>130</w:t>
                  </w:r>
                </w:p>
              </w:tc>
              <w:tc>
                <w:tcPr>
                  <w:tcW w:w="992" w:type="dxa"/>
                  <w:vAlign w:val="center"/>
                </w:tcPr>
                <w:p w14:paraId="0A813425">
                  <w:pPr>
                    <w:adjustRightInd w:val="0"/>
                    <w:snapToGrid w:val="0"/>
                    <w:jc w:val="center"/>
                    <w:rPr>
                      <w:kern w:val="0"/>
                      <w:szCs w:val="21"/>
                    </w:rPr>
                  </w:pPr>
                  <w:r>
                    <w:rPr>
                      <w:rFonts w:hint="eastAsia"/>
                      <w:kern w:val="0"/>
                      <w:szCs w:val="21"/>
                    </w:rPr>
                    <w:t>150</w:t>
                  </w:r>
                </w:p>
              </w:tc>
              <w:tc>
                <w:tcPr>
                  <w:tcW w:w="992" w:type="dxa"/>
                  <w:vAlign w:val="center"/>
                </w:tcPr>
                <w:p w14:paraId="0469F687">
                  <w:pPr>
                    <w:adjustRightInd w:val="0"/>
                    <w:snapToGrid w:val="0"/>
                    <w:jc w:val="center"/>
                    <w:rPr>
                      <w:kern w:val="0"/>
                      <w:szCs w:val="21"/>
                    </w:rPr>
                  </w:pPr>
                  <w:r>
                    <w:rPr>
                      <w:rFonts w:hint="eastAsia"/>
                      <w:kern w:val="0"/>
                      <w:szCs w:val="21"/>
                    </w:rPr>
                    <w:t>200</w:t>
                  </w:r>
                </w:p>
              </w:tc>
            </w:tr>
            <w:tr w14:paraId="0F3C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0057B413">
                  <w:pPr>
                    <w:adjustRightInd w:val="0"/>
                    <w:snapToGrid w:val="0"/>
                    <w:jc w:val="center"/>
                    <w:rPr>
                      <w:kern w:val="0"/>
                      <w:szCs w:val="21"/>
                    </w:rPr>
                  </w:pPr>
                  <w:r>
                    <w:rPr>
                      <w:rFonts w:hAnsi="宋体"/>
                      <w:kern w:val="0"/>
                      <w:szCs w:val="21"/>
                    </w:rPr>
                    <w:t>峰值</w:t>
                  </w:r>
                </w:p>
              </w:tc>
              <w:tc>
                <w:tcPr>
                  <w:tcW w:w="654" w:type="dxa"/>
                  <w:vAlign w:val="center"/>
                </w:tcPr>
                <w:p w14:paraId="7EF13022">
                  <w:pPr>
                    <w:adjustRightInd w:val="0"/>
                    <w:snapToGrid w:val="0"/>
                    <w:jc w:val="center"/>
                    <w:rPr>
                      <w:kern w:val="0"/>
                      <w:szCs w:val="21"/>
                    </w:rPr>
                  </w:pPr>
                  <w:r>
                    <w:rPr>
                      <w:rFonts w:hint="eastAsia"/>
                      <w:kern w:val="0"/>
                      <w:szCs w:val="21"/>
                    </w:rPr>
                    <w:t>65</w:t>
                  </w:r>
                </w:p>
              </w:tc>
              <w:tc>
                <w:tcPr>
                  <w:tcW w:w="991" w:type="dxa"/>
                  <w:vAlign w:val="center"/>
                </w:tcPr>
                <w:p w14:paraId="4C47D2CC">
                  <w:pPr>
                    <w:adjustRightInd w:val="0"/>
                    <w:snapToGrid w:val="0"/>
                    <w:jc w:val="center"/>
                    <w:rPr>
                      <w:kern w:val="0"/>
                      <w:szCs w:val="21"/>
                    </w:rPr>
                  </w:pPr>
                  <w:r>
                    <w:rPr>
                      <w:rFonts w:hint="eastAsia"/>
                      <w:kern w:val="0"/>
                      <w:szCs w:val="21"/>
                    </w:rPr>
                    <w:t>63</w:t>
                  </w:r>
                </w:p>
              </w:tc>
              <w:tc>
                <w:tcPr>
                  <w:tcW w:w="991" w:type="dxa"/>
                  <w:vAlign w:val="center"/>
                </w:tcPr>
                <w:p w14:paraId="5B241981">
                  <w:pPr>
                    <w:adjustRightInd w:val="0"/>
                    <w:snapToGrid w:val="0"/>
                    <w:jc w:val="center"/>
                    <w:rPr>
                      <w:kern w:val="0"/>
                      <w:szCs w:val="21"/>
                    </w:rPr>
                  </w:pPr>
                  <w:r>
                    <w:rPr>
                      <w:rFonts w:hint="eastAsia"/>
                      <w:kern w:val="0"/>
                      <w:szCs w:val="21"/>
                    </w:rPr>
                    <w:t>61</w:t>
                  </w:r>
                </w:p>
              </w:tc>
              <w:tc>
                <w:tcPr>
                  <w:tcW w:w="991" w:type="dxa"/>
                  <w:vAlign w:val="center"/>
                </w:tcPr>
                <w:p w14:paraId="04CEF843">
                  <w:pPr>
                    <w:adjustRightInd w:val="0"/>
                    <w:snapToGrid w:val="0"/>
                    <w:jc w:val="center"/>
                    <w:rPr>
                      <w:kern w:val="0"/>
                      <w:szCs w:val="21"/>
                    </w:rPr>
                  </w:pPr>
                  <w:r>
                    <w:rPr>
                      <w:rFonts w:hint="eastAsia"/>
                      <w:kern w:val="0"/>
                      <w:szCs w:val="21"/>
                    </w:rPr>
                    <w:t>60</w:t>
                  </w:r>
                </w:p>
              </w:tc>
              <w:tc>
                <w:tcPr>
                  <w:tcW w:w="992" w:type="dxa"/>
                  <w:vAlign w:val="center"/>
                </w:tcPr>
                <w:p w14:paraId="38B28B6F">
                  <w:pPr>
                    <w:adjustRightInd w:val="0"/>
                    <w:snapToGrid w:val="0"/>
                    <w:jc w:val="center"/>
                    <w:rPr>
                      <w:kern w:val="0"/>
                      <w:szCs w:val="21"/>
                    </w:rPr>
                  </w:pPr>
                  <w:r>
                    <w:rPr>
                      <w:rFonts w:hint="eastAsia"/>
                      <w:kern w:val="0"/>
                      <w:szCs w:val="21"/>
                    </w:rPr>
                    <w:t>59</w:t>
                  </w:r>
                </w:p>
              </w:tc>
              <w:tc>
                <w:tcPr>
                  <w:tcW w:w="992" w:type="dxa"/>
                  <w:vAlign w:val="center"/>
                </w:tcPr>
                <w:p w14:paraId="60DA72AF">
                  <w:pPr>
                    <w:adjustRightInd w:val="0"/>
                    <w:snapToGrid w:val="0"/>
                    <w:jc w:val="center"/>
                    <w:rPr>
                      <w:kern w:val="0"/>
                      <w:szCs w:val="21"/>
                    </w:rPr>
                  </w:pPr>
                  <w:r>
                    <w:rPr>
                      <w:rFonts w:hint="eastAsia"/>
                      <w:kern w:val="0"/>
                      <w:szCs w:val="21"/>
                    </w:rPr>
                    <w:t>57</w:t>
                  </w:r>
                </w:p>
              </w:tc>
              <w:tc>
                <w:tcPr>
                  <w:tcW w:w="992" w:type="dxa"/>
                  <w:vAlign w:val="center"/>
                </w:tcPr>
                <w:p w14:paraId="16F773F7">
                  <w:pPr>
                    <w:adjustRightInd w:val="0"/>
                    <w:snapToGrid w:val="0"/>
                    <w:jc w:val="center"/>
                    <w:rPr>
                      <w:kern w:val="0"/>
                      <w:szCs w:val="21"/>
                    </w:rPr>
                  </w:pPr>
                  <w:r>
                    <w:rPr>
                      <w:rFonts w:hint="eastAsia"/>
                      <w:kern w:val="0"/>
                      <w:szCs w:val="21"/>
                    </w:rPr>
                    <w:t>55</w:t>
                  </w:r>
                </w:p>
              </w:tc>
            </w:tr>
            <w:tr w14:paraId="1287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19285690">
                  <w:pPr>
                    <w:adjustRightInd w:val="0"/>
                    <w:snapToGrid w:val="0"/>
                    <w:jc w:val="center"/>
                    <w:rPr>
                      <w:kern w:val="0"/>
                      <w:szCs w:val="21"/>
                    </w:rPr>
                  </w:pPr>
                  <w:r>
                    <w:rPr>
                      <w:rFonts w:hAnsi="宋体"/>
                      <w:kern w:val="0"/>
                      <w:szCs w:val="21"/>
                    </w:rPr>
                    <w:t>一般情况</w:t>
                  </w:r>
                </w:p>
              </w:tc>
              <w:tc>
                <w:tcPr>
                  <w:tcW w:w="654" w:type="dxa"/>
                  <w:vAlign w:val="center"/>
                </w:tcPr>
                <w:p w14:paraId="44CE76B8">
                  <w:pPr>
                    <w:adjustRightInd w:val="0"/>
                    <w:snapToGrid w:val="0"/>
                    <w:jc w:val="center"/>
                    <w:rPr>
                      <w:kern w:val="0"/>
                      <w:szCs w:val="21"/>
                    </w:rPr>
                  </w:pPr>
                  <w:r>
                    <w:rPr>
                      <w:rFonts w:hint="eastAsia"/>
                      <w:kern w:val="0"/>
                      <w:szCs w:val="21"/>
                    </w:rPr>
                    <w:t>56</w:t>
                  </w:r>
                </w:p>
              </w:tc>
              <w:tc>
                <w:tcPr>
                  <w:tcW w:w="991" w:type="dxa"/>
                  <w:vAlign w:val="center"/>
                </w:tcPr>
                <w:p w14:paraId="44542EA1">
                  <w:pPr>
                    <w:adjustRightInd w:val="0"/>
                    <w:snapToGrid w:val="0"/>
                    <w:jc w:val="center"/>
                    <w:rPr>
                      <w:kern w:val="0"/>
                      <w:szCs w:val="21"/>
                    </w:rPr>
                  </w:pPr>
                  <w:r>
                    <w:rPr>
                      <w:rFonts w:hint="eastAsia"/>
                      <w:kern w:val="0"/>
                      <w:szCs w:val="21"/>
                    </w:rPr>
                    <w:t>54</w:t>
                  </w:r>
                </w:p>
              </w:tc>
              <w:tc>
                <w:tcPr>
                  <w:tcW w:w="991" w:type="dxa"/>
                  <w:vAlign w:val="center"/>
                </w:tcPr>
                <w:p w14:paraId="53534678">
                  <w:pPr>
                    <w:adjustRightInd w:val="0"/>
                    <w:snapToGrid w:val="0"/>
                    <w:jc w:val="center"/>
                    <w:rPr>
                      <w:kern w:val="0"/>
                      <w:szCs w:val="21"/>
                    </w:rPr>
                  </w:pPr>
                  <w:r>
                    <w:rPr>
                      <w:rFonts w:hint="eastAsia"/>
                      <w:kern w:val="0"/>
                      <w:szCs w:val="21"/>
                    </w:rPr>
                    <w:t>52</w:t>
                  </w:r>
                </w:p>
              </w:tc>
              <w:tc>
                <w:tcPr>
                  <w:tcW w:w="991" w:type="dxa"/>
                  <w:vAlign w:val="center"/>
                </w:tcPr>
                <w:p w14:paraId="232DCBD6">
                  <w:pPr>
                    <w:adjustRightInd w:val="0"/>
                    <w:snapToGrid w:val="0"/>
                    <w:jc w:val="center"/>
                    <w:rPr>
                      <w:kern w:val="0"/>
                      <w:szCs w:val="21"/>
                    </w:rPr>
                  </w:pPr>
                  <w:r>
                    <w:rPr>
                      <w:rFonts w:hint="eastAsia"/>
                      <w:kern w:val="0"/>
                      <w:szCs w:val="21"/>
                    </w:rPr>
                    <w:t>51</w:t>
                  </w:r>
                </w:p>
              </w:tc>
              <w:tc>
                <w:tcPr>
                  <w:tcW w:w="992" w:type="dxa"/>
                  <w:vAlign w:val="center"/>
                </w:tcPr>
                <w:p w14:paraId="73E6620F">
                  <w:pPr>
                    <w:adjustRightInd w:val="0"/>
                    <w:snapToGrid w:val="0"/>
                    <w:jc w:val="center"/>
                    <w:rPr>
                      <w:kern w:val="0"/>
                      <w:szCs w:val="21"/>
                    </w:rPr>
                  </w:pPr>
                  <w:r>
                    <w:rPr>
                      <w:rFonts w:hint="eastAsia"/>
                      <w:kern w:val="0"/>
                      <w:szCs w:val="21"/>
                    </w:rPr>
                    <w:t>50</w:t>
                  </w:r>
                </w:p>
              </w:tc>
              <w:tc>
                <w:tcPr>
                  <w:tcW w:w="992" w:type="dxa"/>
                  <w:vAlign w:val="center"/>
                </w:tcPr>
                <w:p w14:paraId="2DA28083">
                  <w:pPr>
                    <w:adjustRightInd w:val="0"/>
                    <w:snapToGrid w:val="0"/>
                    <w:jc w:val="center"/>
                    <w:rPr>
                      <w:kern w:val="0"/>
                      <w:szCs w:val="21"/>
                    </w:rPr>
                  </w:pPr>
                  <w:r>
                    <w:rPr>
                      <w:rFonts w:hint="eastAsia"/>
                      <w:kern w:val="0"/>
                      <w:szCs w:val="21"/>
                    </w:rPr>
                    <w:t>48</w:t>
                  </w:r>
                </w:p>
              </w:tc>
              <w:tc>
                <w:tcPr>
                  <w:tcW w:w="992" w:type="dxa"/>
                  <w:vAlign w:val="center"/>
                </w:tcPr>
                <w:p w14:paraId="5B268B75">
                  <w:pPr>
                    <w:adjustRightInd w:val="0"/>
                    <w:snapToGrid w:val="0"/>
                    <w:jc w:val="center"/>
                    <w:rPr>
                      <w:kern w:val="0"/>
                      <w:szCs w:val="21"/>
                    </w:rPr>
                  </w:pPr>
                  <w:r>
                    <w:rPr>
                      <w:rFonts w:hint="eastAsia"/>
                      <w:kern w:val="0"/>
                      <w:szCs w:val="21"/>
                    </w:rPr>
                    <w:t>46</w:t>
                  </w:r>
                </w:p>
              </w:tc>
            </w:tr>
          </w:tbl>
          <w:p w14:paraId="3904C0B1">
            <w:pPr>
              <w:pStyle w:val="77"/>
              <w:spacing w:line="480" w:lineRule="exact"/>
              <w:ind w:firstLine="480" w:firstLineChars="200"/>
              <w:rPr>
                <w:rFonts w:ascii="Times New Roman" w:hAnsi="Times New Roman"/>
                <w:color w:val="auto"/>
              </w:rPr>
            </w:pPr>
            <w:r>
              <w:rPr>
                <w:rFonts w:ascii="Times New Roman"/>
                <w:color w:val="auto"/>
              </w:rPr>
              <w:t>按环境噪声</w:t>
            </w:r>
            <w:r>
              <w:rPr>
                <w:rFonts w:hint="eastAsia" w:ascii="Times New Roman" w:hAnsi="Times New Roman"/>
                <w:color w:val="auto"/>
              </w:rPr>
              <w:t>3</w:t>
            </w:r>
            <w:r>
              <w:rPr>
                <w:rFonts w:ascii="Times New Roman"/>
                <w:color w:val="auto"/>
              </w:rPr>
              <w:t>类标准衡量，一般情况下工地施工噪声昼间在</w:t>
            </w:r>
            <w:r>
              <w:rPr>
                <w:rFonts w:hint="eastAsia" w:ascii="Times New Roman" w:hAnsi="Times New Roman"/>
                <w:color w:val="auto"/>
              </w:rPr>
              <w:t>3</w:t>
            </w:r>
            <w:r>
              <w:rPr>
                <w:rFonts w:ascii="Times New Roman" w:hAnsi="Times New Roman"/>
                <w:color w:val="auto"/>
              </w:rPr>
              <w:t>0m</w:t>
            </w:r>
            <w:r>
              <w:rPr>
                <w:rFonts w:ascii="Times New Roman"/>
                <w:color w:val="auto"/>
              </w:rPr>
              <w:t>可达标、夜间在</w:t>
            </w:r>
            <w:r>
              <w:rPr>
                <w:rFonts w:hint="eastAsia" w:ascii="Times New Roman" w:hAnsi="Times New Roman"/>
                <w:color w:val="auto"/>
              </w:rPr>
              <w:t>8</w:t>
            </w:r>
            <w:r>
              <w:rPr>
                <w:rFonts w:ascii="Times New Roman" w:hAnsi="Times New Roman"/>
                <w:color w:val="auto"/>
              </w:rPr>
              <w:t>0m</w:t>
            </w:r>
            <w:r>
              <w:rPr>
                <w:rFonts w:ascii="Times New Roman"/>
                <w:color w:val="auto"/>
              </w:rPr>
              <w:t>可达标。考虑到施工场地噪声分布的不均匀性（即施工场地噪声峰值的出现），其可能影响的范围昼间可能达</w:t>
            </w:r>
            <w:r>
              <w:rPr>
                <w:rFonts w:ascii="Times New Roman" w:hAnsi="Times New Roman"/>
                <w:color w:val="auto"/>
              </w:rPr>
              <w:t>100m</w:t>
            </w:r>
            <w:r>
              <w:rPr>
                <w:rFonts w:ascii="Times New Roman"/>
                <w:color w:val="auto"/>
              </w:rPr>
              <w:t>以外，夜间更远。</w:t>
            </w:r>
            <w:r>
              <w:rPr>
                <w:rFonts w:ascii="Times New Roman" w:hAnsi="Times New Roman"/>
                <w:color w:val="auto"/>
              </w:rPr>
              <w:t xml:space="preserve"> </w:t>
            </w:r>
          </w:p>
          <w:p w14:paraId="4174D74A">
            <w:pPr>
              <w:autoSpaceDE w:val="0"/>
              <w:autoSpaceDN w:val="0"/>
              <w:adjustRightInd w:val="0"/>
              <w:spacing w:line="480" w:lineRule="exact"/>
              <w:ind w:firstLine="480" w:firstLineChars="200"/>
              <w:jc w:val="left"/>
              <w:rPr>
                <w:kern w:val="0"/>
                <w:sz w:val="24"/>
              </w:rPr>
            </w:pPr>
            <w:r>
              <w:rPr>
                <w:rFonts w:hAnsi="宋体"/>
                <w:kern w:val="0"/>
                <w:sz w:val="24"/>
              </w:rPr>
              <w:t>根据项目的情况，</w:t>
            </w:r>
            <w:r>
              <w:rPr>
                <w:rFonts w:hint="eastAsia" w:hAnsi="宋体"/>
                <w:kern w:val="0"/>
                <w:sz w:val="24"/>
              </w:rPr>
              <w:t>项目位于工业园区，</w:t>
            </w:r>
            <w:r>
              <w:rPr>
                <w:rFonts w:hAnsi="宋体"/>
                <w:kern w:val="0"/>
                <w:sz w:val="24"/>
              </w:rPr>
              <w:t>周边</w:t>
            </w:r>
            <w:r>
              <w:rPr>
                <w:kern w:val="0"/>
                <w:sz w:val="24"/>
              </w:rPr>
              <w:t>200m</w:t>
            </w:r>
            <w:r>
              <w:rPr>
                <w:rFonts w:hAnsi="宋体"/>
                <w:kern w:val="0"/>
                <w:sz w:val="24"/>
              </w:rPr>
              <w:t>范围内</w:t>
            </w:r>
            <w:r>
              <w:rPr>
                <w:rFonts w:hint="eastAsia" w:hAnsi="宋体"/>
                <w:kern w:val="0"/>
                <w:sz w:val="24"/>
              </w:rPr>
              <w:t>无</w:t>
            </w:r>
            <w:r>
              <w:rPr>
                <w:rFonts w:hAnsi="宋体"/>
                <w:kern w:val="0"/>
                <w:sz w:val="24"/>
              </w:rPr>
              <w:t>环境敏感目标，建设方</w:t>
            </w:r>
            <w:r>
              <w:rPr>
                <w:rFonts w:hint="eastAsia" w:hAnsi="宋体"/>
                <w:kern w:val="0"/>
                <w:sz w:val="24"/>
              </w:rPr>
              <w:t>同样</w:t>
            </w:r>
            <w:r>
              <w:rPr>
                <w:rFonts w:hAnsi="宋体"/>
                <w:kern w:val="0"/>
                <w:sz w:val="24"/>
              </w:rPr>
              <w:t>应注意施工期管理，严格进行噪声管理，合理组织施工来消除噪声对区域声环境的影响，控制施工噪声。</w:t>
            </w:r>
            <w:r>
              <w:rPr>
                <w:kern w:val="0"/>
                <w:sz w:val="24"/>
              </w:rPr>
              <w:t xml:space="preserve"> </w:t>
            </w:r>
          </w:p>
          <w:p w14:paraId="38434877">
            <w:pPr>
              <w:autoSpaceDE w:val="0"/>
              <w:autoSpaceDN w:val="0"/>
              <w:adjustRightInd w:val="0"/>
              <w:spacing w:line="480" w:lineRule="exact"/>
              <w:ind w:firstLine="480" w:firstLineChars="200"/>
              <w:jc w:val="left"/>
              <w:rPr>
                <w:kern w:val="0"/>
                <w:sz w:val="24"/>
              </w:rPr>
            </w:pPr>
            <w:r>
              <w:rPr>
                <w:rFonts w:hAnsi="宋体"/>
                <w:kern w:val="0"/>
                <w:sz w:val="24"/>
              </w:rPr>
              <w:t>评价要求施工期严格执行《重庆市环境噪声污染防治办法》（重庆市人民政府令第</w:t>
            </w:r>
            <w:r>
              <w:rPr>
                <w:kern w:val="0"/>
                <w:sz w:val="24"/>
              </w:rPr>
              <w:t>270</w:t>
            </w:r>
            <w:r>
              <w:rPr>
                <w:rFonts w:hAnsi="宋体"/>
                <w:kern w:val="0"/>
                <w:sz w:val="24"/>
              </w:rPr>
              <w:t>号）要求，施工方采取以下措施以减缓不利影响：</w:t>
            </w:r>
            <w:r>
              <w:rPr>
                <w:kern w:val="0"/>
                <w:sz w:val="24"/>
              </w:rPr>
              <w:t xml:space="preserve"> </w:t>
            </w:r>
          </w:p>
          <w:p w14:paraId="6FBF6201">
            <w:pPr>
              <w:autoSpaceDE w:val="0"/>
              <w:autoSpaceDN w:val="0"/>
              <w:adjustRightInd w:val="0"/>
              <w:spacing w:line="480" w:lineRule="exact"/>
              <w:ind w:firstLine="480" w:firstLineChars="200"/>
              <w:jc w:val="left"/>
              <w:rPr>
                <w:kern w:val="0"/>
                <w:sz w:val="24"/>
              </w:rPr>
            </w:pPr>
            <w:r>
              <w:rPr>
                <w:rFonts w:hAnsi="宋体"/>
                <w:kern w:val="0"/>
                <w:sz w:val="24"/>
              </w:rPr>
              <w:t>（</w:t>
            </w:r>
            <w:r>
              <w:rPr>
                <w:kern w:val="0"/>
                <w:sz w:val="24"/>
              </w:rPr>
              <w:t>1</w:t>
            </w:r>
            <w:r>
              <w:rPr>
                <w:rFonts w:hAnsi="宋体"/>
                <w:kern w:val="0"/>
                <w:sz w:val="24"/>
              </w:rPr>
              <w:t>）采用较先进、噪声较低的施工设备。</w:t>
            </w:r>
            <w:r>
              <w:rPr>
                <w:kern w:val="0"/>
                <w:sz w:val="24"/>
              </w:rPr>
              <w:t xml:space="preserve"> </w:t>
            </w:r>
          </w:p>
          <w:p w14:paraId="5F62CDB8">
            <w:pPr>
              <w:autoSpaceDE w:val="0"/>
              <w:autoSpaceDN w:val="0"/>
              <w:adjustRightInd w:val="0"/>
              <w:spacing w:line="480" w:lineRule="exact"/>
              <w:ind w:firstLine="480" w:firstLineChars="200"/>
              <w:jc w:val="left"/>
              <w:rPr>
                <w:kern w:val="0"/>
                <w:sz w:val="24"/>
              </w:rPr>
            </w:pPr>
            <w:r>
              <w:rPr>
                <w:rFonts w:hAnsi="宋体"/>
                <w:kern w:val="0"/>
                <w:sz w:val="24"/>
              </w:rPr>
              <w:t>（</w:t>
            </w:r>
            <w:r>
              <w:rPr>
                <w:kern w:val="0"/>
                <w:sz w:val="24"/>
              </w:rPr>
              <w:t>2</w:t>
            </w:r>
            <w:r>
              <w:rPr>
                <w:rFonts w:hAnsi="宋体"/>
                <w:kern w:val="0"/>
                <w:sz w:val="24"/>
              </w:rPr>
              <w:t>）禁止夜间施工。</w:t>
            </w:r>
            <w:r>
              <w:rPr>
                <w:kern w:val="0"/>
                <w:sz w:val="24"/>
              </w:rPr>
              <w:t xml:space="preserve"> </w:t>
            </w:r>
          </w:p>
          <w:p w14:paraId="434E35C1">
            <w:pPr>
              <w:autoSpaceDE w:val="0"/>
              <w:autoSpaceDN w:val="0"/>
              <w:adjustRightInd w:val="0"/>
              <w:spacing w:line="480" w:lineRule="exact"/>
              <w:ind w:firstLine="480" w:firstLineChars="200"/>
              <w:jc w:val="left"/>
              <w:rPr>
                <w:kern w:val="0"/>
                <w:sz w:val="24"/>
              </w:rPr>
            </w:pPr>
            <w:r>
              <w:rPr>
                <w:rFonts w:hAnsi="宋体"/>
                <w:kern w:val="0"/>
                <w:sz w:val="24"/>
              </w:rPr>
              <w:t>（</w:t>
            </w:r>
            <w:r>
              <w:rPr>
                <w:kern w:val="0"/>
                <w:sz w:val="24"/>
              </w:rPr>
              <w:t>3</w:t>
            </w:r>
            <w:r>
              <w:rPr>
                <w:rFonts w:hAnsi="宋体"/>
                <w:kern w:val="0"/>
                <w:sz w:val="24"/>
              </w:rPr>
              <w:t>）将有固定工作地点的施工机械尽量</w:t>
            </w:r>
            <w:r>
              <w:rPr>
                <w:rFonts w:hint="eastAsia" w:hAnsi="宋体"/>
                <w:kern w:val="0"/>
                <w:sz w:val="24"/>
              </w:rPr>
              <w:t>远离周边工业企业，</w:t>
            </w:r>
            <w:r>
              <w:rPr>
                <w:rFonts w:hAnsi="宋体"/>
                <w:kern w:val="0"/>
                <w:sz w:val="24"/>
              </w:rPr>
              <w:t>并采取适当的封闭和隔声措施；</w:t>
            </w:r>
            <w:r>
              <w:rPr>
                <w:kern w:val="0"/>
                <w:sz w:val="24"/>
              </w:rPr>
              <w:t xml:space="preserve"> </w:t>
            </w:r>
          </w:p>
          <w:p w14:paraId="224E5350">
            <w:pPr>
              <w:autoSpaceDE w:val="0"/>
              <w:autoSpaceDN w:val="0"/>
              <w:adjustRightInd w:val="0"/>
              <w:spacing w:line="480" w:lineRule="exact"/>
              <w:ind w:firstLine="480" w:firstLineChars="200"/>
              <w:jc w:val="left"/>
              <w:rPr>
                <w:kern w:val="0"/>
                <w:sz w:val="24"/>
              </w:rPr>
            </w:pPr>
            <w:r>
              <w:rPr>
                <w:rFonts w:hAnsi="宋体"/>
                <w:kern w:val="0"/>
                <w:sz w:val="24"/>
              </w:rPr>
              <w:t>（</w:t>
            </w:r>
            <w:r>
              <w:rPr>
                <w:kern w:val="0"/>
                <w:sz w:val="24"/>
              </w:rPr>
              <w:t>4</w:t>
            </w:r>
            <w:r>
              <w:rPr>
                <w:rFonts w:hAnsi="宋体"/>
                <w:kern w:val="0"/>
                <w:sz w:val="24"/>
              </w:rPr>
              <w:t>）采用商品混凝土和降低振捣棒的使用次数，减轻施工噪声对环境的影响；</w:t>
            </w:r>
          </w:p>
          <w:p w14:paraId="0A30716D">
            <w:pPr>
              <w:adjustRightInd w:val="0"/>
              <w:snapToGrid w:val="0"/>
              <w:spacing w:line="480" w:lineRule="exact"/>
              <w:ind w:firstLine="480" w:firstLineChars="200"/>
              <w:rPr>
                <w:kern w:val="0"/>
                <w:sz w:val="24"/>
              </w:rPr>
            </w:pPr>
            <w:r>
              <w:rPr>
                <w:rFonts w:hAnsi="宋体"/>
                <w:kern w:val="0"/>
                <w:sz w:val="24"/>
              </w:rPr>
              <w:t>这些降噪措施在施工技术上是成熟可行的，经济上也是合理的。</w:t>
            </w:r>
          </w:p>
          <w:p w14:paraId="24E1D003">
            <w:pPr>
              <w:adjustRightInd w:val="0"/>
              <w:snapToGrid w:val="0"/>
              <w:spacing w:line="480" w:lineRule="exact"/>
              <w:jc w:val="left"/>
              <w:rPr>
                <w:b/>
                <w:spacing w:val="-10"/>
                <w:sz w:val="24"/>
              </w:rPr>
            </w:pPr>
            <w:r>
              <w:rPr>
                <w:b/>
                <w:spacing w:val="-10"/>
                <w:sz w:val="24"/>
              </w:rPr>
              <w:t>4.1.4 固体废物</w:t>
            </w:r>
          </w:p>
          <w:p w14:paraId="55E91FEB">
            <w:pPr>
              <w:autoSpaceDE w:val="0"/>
              <w:autoSpaceDN w:val="0"/>
              <w:adjustRightInd w:val="0"/>
              <w:spacing w:line="480" w:lineRule="exact"/>
              <w:ind w:firstLine="480" w:firstLineChars="200"/>
              <w:jc w:val="left"/>
              <w:rPr>
                <w:kern w:val="0"/>
                <w:sz w:val="24"/>
              </w:rPr>
            </w:pPr>
            <w:r>
              <w:rPr>
                <w:rFonts w:hAnsi="宋体"/>
                <w:kern w:val="0"/>
                <w:sz w:val="24"/>
              </w:rPr>
              <w:t>本工程施工期产生的固体废物主要有施工弃土、建筑弃渣和施工人员生活垃圾，施工弃土、弃渣主要体现在水土流失。</w:t>
            </w:r>
            <w:r>
              <w:rPr>
                <w:kern w:val="0"/>
                <w:sz w:val="24"/>
              </w:rPr>
              <w:t xml:space="preserve"> </w:t>
            </w:r>
          </w:p>
          <w:p w14:paraId="2644867D">
            <w:pPr>
              <w:autoSpaceDE w:val="0"/>
              <w:autoSpaceDN w:val="0"/>
              <w:adjustRightInd w:val="0"/>
              <w:spacing w:line="480" w:lineRule="exact"/>
              <w:ind w:firstLine="480" w:firstLineChars="200"/>
              <w:jc w:val="left"/>
              <w:rPr>
                <w:kern w:val="0"/>
                <w:sz w:val="24"/>
              </w:rPr>
            </w:pPr>
            <w:r>
              <w:rPr>
                <w:rFonts w:hAnsi="宋体"/>
                <w:kern w:val="0"/>
                <w:sz w:val="24"/>
              </w:rPr>
              <w:t>施工期间一定量施工人员聚集在施工区，施工的平均人数为</w:t>
            </w:r>
            <w:r>
              <w:rPr>
                <w:kern w:val="0"/>
                <w:sz w:val="24"/>
              </w:rPr>
              <w:t>100</w:t>
            </w:r>
            <w:r>
              <w:rPr>
                <w:rFonts w:hAnsi="宋体"/>
                <w:kern w:val="0"/>
                <w:sz w:val="24"/>
              </w:rPr>
              <w:t>人，按人均日排放生活垃圾</w:t>
            </w:r>
            <w:r>
              <w:rPr>
                <w:kern w:val="0"/>
                <w:sz w:val="24"/>
              </w:rPr>
              <w:t>0.5kg</w:t>
            </w:r>
            <w:r>
              <w:rPr>
                <w:rFonts w:hAnsi="宋体"/>
                <w:kern w:val="0"/>
                <w:sz w:val="24"/>
              </w:rPr>
              <w:t>计，生活垃圾产生量约</w:t>
            </w:r>
            <w:r>
              <w:rPr>
                <w:kern w:val="0"/>
                <w:sz w:val="24"/>
              </w:rPr>
              <w:t>50kg/d</w:t>
            </w:r>
            <w:r>
              <w:rPr>
                <w:rFonts w:hAnsi="宋体"/>
                <w:kern w:val="0"/>
                <w:sz w:val="24"/>
              </w:rPr>
              <w:t>，生活垃圾主要包括废纸、食物残渣、破塑料袋等。生活垃圾如不按环境卫生要求及时处理。施工期将施工营地的生活垃圾定点堆放，定期将生活垃圾运至垃圾填埋场统一处理，经处理后施工期生活垃圾对环境的影响不大。</w:t>
            </w:r>
            <w:r>
              <w:rPr>
                <w:kern w:val="0"/>
                <w:sz w:val="24"/>
              </w:rPr>
              <w:t xml:space="preserve"> </w:t>
            </w:r>
          </w:p>
          <w:p w14:paraId="12F5E630">
            <w:pPr>
              <w:pStyle w:val="77"/>
              <w:spacing w:line="480" w:lineRule="exact"/>
              <w:ind w:firstLine="480" w:firstLineChars="200"/>
              <w:rPr>
                <w:rFonts w:ascii="Times New Roman"/>
                <w:color w:val="auto"/>
              </w:rPr>
            </w:pPr>
            <w:r>
              <w:rPr>
                <w:rFonts w:ascii="Times New Roman"/>
                <w:color w:val="auto"/>
              </w:rPr>
              <w:t>施工期固废来自挖填方、基础、结构施工建筑垃圾、施工人员日常生活产生的生活垃圾。建筑弃渣</w:t>
            </w:r>
            <w:r>
              <w:rPr>
                <w:rFonts w:hint="eastAsia" w:ascii="Times New Roman"/>
                <w:color w:val="auto"/>
              </w:rPr>
              <w:t>应</w:t>
            </w:r>
            <w:r>
              <w:rPr>
                <w:rFonts w:ascii="Times New Roman"/>
                <w:color w:val="auto"/>
              </w:rPr>
              <w:t>送</w:t>
            </w:r>
            <w:r>
              <w:rPr>
                <w:rFonts w:hint="eastAsia" w:ascii="Times New Roman"/>
                <w:color w:val="auto"/>
              </w:rPr>
              <w:t>至</w:t>
            </w:r>
            <w:r>
              <w:rPr>
                <w:rFonts w:ascii="Times New Roman"/>
                <w:color w:val="auto"/>
              </w:rPr>
              <w:t>指定合法的建筑垃圾消纳场处置，弃方</w:t>
            </w:r>
            <w:r>
              <w:rPr>
                <w:rFonts w:hint="eastAsia" w:ascii="Times New Roman"/>
                <w:color w:val="auto"/>
              </w:rPr>
              <w:t>应</w:t>
            </w:r>
            <w:r>
              <w:rPr>
                <w:rFonts w:ascii="Times New Roman"/>
                <w:color w:val="auto"/>
              </w:rPr>
              <w:t>送至指定合法的弃土场处置。为降低转运土石方、建筑弃渣对道路沿线的影响，环评要求运输渣土的车辆，必须采取篷布覆盖，装载的垃圾渣土高度不超过车辆车斗上沿，并采用密闭车斗密闭运输。在拟建场地出口处设置车轮冲洗设备及相应的排水和泥浆沉淀设施，将车身和车轮冲洗干净，避免污损正阳大道。建筑弃渣运输车辆应严格管理，必须运至合法审批的渣场进行填埋处置，严禁将建筑弃渣随意倾倒影响市容和污染环境。</w:t>
            </w:r>
          </w:p>
          <w:p w14:paraId="7A05EB31">
            <w:pPr>
              <w:pStyle w:val="77"/>
              <w:spacing w:line="480" w:lineRule="exact"/>
              <w:ind w:firstLine="480" w:firstLineChars="200"/>
              <w:rPr>
                <w:b/>
                <w:bCs/>
                <w:color w:val="auto"/>
              </w:rPr>
            </w:pPr>
            <w:r>
              <w:rPr>
                <w:color w:val="auto"/>
              </w:rPr>
              <w:t>在采取上述环保措施后，项目施工期弃渣不会对周围环境造成明显影响。</w:t>
            </w:r>
          </w:p>
        </w:tc>
      </w:tr>
    </w:tbl>
    <w:p w14:paraId="4A270657">
      <w:pPr>
        <w:adjustRightInd w:val="0"/>
        <w:snapToGrid w:val="0"/>
        <w:spacing w:line="360" w:lineRule="auto"/>
        <w:rPr>
          <w:rFonts w:ascii="宋体" w:cs="宋体"/>
          <w:b/>
          <w:kern w:val="0"/>
          <w:sz w:val="28"/>
          <w:szCs w:val="28"/>
        </w:rPr>
      </w:pPr>
    </w:p>
    <w:p w14:paraId="57743344">
      <w:pPr>
        <w:adjustRightInd w:val="0"/>
        <w:snapToGrid w:val="0"/>
        <w:spacing w:line="360" w:lineRule="auto"/>
        <w:rPr>
          <w:rFonts w:ascii="宋体" w:cs="宋体"/>
          <w:b/>
          <w:kern w:val="0"/>
          <w:sz w:val="28"/>
          <w:szCs w:val="28"/>
        </w:rPr>
        <w:sectPr>
          <w:pgSz w:w="11907" w:h="16840"/>
          <w:pgMar w:top="1418" w:right="1418" w:bottom="1418" w:left="1418" w:header="851" w:footer="851" w:gutter="0"/>
          <w:cols w:space="720" w:num="1"/>
          <w:docGrid w:linePitch="312" w:charSpace="0"/>
        </w:sect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13724"/>
      </w:tblGrid>
      <w:tr w14:paraId="4FDF2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44" w:type="dxa"/>
            <w:tcMar>
              <w:left w:w="28" w:type="dxa"/>
              <w:right w:w="28" w:type="dxa"/>
            </w:tcMar>
            <w:vAlign w:val="center"/>
          </w:tcPr>
          <w:p w14:paraId="2C49D2D2">
            <w:pPr>
              <w:adjustRightInd w:val="0"/>
              <w:snapToGrid w:val="0"/>
              <w:jc w:val="center"/>
              <w:rPr>
                <w:rFonts w:ascii="宋体" w:hAnsi="宋体" w:cs="宋体"/>
                <w:bCs/>
                <w:sz w:val="24"/>
              </w:rPr>
            </w:pPr>
            <w:r>
              <w:rPr>
                <w:rFonts w:hint="eastAsia" w:ascii="宋体" w:hAnsi="宋体" w:cs="宋体"/>
                <w:bCs/>
                <w:sz w:val="24"/>
              </w:rPr>
              <w:t>运营</w:t>
            </w:r>
          </w:p>
          <w:p w14:paraId="68A1B785">
            <w:pPr>
              <w:adjustRightInd w:val="0"/>
              <w:snapToGrid w:val="0"/>
              <w:jc w:val="center"/>
              <w:rPr>
                <w:rFonts w:ascii="宋体" w:hAnsi="宋体" w:cs="宋体"/>
                <w:bCs/>
                <w:sz w:val="24"/>
              </w:rPr>
            </w:pPr>
            <w:r>
              <w:rPr>
                <w:rFonts w:hint="eastAsia" w:ascii="宋体" w:hAnsi="宋体" w:cs="宋体"/>
                <w:bCs/>
                <w:sz w:val="24"/>
              </w:rPr>
              <w:t>期环</w:t>
            </w:r>
          </w:p>
          <w:p w14:paraId="0FC51679">
            <w:pPr>
              <w:adjustRightInd w:val="0"/>
              <w:snapToGrid w:val="0"/>
              <w:jc w:val="center"/>
              <w:rPr>
                <w:rFonts w:ascii="宋体" w:hAnsi="宋体" w:cs="宋体"/>
                <w:bCs/>
                <w:sz w:val="24"/>
              </w:rPr>
            </w:pPr>
            <w:r>
              <w:rPr>
                <w:rFonts w:hint="eastAsia" w:ascii="宋体" w:hAnsi="宋体" w:cs="宋体"/>
                <w:bCs/>
                <w:sz w:val="24"/>
              </w:rPr>
              <w:t>境影</w:t>
            </w:r>
          </w:p>
          <w:p w14:paraId="2720E009">
            <w:pPr>
              <w:adjustRightInd w:val="0"/>
              <w:snapToGrid w:val="0"/>
              <w:jc w:val="center"/>
              <w:rPr>
                <w:rFonts w:ascii="宋体" w:hAnsi="宋体" w:cs="宋体"/>
                <w:bCs/>
                <w:sz w:val="24"/>
              </w:rPr>
            </w:pPr>
            <w:r>
              <w:rPr>
                <w:rFonts w:hint="eastAsia" w:ascii="宋体" w:hAnsi="宋体" w:cs="宋体"/>
                <w:bCs/>
                <w:sz w:val="24"/>
              </w:rPr>
              <w:t>响和</w:t>
            </w:r>
          </w:p>
          <w:p w14:paraId="26822004">
            <w:pPr>
              <w:adjustRightInd w:val="0"/>
              <w:snapToGrid w:val="0"/>
              <w:jc w:val="center"/>
              <w:rPr>
                <w:rFonts w:ascii="宋体" w:hAnsi="宋体" w:cs="宋体"/>
                <w:bCs/>
                <w:sz w:val="24"/>
              </w:rPr>
            </w:pPr>
            <w:r>
              <w:rPr>
                <w:rFonts w:hint="eastAsia" w:ascii="宋体" w:hAnsi="宋体" w:cs="宋体"/>
                <w:bCs/>
                <w:sz w:val="24"/>
              </w:rPr>
              <w:t>保护</w:t>
            </w:r>
          </w:p>
          <w:p w14:paraId="4E0F9FB3">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14163" w:type="dxa"/>
            <w:vAlign w:val="center"/>
          </w:tcPr>
          <w:p w14:paraId="29501315">
            <w:pPr>
              <w:adjustRightInd w:val="0"/>
              <w:snapToGrid w:val="0"/>
              <w:spacing w:line="480" w:lineRule="exact"/>
              <w:rPr>
                <w:b/>
                <w:spacing w:val="-10"/>
                <w:sz w:val="24"/>
              </w:rPr>
            </w:pPr>
            <w:r>
              <w:rPr>
                <w:b/>
                <w:spacing w:val="-10"/>
                <w:sz w:val="24"/>
              </w:rPr>
              <w:t>4.2.1 地表水环境影响及保护措施</w:t>
            </w:r>
          </w:p>
          <w:p w14:paraId="3173F6E0">
            <w:pPr>
              <w:pStyle w:val="3"/>
              <w:adjustRightInd w:val="0"/>
              <w:snapToGrid w:val="0"/>
              <w:spacing w:before="0" w:after="0" w:line="480" w:lineRule="exact"/>
              <w:ind w:firstLine="520" w:firstLineChars="200"/>
              <w:rPr>
                <w:rFonts w:ascii="Times New Roman" w:hAnsi="Times New Roman"/>
                <w:snapToGrid w:val="0"/>
                <w:sz w:val="26"/>
                <w:szCs w:val="26"/>
              </w:rPr>
            </w:pPr>
            <w:r>
              <w:rPr>
                <w:rFonts w:ascii="Times New Roman" w:hAnsi="Times New Roman"/>
                <w:b w:val="0"/>
                <w:bCs w:val="0"/>
                <w:sz w:val="26"/>
                <w:szCs w:val="26"/>
              </w:rPr>
              <w:t>项目营运期废水主要为</w:t>
            </w:r>
            <w:r>
              <w:rPr>
                <w:rFonts w:hint="eastAsia" w:ascii="Times New Roman" w:hAnsi="Times New Roman"/>
                <w:b w:val="0"/>
                <w:bCs w:val="0"/>
                <w:sz w:val="26"/>
                <w:szCs w:val="26"/>
              </w:rPr>
              <w:t>职工生活污水、食堂废水和地面清洁废水</w:t>
            </w:r>
          </w:p>
          <w:p w14:paraId="0FACB8D0">
            <w:pPr>
              <w:pStyle w:val="20"/>
              <w:spacing w:before="0" w:beforeAutospacing="0" w:after="0" w:afterAutospacing="0" w:line="480" w:lineRule="exact"/>
              <w:ind w:firstLine="522" w:firstLineChars="200"/>
              <w:outlineLvl w:val="0"/>
              <w:rPr>
                <w:rFonts w:ascii="Times New Roman" w:hAnsi="Times New Roman"/>
                <w:b/>
                <w:snapToGrid w:val="0"/>
                <w:sz w:val="26"/>
                <w:szCs w:val="26"/>
              </w:rPr>
            </w:pPr>
            <w:r>
              <w:rPr>
                <w:rFonts w:ascii="Times New Roman" w:hAnsi="Times New Roman"/>
                <w:b/>
                <w:snapToGrid w:val="0"/>
                <w:sz w:val="26"/>
                <w:szCs w:val="26"/>
              </w:rPr>
              <w:t>4.2.</w:t>
            </w:r>
            <w:r>
              <w:rPr>
                <w:rFonts w:hint="eastAsia" w:ascii="Times New Roman" w:hAnsi="Times New Roman"/>
                <w:b/>
                <w:snapToGrid w:val="0"/>
                <w:sz w:val="26"/>
                <w:szCs w:val="26"/>
              </w:rPr>
              <w:t>1</w:t>
            </w:r>
            <w:r>
              <w:rPr>
                <w:rFonts w:ascii="Times New Roman" w:hAnsi="Times New Roman"/>
                <w:b/>
                <w:snapToGrid w:val="0"/>
                <w:sz w:val="26"/>
                <w:szCs w:val="26"/>
              </w:rPr>
              <w:t>.1废水污染物排放信息</w:t>
            </w:r>
          </w:p>
          <w:p w14:paraId="016555D3">
            <w:pPr>
              <w:pStyle w:val="20"/>
              <w:spacing w:before="0" w:beforeAutospacing="0" w:after="0" w:afterAutospacing="0" w:line="480" w:lineRule="exact"/>
              <w:ind w:firstLine="520" w:firstLineChars="200"/>
              <w:outlineLvl w:val="0"/>
              <w:rPr>
                <w:rFonts w:ascii="Times New Roman" w:hAnsi="Times New Roman"/>
                <w:kern w:val="2"/>
                <w:sz w:val="26"/>
                <w:szCs w:val="26"/>
              </w:rPr>
            </w:pPr>
            <w:r>
              <w:rPr>
                <w:rFonts w:ascii="Times New Roman" w:hAnsi="Times New Roman"/>
                <w:kern w:val="2"/>
                <w:sz w:val="26"/>
                <w:szCs w:val="26"/>
              </w:rPr>
              <w:t>废水污染物产排情况及治理设施信息见表4.2-</w:t>
            </w:r>
            <w:r>
              <w:rPr>
                <w:rFonts w:hint="eastAsia" w:ascii="Times New Roman" w:hAnsi="Times New Roman"/>
                <w:kern w:val="2"/>
                <w:sz w:val="26"/>
                <w:szCs w:val="26"/>
              </w:rPr>
              <w:t>1</w:t>
            </w:r>
            <w:r>
              <w:rPr>
                <w:rFonts w:ascii="Times New Roman" w:hAnsi="Times New Roman"/>
                <w:kern w:val="2"/>
                <w:sz w:val="26"/>
                <w:szCs w:val="26"/>
              </w:rPr>
              <w:t>。</w:t>
            </w:r>
          </w:p>
          <w:p w14:paraId="6C579741">
            <w:pPr>
              <w:pStyle w:val="20"/>
              <w:spacing w:before="0" w:beforeAutospacing="0" w:after="0" w:afterAutospacing="0" w:line="480" w:lineRule="exact"/>
              <w:jc w:val="center"/>
              <w:outlineLvl w:val="0"/>
              <w:rPr>
                <w:rFonts w:ascii="Times New Roman" w:hAnsi="Times New Roman"/>
                <w:b/>
                <w:kern w:val="2"/>
                <w:sz w:val="21"/>
                <w:szCs w:val="21"/>
              </w:rPr>
            </w:pPr>
            <w:r>
              <w:rPr>
                <w:rFonts w:ascii="Times New Roman"/>
                <w:b/>
                <w:kern w:val="2"/>
                <w:sz w:val="21"/>
                <w:szCs w:val="21"/>
              </w:rPr>
              <w:t>表</w:t>
            </w:r>
            <w:r>
              <w:rPr>
                <w:rFonts w:ascii="Times New Roman" w:hAnsi="Times New Roman"/>
                <w:b/>
                <w:kern w:val="2"/>
                <w:sz w:val="21"/>
                <w:szCs w:val="21"/>
              </w:rPr>
              <w:t>4.2-1</w:t>
            </w:r>
            <w:r>
              <w:rPr>
                <w:rFonts w:ascii="Times New Roman"/>
                <w:b/>
                <w:snapToGrid w:val="0"/>
                <w:sz w:val="21"/>
                <w:szCs w:val="21"/>
              </w:rPr>
              <w:t>废水污染物源强核算结果及相关参数一览表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183"/>
              <w:gridCol w:w="846"/>
              <w:gridCol w:w="1195"/>
              <w:gridCol w:w="1484"/>
              <w:gridCol w:w="668"/>
              <w:gridCol w:w="426"/>
              <w:gridCol w:w="846"/>
              <w:gridCol w:w="1195"/>
              <w:gridCol w:w="2235"/>
              <w:gridCol w:w="2138"/>
            </w:tblGrid>
            <w:tr w14:paraId="330E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14:paraId="70178CDD">
                  <w:pPr>
                    <w:jc w:val="center"/>
                    <w:rPr>
                      <w:szCs w:val="21"/>
                    </w:rPr>
                  </w:pPr>
                  <w:r>
                    <w:rPr>
                      <w:rFonts w:hAnsi="宋体"/>
                      <w:szCs w:val="21"/>
                    </w:rPr>
                    <w:t>废水类别</w:t>
                  </w:r>
                </w:p>
              </w:tc>
              <w:tc>
                <w:tcPr>
                  <w:tcW w:w="442" w:type="pct"/>
                  <w:vAlign w:val="center"/>
                </w:tcPr>
                <w:p w14:paraId="49A79032">
                  <w:pPr>
                    <w:jc w:val="center"/>
                    <w:rPr>
                      <w:szCs w:val="21"/>
                    </w:rPr>
                  </w:pPr>
                  <w:r>
                    <w:rPr>
                      <w:rFonts w:hAnsi="宋体"/>
                      <w:szCs w:val="21"/>
                    </w:rPr>
                    <w:t>污染物种类</w:t>
                  </w:r>
                </w:p>
              </w:tc>
              <w:tc>
                <w:tcPr>
                  <w:tcW w:w="305" w:type="pct"/>
                  <w:vAlign w:val="center"/>
                </w:tcPr>
                <w:p w14:paraId="6A45F021">
                  <w:pPr>
                    <w:jc w:val="center"/>
                    <w:rPr>
                      <w:szCs w:val="21"/>
                    </w:rPr>
                  </w:pPr>
                  <w:r>
                    <w:rPr>
                      <w:rFonts w:hAnsi="宋体"/>
                      <w:szCs w:val="21"/>
                    </w:rPr>
                    <w:t>污染物产生量</w:t>
                  </w:r>
                </w:p>
                <w:p w14:paraId="6261B3FB">
                  <w:pPr>
                    <w:pStyle w:val="7"/>
                    <w:spacing w:before="0" w:after="0" w:line="240" w:lineRule="auto"/>
                    <w:ind w:right="0"/>
                    <w:jc w:val="center"/>
                    <w:rPr>
                      <w:sz w:val="21"/>
                      <w:szCs w:val="21"/>
                    </w:rPr>
                  </w:pPr>
                  <w:r>
                    <w:rPr>
                      <w:rFonts w:hAnsi="宋体"/>
                      <w:sz w:val="21"/>
                      <w:szCs w:val="21"/>
                    </w:rPr>
                    <w:t>（</w:t>
                  </w:r>
                  <w:r>
                    <w:rPr>
                      <w:sz w:val="21"/>
                      <w:szCs w:val="21"/>
                    </w:rPr>
                    <w:t>t/a</w:t>
                  </w:r>
                  <w:r>
                    <w:rPr>
                      <w:rFonts w:hAnsi="宋体"/>
                      <w:sz w:val="21"/>
                      <w:szCs w:val="21"/>
                    </w:rPr>
                    <w:t>）</w:t>
                  </w:r>
                </w:p>
              </w:tc>
              <w:tc>
                <w:tcPr>
                  <w:tcW w:w="444" w:type="pct"/>
                  <w:vAlign w:val="center"/>
                </w:tcPr>
                <w:p w14:paraId="0FAD0915">
                  <w:pPr>
                    <w:jc w:val="center"/>
                    <w:rPr>
                      <w:szCs w:val="21"/>
                    </w:rPr>
                  </w:pPr>
                  <w:r>
                    <w:rPr>
                      <w:rFonts w:hAnsi="宋体"/>
                      <w:szCs w:val="21"/>
                    </w:rPr>
                    <w:t>污染物产生浓度（</w:t>
                  </w:r>
                  <w:r>
                    <w:rPr>
                      <w:szCs w:val="21"/>
                    </w:rPr>
                    <w:t>mg/m</w:t>
                  </w:r>
                  <w:r>
                    <w:rPr>
                      <w:szCs w:val="21"/>
                      <w:vertAlign w:val="superscript"/>
                    </w:rPr>
                    <w:t>3</w:t>
                  </w:r>
                  <w:r>
                    <w:rPr>
                      <w:rFonts w:hAnsi="宋体"/>
                      <w:szCs w:val="21"/>
                    </w:rPr>
                    <w:t>）</w:t>
                  </w:r>
                </w:p>
              </w:tc>
              <w:tc>
                <w:tcPr>
                  <w:tcW w:w="555" w:type="pct"/>
                  <w:vAlign w:val="center"/>
                </w:tcPr>
                <w:p w14:paraId="3E8C9B5C">
                  <w:pPr>
                    <w:jc w:val="center"/>
                    <w:rPr>
                      <w:szCs w:val="21"/>
                    </w:rPr>
                  </w:pPr>
                  <w:r>
                    <w:rPr>
                      <w:rFonts w:hAnsi="宋体"/>
                      <w:szCs w:val="21"/>
                    </w:rPr>
                    <w:t>治理措施</w:t>
                  </w:r>
                </w:p>
              </w:tc>
              <w:tc>
                <w:tcPr>
                  <w:tcW w:w="251" w:type="pct"/>
                  <w:vAlign w:val="center"/>
                </w:tcPr>
                <w:p w14:paraId="06D0E729">
                  <w:pPr>
                    <w:jc w:val="center"/>
                    <w:rPr>
                      <w:szCs w:val="21"/>
                    </w:rPr>
                  </w:pPr>
                  <w:r>
                    <w:rPr>
                      <w:rFonts w:hAnsi="宋体"/>
                      <w:szCs w:val="21"/>
                    </w:rPr>
                    <w:t>是否为可行技术</w:t>
                  </w:r>
                </w:p>
              </w:tc>
              <w:tc>
                <w:tcPr>
                  <w:tcW w:w="153" w:type="pct"/>
                  <w:vAlign w:val="center"/>
                </w:tcPr>
                <w:p w14:paraId="5A589E76">
                  <w:pPr>
                    <w:jc w:val="center"/>
                    <w:rPr>
                      <w:szCs w:val="21"/>
                    </w:rPr>
                  </w:pPr>
                  <w:r>
                    <w:rPr>
                      <w:rFonts w:hAnsi="宋体"/>
                      <w:szCs w:val="21"/>
                    </w:rPr>
                    <w:t>排放形式</w:t>
                  </w:r>
                </w:p>
              </w:tc>
              <w:tc>
                <w:tcPr>
                  <w:tcW w:w="312" w:type="pct"/>
                  <w:vAlign w:val="center"/>
                </w:tcPr>
                <w:p w14:paraId="00F0213F">
                  <w:pPr>
                    <w:jc w:val="center"/>
                    <w:rPr>
                      <w:szCs w:val="21"/>
                    </w:rPr>
                  </w:pPr>
                  <w:r>
                    <w:rPr>
                      <w:rFonts w:hAnsi="宋体"/>
                      <w:szCs w:val="21"/>
                    </w:rPr>
                    <w:t>排放量（</w:t>
                  </w:r>
                  <w:r>
                    <w:rPr>
                      <w:szCs w:val="21"/>
                    </w:rPr>
                    <w:t>t/a</w:t>
                  </w:r>
                  <w:r>
                    <w:rPr>
                      <w:rFonts w:hAnsi="宋体"/>
                      <w:szCs w:val="21"/>
                    </w:rPr>
                    <w:t>）</w:t>
                  </w:r>
                </w:p>
              </w:tc>
              <w:tc>
                <w:tcPr>
                  <w:tcW w:w="446" w:type="pct"/>
                  <w:vAlign w:val="center"/>
                </w:tcPr>
                <w:p w14:paraId="6733F42C">
                  <w:pPr>
                    <w:jc w:val="center"/>
                    <w:rPr>
                      <w:szCs w:val="21"/>
                    </w:rPr>
                  </w:pPr>
                  <w:r>
                    <w:rPr>
                      <w:rFonts w:hAnsi="宋体"/>
                      <w:szCs w:val="21"/>
                    </w:rPr>
                    <w:t>排放浓度（</w:t>
                  </w:r>
                  <w:r>
                    <w:rPr>
                      <w:szCs w:val="21"/>
                    </w:rPr>
                    <w:t>mg/m</w:t>
                  </w:r>
                  <w:r>
                    <w:rPr>
                      <w:szCs w:val="21"/>
                      <w:vertAlign w:val="superscript"/>
                    </w:rPr>
                    <w:t>3</w:t>
                  </w:r>
                  <w:r>
                    <w:rPr>
                      <w:rFonts w:hAnsi="宋体"/>
                      <w:szCs w:val="21"/>
                    </w:rPr>
                    <w:t>）</w:t>
                  </w:r>
                </w:p>
              </w:tc>
              <w:tc>
                <w:tcPr>
                  <w:tcW w:w="831" w:type="pct"/>
                  <w:vAlign w:val="center"/>
                </w:tcPr>
                <w:p w14:paraId="4B3ECA9F">
                  <w:pPr>
                    <w:jc w:val="center"/>
                    <w:rPr>
                      <w:szCs w:val="21"/>
                    </w:rPr>
                  </w:pPr>
                  <w:r>
                    <w:rPr>
                      <w:rFonts w:hAnsi="宋体"/>
                      <w:szCs w:val="21"/>
                    </w:rPr>
                    <w:t>排放口基本情况</w:t>
                  </w:r>
                </w:p>
              </w:tc>
              <w:tc>
                <w:tcPr>
                  <w:tcW w:w="795" w:type="pct"/>
                  <w:vAlign w:val="center"/>
                </w:tcPr>
                <w:p w14:paraId="661DC5B7">
                  <w:pPr>
                    <w:jc w:val="center"/>
                    <w:rPr>
                      <w:szCs w:val="21"/>
                    </w:rPr>
                  </w:pPr>
                  <w:r>
                    <w:rPr>
                      <w:rFonts w:hAnsi="宋体"/>
                      <w:szCs w:val="21"/>
                    </w:rPr>
                    <w:t>排放标准</w:t>
                  </w:r>
                </w:p>
              </w:tc>
            </w:tr>
            <w:tr w14:paraId="66D1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65" w:type="pct"/>
                  <w:vMerge w:val="restart"/>
                  <w:vAlign w:val="center"/>
                </w:tcPr>
                <w:p w14:paraId="74A39430">
                  <w:pPr>
                    <w:jc w:val="center"/>
                    <w:rPr>
                      <w:szCs w:val="21"/>
                    </w:rPr>
                  </w:pPr>
                  <w:r>
                    <w:rPr>
                      <w:rFonts w:hint="eastAsia" w:hAnsi="宋体"/>
                      <w:szCs w:val="21"/>
                    </w:rPr>
                    <w:t>综合废水</w:t>
                  </w:r>
                  <w:r>
                    <w:rPr>
                      <w:rFonts w:hint="eastAsia"/>
                      <w:szCs w:val="21"/>
                    </w:rPr>
                    <w:t>94.032</w:t>
                  </w:r>
                  <w:r>
                    <w:rPr>
                      <w:szCs w:val="21"/>
                    </w:rPr>
                    <w:t>m</w:t>
                  </w:r>
                  <w:r>
                    <w:rPr>
                      <w:szCs w:val="21"/>
                      <w:vertAlign w:val="superscript"/>
                    </w:rPr>
                    <w:t>3</w:t>
                  </w:r>
                  <w:r>
                    <w:rPr>
                      <w:szCs w:val="21"/>
                    </w:rPr>
                    <w:t>/d</w:t>
                  </w:r>
                </w:p>
                <w:p w14:paraId="2861A083">
                  <w:pPr>
                    <w:jc w:val="center"/>
                    <w:rPr>
                      <w:szCs w:val="21"/>
                    </w:rPr>
                  </w:pPr>
                  <w:r>
                    <w:rPr>
                      <w:rFonts w:hint="eastAsia"/>
                      <w:szCs w:val="21"/>
                    </w:rPr>
                    <w:t>23601.6</w:t>
                  </w:r>
                  <w:r>
                    <w:rPr>
                      <w:szCs w:val="21"/>
                    </w:rPr>
                    <w:t>m</w:t>
                  </w:r>
                  <w:r>
                    <w:rPr>
                      <w:szCs w:val="21"/>
                      <w:vertAlign w:val="superscript"/>
                    </w:rPr>
                    <w:t>3</w:t>
                  </w:r>
                  <w:r>
                    <w:rPr>
                      <w:szCs w:val="21"/>
                    </w:rPr>
                    <w:t>/a</w:t>
                  </w:r>
                </w:p>
              </w:tc>
              <w:tc>
                <w:tcPr>
                  <w:tcW w:w="442" w:type="pct"/>
                  <w:vAlign w:val="center"/>
                </w:tcPr>
                <w:p w14:paraId="0321DDE6">
                  <w:pPr>
                    <w:jc w:val="center"/>
                    <w:rPr>
                      <w:szCs w:val="21"/>
                    </w:rPr>
                  </w:pPr>
                  <w:r>
                    <w:rPr>
                      <w:szCs w:val="21"/>
                    </w:rPr>
                    <w:t>pH</w:t>
                  </w:r>
                </w:p>
              </w:tc>
              <w:tc>
                <w:tcPr>
                  <w:tcW w:w="305" w:type="pct"/>
                  <w:vAlign w:val="center"/>
                </w:tcPr>
                <w:p w14:paraId="7C35057D">
                  <w:pPr>
                    <w:jc w:val="center"/>
                    <w:rPr>
                      <w:szCs w:val="21"/>
                    </w:rPr>
                  </w:pPr>
                  <w:r>
                    <w:rPr>
                      <w:szCs w:val="21"/>
                    </w:rPr>
                    <w:t>/</w:t>
                  </w:r>
                </w:p>
              </w:tc>
              <w:tc>
                <w:tcPr>
                  <w:tcW w:w="444" w:type="pct"/>
                  <w:vAlign w:val="center"/>
                </w:tcPr>
                <w:p w14:paraId="5D45AB22">
                  <w:pPr>
                    <w:jc w:val="center"/>
                    <w:rPr>
                      <w:szCs w:val="21"/>
                    </w:rPr>
                  </w:pPr>
                  <w:r>
                    <w:rPr>
                      <w:szCs w:val="21"/>
                    </w:rPr>
                    <w:t>/</w:t>
                  </w:r>
                </w:p>
              </w:tc>
              <w:tc>
                <w:tcPr>
                  <w:tcW w:w="555" w:type="pct"/>
                  <w:vMerge w:val="restart"/>
                  <w:vAlign w:val="center"/>
                </w:tcPr>
                <w:p w14:paraId="3286808D">
                  <w:pPr>
                    <w:autoSpaceDE w:val="0"/>
                    <w:autoSpaceDN w:val="0"/>
                    <w:adjustRightInd w:val="0"/>
                    <w:jc w:val="left"/>
                    <w:rPr>
                      <w:rFonts w:eastAsiaTheme="minorEastAsia"/>
                      <w:szCs w:val="21"/>
                    </w:rPr>
                  </w:pPr>
                  <w:r>
                    <w:rPr>
                      <w:rFonts w:hAnsiTheme="minorEastAsia" w:eastAsiaTheme="minorEastAsia"/>
                      <w:szCs w:val="21"/>
                    </w:rPr>
                    <w:t>建设</w:t>
                  </w:r>
                  <w:r>
                    <w:rPr>
                      <w:rFonts w:eastAsiaTheme="minorEastAsia"/>
                      <w:szCs w:val="21"/>
                    </w:rPr>
                    <w:t>1</w:t>
                  </w:r>
                  <w:r>
                    <w:rPr>
                      <w:rFonts w:hAnsiTheme="minorEastAsia" w:eastAsiaTheme="minorEastAsia"/>
                      <w:szCs w:val="21"/>
                    </w:rPr>
                    <w:t>座生化池，处理规模为</w:t>
                  </w:r>
                  <w:r>
                    <w:rPr>
                      <w:rFonts w:hint="eastAsia" w:eastAsiaTheme="minorEastAsia"/>
                      <w:szCs w:val="21"/>
                    </w:rPr>
                    <w:t>200</w:t>
                  </w:r>
                  <w:r>
                    <w:rPr>
                      <w:rFonts w:eastAsiaTheme="minorEastAsia"/>
                      <w:szCs w:val="21"/>
                    </w:rPr>
                    <w:t>m</w:t>
                  </w:r>
                  <w:r>
                    <w:rPr>
                      <w:rFonts w:eastAsiaTheme="minorEastAsia"/>
                      <w:szCs w:val="21"/>
                      <w:vertAlign w:val="superscript"/>
                    </w:rPr>
                    <w:t>3</w:t>
                  </w:r>
                  <w:r>
                    <w:rPr>
                      <w:rFonts w:eastAsiaTheme="minorEastAsia"/>
                      <w:szCs w:val="21"/>
                    </w:rPr>
                    <w:t xml:space="preserve">/d </w:t>
                  </w:r>
                </w:p>
              </w:tc>
              <w:tc>
                <w:tcPr>
                  <w:tcW w:w="251" w:type="pct"/>
                  <w:vMerge w:val="restart"/>
                  <w:vAlign w:val="center"/>
                </w:tcPr>
                <w:p w14:paraId="3D4B0D8F">
                  <w:pPr>
                    <w:jc w:val="center"/>
                    <w:rPr>
                      <w:szCs w:val="21"/>
                    </w:rPr>
                  </w:pPr>
                  <w:r>
                    <w:rPr>
                      <w:rFonts w:hAnsi="宋体"/>
                      <w:szCs w:val="21"/>
                    </w:rPr>
                    <w:t>是</w:t>
                  </w:r>
                  <w:r>
                    <w:rPr>
                      <w:rFonts w:ascii="Segoe UI Emoji" w:hAnsi="Segoe UI Emoji" w:cs="Segoe UI Emoji"/>
                      <w:szCs w:val="21"/>
                    </w:rPr>
                    <w:t>☑</w:t>
                  </w:r>
                </w:p>
                <w:p w14:paraId="3FDFB38E">
                  <w:pPr>
                    <w:pStyle w:val="7"/>
                    <w:spacing w:before="0" w:after="0" w:line="240" w:lineRule="auto"/>
                    <w:ind w:right="0"/>
                    <w:jc w:val="center"/>
                    <w:rPr>
                      <w:sz w:val="21"/>
                      <w:szCs w:val="21"/>
                    </w:rPr>
                  </w:pPr>
                  <w:r>
                    <w:rPr>
                      <w:rFonts w:hAnsi="宋体"/>
                      <w:sz w:val="21"/>
                      <w:szCs w:val="21"/>
                    </w:rPr>
                    <w:t>否</w:t>
                  </w:r>
                  <w:r>
                    <w:rPr>
                      <w:sz w:val="21"/>
                      <w:szCs w:val="21"/>
                    </w:rPr>
                    <w:t>□</w:t>
                  </w:r>
                </w:p>
              </w:tc>
              <w:tc>
                <w:tcPr>
                  <w:tcW w:w="153" w:type="pct"/>
                  <w:vMerge w:val="restart"/>
                  <w:vAlign w:val="center"/>
                </w:tcPr>
                <w:p w14:paraId="6EFD6BB8">
                  <w:pPr>
                    <w:jc w:val="center"/>
                    <w:rPr>
                      <w:szCs w:val="21"/>
                    </w:rPr>
                  </w:pPr>
                  <w:r>
                    <w:rPr>
                      <w:rFonts w:hAnsi="宋体"/>
                      <w:szCs w:val="21"/>
                    </w:rPr>
                    <w:t>间接排放</w:t>
                  </w:r>
                </w:p>
              </w:tc>
              <w:tc>
                <w:tcPr>
                  <w:tcW w:w="312" w:type="pct"/>
                  <w:vAlign w:val="center"/>
                </w:tcPr>
                <w:p w14:paraId="23CD4DD3">
                  <w:pPr>
                    <w:jc w:val="center"/>
                    <w:rPr>
                      <w:b/>
                      <w:bCs/>
                      <w:szCs w:val="21"/>
                    </w:rPr>
                  </w:pPr>
                  <w:r>
                    <w:rPr>
                      <w:b/>
                      <w:bCs/>
                      <w:szCs w:val="21"/>
                    </w:rPr>
                    <w:t>/</w:t>
                  </w:r>
                </w:p>
              </w:tc>
              <w:tc>
                <w:tcPr>
                  <w:tcW w:w="446" w:type="pct"/>
                  <w:vAlign w:val="center"/>
                </w:tcPr>
                <w:p w14:paraId="07251D26">
                  <w:pPr>
                    <w:jc w:val="center"/>
                    <w:rPr>
                      <w:szCs w:val="21"/>
                    </w:rPr>
                  </w:pPr>
                  <w:r>
                    <w:rPr>
                      <w:szCs w:val="21"/>
                    </w:rPr>
                    <w:t>/</w:t>
                  </w:r>
                </w:p>
              </w:tc>
              <w:tc>
                <w:tcPr>
                  <w:tcW w:w="831" w:type="pct"/>
                  <w:vMerge w:val="restart"/>
                  <w:vAlign w:val="center"/>
                </w:tcPr>
                <w:p w14:paraId="43A9D7E4">
                  <w:pPr>
                    <w:jc w:val="center"/>
                    <w:rPr>
                      <w:szCs w:val="21"/>
                    </w:rPr>
                  </w:pPr>
                  <w:r>
                    <w:rPr>
                      <w:rFonts w:hAnsi="宋体"/>
                      <w:szCs w:val="21"/>
                    </w:rPr>
                    <w:t>排放去向：通过</w:t>
                  </w:r>
                  <w:r>
                    <w:rPr>
                      <w:rFonts w:hint="eastAsia" w:hAnsi="宋体"/>
                      <w:szCs w:val="21"/>
                    </w:rPr>
                    <w:t>园区</w:t>
                  </w:r>
                  <w:r>
                    <w:rPr>
                      <w:rFonts w:hAnsi="宋体"/>
                      <w:szCs w:val="21"/>
                    </w:rPr>
                    <w:t>污水管网汇至</w:t>
                  </w:r>
                  <w:r>
                    <w:rPr>
                      <w:szCs w:val="21"/>
                    </w:rPr>
                    <w:t>李渡大耍坝污水处理厂</w:t>
                  </w:r>
                  <w:r>
                    <w:rPr>
                      <w:rFonts w:hAnsi="宋体"/>
                      <w:szCs w:val="21"/>
                    </w:rPr>
                    <w:t>；</w:t>
                  </w:r>
                </w:p>
                <w:p w14:paraId="46ABCE72">
                  <w:pPr>
                    <w:jc w:val="center"/>
                    <w:rPr>
                      <w:szCs w:val="21"/>
                    </w:rPr>
                  </w:pPr>
                  <w:r>
                    <w:rPr>
                      <w:rFonts w:hAnsi="宋体"/>
                      <w:szCs w:val="21"/>
                    </w:rPr>
                    <w:t>排放规律：不连续、不稳定；</w:t>
                  </w:r>
                </w:p>
                <w:p w14:paraId="033F5E49">
                  <w:pPr>
                    <w:jc w:val="center"/>
                    <w:rPr>
                      <w:szCs w:val="21"/>
                    </w:rPr>
                  </w:pPr>
                  <w:r>
                    <w:rPr>
                      <w:rFonts w:hAnsi="宋体"/>
                      <w:szCs w:val="21"/>
                    </w:rPr>
                    <w:t>排放口编号：</w:t>
                  </w:r>
                  <w:r>
                    <w:rPr>
                      <w:szCs w:val="21"/>
                    </w:rPr>
                    <w:t>DW001</w:t>
                  </w:r>
                </w:p>
                <w:p w14:paraId="0E7FFE53">
                  <w:pPr>
                    <w:jc w:val="center"/>
                    <w:rPr>
                      <w:szCs w:val="21"/>
                    </w:rPr>
                  </w:pPr>
                  <w:r>
                    <w:rPr>
                      <w:rFonts w:hAnsi="宋体"/>
                      <w:szCs w:val="21"/>
                    </w:rPr>
                    <w:t>排放口名称为：</w:t>
                  </w:r>
                  <w:r>
                    <w:rPr>
                      <w:rFonts w:hint="eastAsia" w:hAnsi="宋体"/>
                      <w:szCs w:val="21"/>
                    </w:rPr>
                    <w:t>厂区废水总</w:t>
                  </w:r>
                  <w:r>
                    <w:rPr>
                      <w:rFonts w:hAnsi="宋体"/>
                      <w:szCs w:val="21"/>
                    </w:rPr>
                    <w:t>排放口</w:t>
                  </w:r>
                </w:p>
                <w:p w14:paraId="5840E6C6">
                  <w:pPr>
                    <w:jc w:val="center"/>
                    <w:rPr>
                      <w:szCs w:val="21"/>
                    </w:rPr>
                  </w:pPr>
                  <w:r>
                    <w:rPr>
                      <w:rFonts w:hAnsi="宋体"/>
                      <w:szCs w:val="21"/>
                    </w:rPr>
                    <w:t>排放口类型：一般排放口</w:t>
                  </w:r>
                </w:p>
                <w:p w14:paraId="4A051C60">
                  <w:pPr>
                    <w:jc w:val="center"/>
                    <w:rPr>
                      <w:szCs w:val="21"/>
                    </w:rPr>
                  </w:pPr>
                  <w:r>
                    <w:rPr>
                      <w:rFonts w:hAnsi="宋体"/>
                      <w:szCs w:val="21"/>
                    </w:rPr>
                    <w:t xml:space="preserve">地理坐标： </w:t>
                  </w:r>
                  <w:r>
                    <w:rPr>
                      <w:rFonts w:hint="eastAsia"/>
                      <w:szCs w:val="21"/>
                    </w:rPr>
                    <w:t>107.242237</w:t>
                  </w:r>
                  <w:r>
                    <w:rPr>
                      <w:rFonts w:hAnsi="宋体"/>
                      <w:szCs w:val="21"/>
                    </w:rPr>
                    <w:t>，</w:t>
                  </w:r>
                  <w:r>
                    <w:rPr>
                      <w:rFonts w:hint="eastAsia"/>
                      <w:szCs w:val="21"/>
                    </w:rPr>
                    <w:t>29.744904</w:t>
                  </w:r>
                </w:p>
              </w:tc>
              <w:tc>
                <w:tcPr>
                  <w:tcW w:w="795" w:type="pct"/>
                  <w:vMerge w:val="restart"/>
                  <w:vAlign w:val="center"/>
                </w:tcPr>
                <w:p w14:paraId="62B09A3E">
                  <w:pPr>
                    <w:jc w:val="center"/>
                    <w:rPr>
                      <w:szCs w:val="21"/>
                    </w:rPr>
                  </w:pPr>
                  <w:r>
                    <w:rPr>
                      <w:szCs w:val="21"/>
                    </w:rPr>
                    <w:t>《污水综合排放标准》（GB8978-1996）三级标准，其中</w:t>
                  </w:r>
                  <w:r>
                    <w:rPr>
                      <w:rFonts w:hint="eastAsia"/>
                      <w:kern w:val="44"/>
                      <w:szCs w:val="21"/>
                    </w:rPr>
                    <w:t>氨氮</w:t>
                  </w:r>
                  <w:r>
                    <w:rPr>
                      <w:szCs w:val="21"/>
                    </w:rPr>
                    <w:t>参照执行</w:t>
                  </w:r>
                  <w:r>
                    <w:rPr>
                      <w:rFonts w:hAnsi="宋体"/>
                      <w:szCs w:val="21"/>
                    </w:rPr>
                    <w:t>《污水排入城镇地下水道水质标准》（</w:t>
                  </w:r>
                  <w:r>
                    <w:rPr>
                      <w:szCs w:val="21"/>
                    </w:rPr>
                    <w:t>GB/T31962-2015</w:t>
                  </w:r>
                  <w:r>
                    <w:rPr>
                      <w:rFonts w:hAnsi="宋体"/>
                      <w:szCs w:val="21"/>
                    </w:rPr>
                    <w:t>）表</w:t>
                  </w:r>
                  <w:r>
                    <w:rPr>
                      <w:szCs w:val="21"/>
                    </w:rPr>
                    <w:t>1</w:t>
                  </w:r>
                  <w:r>
                    <w:rPr>
                      <w:rFonts w:hAnsi="宋体"/>
                      <w:szCs w:val="21"/>
                    </w:rPr>
                    <w:t>中</w:t>
                  </w:r>
                  <w:r>
                    <w:rPr>
                      <w:szCs w:val="21"/>
                    </w:rPr>
                    <w:t>B</w:t>
                  </w:r>
                  <w:r>
                    <w:rPr>
                      <w:rFonts w:hAnsi="宋体"/>
                      <w:szCs w:val="21"/>
                    </w:rPr>
                    <w:t>等级标准</w:t>
                  </w:r>
                </w:p>
              </w:tc>
            </w:tr>
            <w:tr w14:paraId="797F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65" w:type="pct"/>
                  <w:vMerge w:val="continue"/>
                  <w:vAlign w:val="center"/>
                </w:tcPr>
                <w:p w14:paraId="0F9DF0B4">
                  <w:pPr>
                    <w:jc w:val="center"/>
                    <w:rPr>
                      <w:szCs w:val="21"/>
                    </w:rPr>
                  </w:pPr>
                </w:p>
              </w:tc>
              <w:tc>
                <w:tcPr>
                  <w:tcW w:w="442" w:type="pct"/>
                  <w:vAlign w:val="center"/>
                </w:tcPr>
                <w:p w14:paraId="2270F38D">
                  <w:pPr>
                    <w:jc w:val="center"/>
                    <w:rPr>
                      <w:szCs w:val="21"/>
                    </w:rPr>
                  </w:pPr>
                  <w:r>
                    <w:rPr>
                      <w:szCs w:val="21"/>
                    </w:rPr>
                    <w:t>COD</w:t>
                  </w:r>
                </w:p>
              </w:tc>
              <w:tc>
                <w:tcPr>
                  <w:tcW w:w="305" w:type="pct"/>
                  <w:vAlign w:val="center"/>
                </w:tcPr>
                <w:p w14:paraId="4F6A546E">
                  <w:pPr>
                    <w:pStyle w:val="106"/>
                    <w:rPr>
                      <w:szCs w:val="21"/>
                    </w:rPr>
                  </w:pPr>
                  <w:r>
                    <w:rPr>
                      <w:rFonts w:hint="eastAsia"/>
                      <w:szCs w:val="21"/>
                    </w:rPr>
                    <w:t>12.654</w:t>
                  </w:r>
                </w:p>
              </w:tc>
              <w:tc>
                <w:tcPr>
                  <w:tcW w:w="444" w:type="pct"/>
                  <w:vAlign w:val="center"/>
                </w:tcPr>
                <w:p w14:paraId="028E2C30">
                  <w:pPr>
                    <w:pStyle w:val="106"/>
                  </w:pPr>
                  <w:r>
                    <w:rPr>
                      <w:rFonts w:hint="eastAsia"/>
                    </w:rPr>
                    <w:t>536</w:t>
                  </w:r>
                </w:p>
              </w:tc>
              <w:tc>
                <w:tcPr>
                  <w:tcW w:w="555" w:type="pct"/>
                  <w:vMerge w:val="continue"/>
                  <w:vAlign w:val="center"/>
                </w:tcPr>
                <w:p w14:paraId="419EC400">
                  <w:pPr>
                    <w:pStyle w:val="77"/>
                    <w:autoSpaceDE/>
                    <w:autoSpaceDN/>
                    <w:spacing w:before="120"/>
                    <w:jc w:val="center"/>
                    <w:rPr>
                      <w:rFonts w:ascii="Times New Roman"/>
                      <w:color w:val="auto"/>
                      <w:sz w:val="21"/>
                      <w:szCs w:val="21"/>
                    </w:rPr>
                  </w:pPr>
                </w:p>
              </w:tc>
              <w:tc>
                <w:tcPr>
                  <w:tcW w:w="251" w:type="pct"/>
                  <w:vMerge w:val="continue"/>
                  <w:vAlign w:val="center"/>
                </w:tcPr>
                <w:p w14:paraId="2E7FB820">
                  <w:pPr>
                    <w:jc w:val="center"/>
                    <w:rPr>
                      <w:szCs w:val="21"/>
                    </w:rPr>
                  </w:pPr>
                </w:p>
              </w:tc>
              <w:tc>
                <w:tcPr>
                  <w:tcW w:w="153" w:type="pct"/>
                  <w:vMerge w:val="continue"/>
                  <w:vAlign w:val="center"/>
                </w:tcPr>
                <w:p w14:paraId="26B08EC5">
                  <w:pPr>
                    <w:jc w:val="center"/>
                    <w:rPr>
                      <w:szCs w:val="21"/>
                    </w:rPr>
                  </w:pPr>
                </w:p>
              </w:tc>
              <w:tc>
                <w:tcPr>
                  <w:tcW w:w="312" w:type="pct"/>
                  <w:vAlign w:val="center"/>
                </w:tcPr>
                <w:p w14:paraId="206424B3">
                  <w:pPr>
                    <w:pStyle w:val="106"/>
                    <w:rPr>
                      <w:szCs w:val="21"/>
                    </w:rPr>
                  </w:pPr>
                  <w:r>
                    <w:rPr>
                      <w:rFonts w:hint="eastAsia"/>
                      <w:szCs w:val="21"/>
                    </w:rPr>
                    <w:t>9.441</w:t>
                  </w:r>
                </w:p>
              </w:tc>
              <w:tc>
                <w:tcPr>
                  <w:tcW w:w="446" w:type="pct"/>
                  <w:vAlign w:val="center"/>
                </w:tcPr>
                <w:p w14:paraId="337951D3">
                  <w:pPr>
                    <w:pStyle w:val="106"/>
                  </w:pPr>
                  <w:r>
                    <w:rPr>
                      <w:rFonts w:hint="eastAsia"/>
                    </w:rPr>
                    <w:t>400</w:t>
                  </w:r>
                </w:p>
              </w:tc>
              <w:tc>
                <w:tcPr>
                  <w:tcW w:w="831" w:type="pct"/>
                  <w:vMerge w:val="continue"/>
                  <w:vAlign w:val="center"/>
                </w:tcPr>
                <w:p w14:paraId="30D6E153">
                  <w:pPr>
                    <w:jc w:val="center"/>
                    <w:rPr>
                      <w:szCs w:val="21"/>
                    </w:rPr>
                  </w:pPr>
                </w:p>
              </w:tc>
              <w:tc>
                <w:tcPr>
                  <w:tcW w:w="795" w:type="pct"/>
                  <w:vMerge w:val="continue"/>
                  <w:vAlign w:val="center"/>
                </w:tcPr>
                <w:p w14:paraId="5C138EC1">
                  <w:pPr>
                    <w:jc w:val="center"/>
                    <w:rPr>
                      <w:bCs/>
                      <w:szCs w:val="21"/>
                    </w:rPr>
                  </w:pPr>
                </w:p>
              </w:tc>
            </w:tr>
            <w:tr w14:paraId="53CB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5" w:type="pct"/>
                  <w:vMerge w:val="continue"/>
                  <w:vAlign w:val="center"/>
                </w:tcPr>
                <w:p w14:paraId="1BCFAA26">
                  <w:pPr>
                    <w:jc w:val="center"/>
                    <w:rPr>
                      <w:szCs w:val="21"/>
                    </w:rPr>
                  </w:pPr>
                </w:p>
              </w:tc>
              <w:tc>
                <w:tcPr>
                  <w:tcW w:w="442" w:type="pct"/>
                  <w:vAlign w:val="center"/>
                </w:tcPr>
                <w:p w14:paraId="27782C3A">
                  <w:pPr>
                    <w:jc w:val="center"/>
                    <w:rPr>
                      <w:szCs w:val="21"/>
                    </w:rPr>
                  </w:pPr>
                  <w:r>
                    <w:rPr>
                      <w:szCs w:val="21"/>
                    </w:rPr>
                    <w:t>BOD</w:t>
                  </w:r>
                  <w:r>
                    <w:rPr>
                      <w:szCs w:val="21"/>
                      <w:vertAlign w:val="subscript"/>
                    </w:rPr>
                    <w:t>5</w:t>
                  </w:r>
                </w:p>
              </w:tc>
              <w:tc>
                <w:tcPr>
                  <w:tcW w:w="305" w:type="pct"/>
                  <w:vAlign w:val="center"/>
                </w:tcPr>
                <w:p w14:paraId="7A586E70">
                  <w:pPr>
                    <w:pStyle w:val="106"/>
                    <w:rPr>
                      <w:szCs w:val="21"/>
                    </w:rPr>
                  </w:pPr>
                  <w:r>
                    <w:rPr>
                      <w:rFonts w:hint="eastAsia"/>
                      <w:szCs w:val="21"/>
                    </w:rPr>
                    <w:t>8.015</w:t>
                  </w:r>
                </w:p>
              </w:tc>
              <w:tc>
                <w:tcPr>
                  <w:tcW w:w="444" w:type="pct"/>
                  <w:vAlign w:val="center"/>
                </w:tcPr>
                <w:p w14:paraId="4FC197CF">
                  <w:pPr>
                    <w:pStyle w:val="106"/>
                  </w:pPr>
                  <w:r>
                    <w:rPr>
                      <w:rFonts w:hint="eastAsia"/>
                    </w:rPr>
                    <w:t>340</w:t>
                  </w:r>
                </w:p>
              </w:tc>
              <w:tc>
                <w:tcPr>
                  <w:tcW w:w="555" w:type="pct"/>
                  <w:vMerge w:val="continue"/>
                  <w:vAlign w:val="center"/>
                </w:tcPr>
                <w:p w14:paraId="480930CA">
                  <w:pPr>
                    <w:pStyle w:val="77"/>
                    <w:autoSpaceDE/>
                    <w:autoSpaceDN/>
                    <w:spacing w:before="120"/>
                    <w:jc w:val="center"/>
                    <w:rPr>
                      <w:rFonts w:ascii="Times New Roman"/>
                      <w:color w:val="auto"/>
                      <w:sz w:val="21"/>
                      <w:szCs w:val="21"/>
                    </w:rPr>
                  </w:pPr>
                </w:p>
              </w:tc>
              <w:tc>
                <w:tcPr>
                  <w:tcW w:w="251" w:type="pct"/>
                  <w:vMerge w:val="continue"/>
                  <w:vAlign w:val="center"/>
                </w:tcPr>
                <w:p w14:paraId="5B5A2D55">
                  <w:pPr>
                    <w:jc w:val="center"/>
                    <w:rPr>
                      <w:szCs w:val="21"/>
                    </w:rPr>
                  </w:pPr>
                </w:p>
              </w:tc>
              <w:tc>
                <w:tcPr>
                  <w:tcW w:w="153" w:type="pct"/>
                  <w:vMerge w:val="continue"/>
                  <w:vAlign w:val="center"/>
                </w:tcPr>
                <w:p w14:paraId="5E6BD82B">
                  <w:pPr>
                    <w:jc w:val="center"/>
                    <w:rPr>
                      <w:szCs w:val="21"/>
                    </w:rPr>
                  </w:pPr>
                </w:p>
              </w:tc>
              <w:tc>
                <w:tcPr>
                  <w:tcW w:w="312" w:type="pct"/>
                  <w:vAlign w:val="center"/>
                </w:tcPr>
                <w:p w14:paraId="3AADFCD0">
                  <w:pPr>
                    <w:pStyle w:val="106"/>
                    <w:rPr>
                      <w:szCs w:val="21"/>
                    </w:rPr>
                  </w:pPr>
                  <w:r>
                    <w:rPr>
                      <w:rFonts w:hint="eastAsia"/>
                      <w:szCs w:val="21"/>
                    </w:rPr>
                    <w:t>4.72</w:t>
                  </w:r>
                </w:p>
              </w:tc>
              <w:tc>
                <w:tcPr>
                  <w:tcW w:w="446" w:type="pct"/>
                  <w:vAlign w:val="center"/>
                </w:tcPr>
                <w:p w14:paraId="3023B616">
                  <w:pPr>
                    <w:pStyle w:val="106"/>
                  </w:pPr>
                  <w:r>
                    <w:rPr>
                      <w:rFonts w:hint="eastAsia"/>
                    </w:rPr>
                    <w:t>200</w:t>
                  </w:r>
                </w:p>
              </w:tc>
              <w:tc>
                <w:tcPr>
                  <w:tcW w:w="831" w:type="pct"/>
                  <w:vMerge w:val="continue"/>
                  <w:vAlign w:val="center"/>
                </w:tcPr>
                <w:p w14:paraId="0C4A8933">
                  <w:pPr>
                    <w:jc w:val="center"/>
                    <w:rPr>
                      <w:szCs w:val="21"/>
                    </w:rPr>
                  </w:pPr>
                </w:p>
              </w:tc>
              <w:tc>
                <w:tcPr>
                  <w:tcW w:w="795" w:type="pct"/>
                  <w:vMerge w:val="continue"/>
                  <w:vAlign w:val="center"/>
                </w:tcPr>
                <w:p w14:paraId="371A1297">
                  <w:pPr>
                    <w:jc w:val="center"/>
                    <w:rPr>
                      <w:bCs/>
                      <w:szCs w:val="21"/>
                    </w:rPr>
                  </w:pPr>
                </w:p>
              </w:tc>
            </w:tr>
            <w:tr w14:paraId="73ED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65" w:type="pct"/>
                  <w:vMerge w:val="continue"/>
                  <w:vAlign w:val="center"/>
                </w:tcPr>
                <w:p w14:paraId="31E9F6A0">
                  <w:pPr>
                    <w:jc w:val="center"/>
                    <w:rPr>
                      <w:szCs w:val="21"/>
                    </w:rPr>
                  </w:pPr>
                </w:p>
              </w:tc>
              <w:tc>
                <w:tcPr>
                  <w:tcW w:w="442" w:type="pct"/>
                  <w:vAlign w:val="center"/>
                </w:tcPr>
                <w:p w14:paraId="74A6B48E">
                  <w:pPr>
                    <w:jc w:val="center"/>
                    <w:rPr>
                      <w:szCs w:val="21"/>
                    </w:rPr>
                  </w:pPr>
                  <w:r>
                    <w:rPr>
                      <w:szCs w:val="21"/>
                    </w:rPr>
                    <w:t>SS</w:t>
                  </w:r>
                </w:p>
              </w:tc>
              <w:tc>
                <w:tcPr>
                  <w:tcW w:w="305" w:type="pct"/>
                  <w:vAlign w:val="center"/>
                </w:tcPr>
                <w:p w14:paraId="7600C20B">
                  <w:pPr>
                    <w:pStyle w:val="106"/>
                    <w:rPr>
                      <w:szCs w:val="21"/>
                    </w:rPr>
                  </w:pPr>
                  <w:r>
                    <w:rPr>
                      <w:rFonts w:hint="eastAsia"/>
                      <w:szCs w:val="21"/>
                    </w:rPr>
                    <w:t>9.841</w:t>
                  </w:r>
                </w:p>
              </w:tc>
              <w:tc>
                <w:tcPr>
                  <w:tcW w:w="444" w:type="pct"/>
                  <w:vAlign w:val="center"/>
                </w:tcPr>
                <w:p w14:paraId="5EC26398">
                  <w:pPr>
                    <w:pStyle w:val="106"/>
                  </w:pPr>
                  <w:r>
                    <w:rPr>
                      <w:rFonts w:hint="eastAsia"/>
                    </w:rPr>
                    <w:t>417</w:t>
                  </w:r>
                </w:p>
              </w:tc>
              <w:tc>
                <w:tcPr>
                  <w:tcW w:w="555" w:type="pct"/>
                  <w:vMerge w:val="continue"/>
                  <w:vAlign w:val="center"/>
                </w:tcPr>
                <w:p w14:paraId="0E5F258F">
                  <w:pPr>
                    <w:pStyle w:val="77"/>
                    <w:autoSpaceDE/>
                    <w:autoSpaceDN/>
                    <w:spacing w:before="120"/>
                    <w:jc w:val="center"/>
                    <w:rPr>
                      <w:rFonts w:ascii="Times New Roman"/>
                      <w:color w:val="auto"/>
                      <w:sz w:val="21"/>
                      <w:szCs w:val="21"/>
                    </w:rPr>
                  </w:pPr>
                </w:p>
              </w:tc>
              <w:tc>
                <w:tcPr>
                  <w:tcW w:w="251" w:type="pct"/>
                  <w:vMerge w:val="continue"/>
                  <w:vAlign w:val="center"/>
                </w:tcPr>
                <w:p w14:paraId="53E32AF2">
                  <w:pPr>
                    <w:jc w:val="center"/>
                    <w:rPr>
                      <w:szCs w:val="21"/>
                    </w:rPr>
                  </w:pPr>
                </w:p>
              </w:tc>
              <w:tc>
                <w:tcPr>
                  <w:tcW w:w="153" w:type="pct"/>
                  <w:vMerge w:val="continue"/>
                  <w:vAlign w:val="center"/>
                </w:tcPr>
                <w:p w14:paraId="61BE704B">
                  <w:pPr>
                    <w:jc w:val="center"/>
                    <w:rPr>
                      <w:szCs w:val="21"/>
                    </w:rPr>
                  </w:pPr>
                </w:p>
              </w:tc>
              <w:tc>
                <w:tcPr>
                  <w:tcW w:w="312" w:type="pct"/>
                  <w:vAlign w:val="center"/>
                </w:tcPr>
                <w:p w14:paraId="09DBE1B3">
                  <w:pPr>
                    <w:pStyle w:val="106"/>
                    <w:rPr>
                      <w:szCs w:val="21"/>
                    </w:rPr>
                  </w:pPr>
                  <w:r>
                    <w:rPr>
                      <w:rFonts w:hint="eastAsia"/>
                      <w:szCs w:val="21"/>
                    </w:rPr>
                    <w:t>7.08</w:t>
                  </w:r>
                </w:p>
              </w:tc>
              <w:tc>
                <w:tcPr>
                  <w:tcW w:w="446" w:type="pct"/>
                  <w:vAlign w:val="center"/>
                </w:tcPr>
                <w:p w14:paraId="00BB8FA3">
                  <w:pPr>
                    <w:pStyle w:val="106"/>
                  </w:pPr>
                  <w:r>
                    <w:rPr>
                      <w:rFonts w:hint="eastAsia"/>
                    </w:rPr>
                    <w:t>300</w:t>
                  </w:r>
                </w:p>
              </w:tc>
              <w:tc>
                <w:tcPr>
                  <w:tcW w:w="831" w:type="pct"/>
                  <w:vMerge w:val="continue"/>
                  <w:vAlign w:val="center"/>
                </w:tcPr>
                <w:p w14:paraId="3656B484">
                  <w:pPr>
                    <w:jc w:val="center"/>
                    <w:rPr>
                      <w:szCs w:val="21"/>
                    </w:rPr>
                  </w:pPr>
                </w:p>
              </w:tc>
              <w:tc>
                <w:tcPr>
                  <w:tcW w:w="795" w:type="pct"/>
                  <w:vMerge w:val="continue"/>
                  <w:vAlign w:val="center"/>
                </w:tcPr>
                <w:p w14:paraId="0F4FF8B9">
                  <w:pPr>
                    <w:jc w:val="center"/>
                    <w:rPr>
                      <w:bCs/>
                      <w:szCs w:val="21"/>
                    </w:rPr>
                  </w:pPr>
                </w:p>
              </w:tc>
            </w:tr>
            <w:tr w14:paraId="7A28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5" w:type="pct"/>
                  <w:vMerge w:val="continue"/>
                  <w:vAlign w:val="center"/>
                </w:tcPr>
                <w:p w14:paraId="01A657F0">
                  <w:pPr>
                    <w:jc w:val="center"/>
                    <w:rPr>
                      <w:szCs w:val="21"/>
                    </w:rPr>
                  </w:pPr>
                </w:p>
              </w:tc>
              <w:tc>
                <w:tcPr>
                  <w:tcW w:w="442" w:type="pct"/>
                  <w:vAlign w:val="center"/>
                </w:tcPr>
                <w:p w14:paraId="33BFB218">
                  <w:pPr>
                    <w:jc w:val="center"/>
                    <w:rPr>
                      <w:szCs w:val="21"/>
                    </w:rPr>
                  </w:pPr>
                  <w:r>
                    <w:rPr>
                      <w:szCs w:val="21"/>
                    </w:rPr>
                    <w:t>NH</w:t>
                  </w:r>
                  <w:r>
                    <w:rPr>
                      <w:szCs w:val="21"/>
                      <w:vertAlign w:val="subscript"/>
                    </w:rPr>
                    <w:t>3</w:t>
                  </w:r>
                  <w:r>
                    <w:rPr>
                      <w:szCs w:val="21"/>
                    </w:rPr>
                    <w:t>-N</w:t>
                  </w:r>
                </w:p>
              </w:tc>
              <w:tc>
                <w:tcPr>
                  <w:tcW w:w="305" w:type="pct"/>
                  <w:vAlign w:val="center"/>
                </w:tcPr>
                <w:p w14:paraId="6EAAA3F3">
                  <w:pPr>
                    <w:pStyle w:val="106"/>
                    <w:rPr>
                      <w:szCs w:val="21"/>
                    </w:rPr>
                  </w:pPr>
                  <w:r>
                    <w:rPr>
                      <w:rFonts w:hint="eastAsia"/>
                      <w:szCs w:val="21"/>
                    </w:rPr>
                    <w:t>1.181</w:t>
                  </w:r>
                </w:p>
              </w:tc>
              <w:tc>
                <w:tcPr>
                  <w:tcW w:w="444" w:type="pct"/>
                  <w:vAlign w:val="center"/>
                </w:tcPr>
                <w:p w14:paraId="280D6D63">
                  <w:pPr>
                    <w:pStyle w:val="106"/>
                  </w:pPr>
                  <w:r>
                    <w:rPr>
                      <w:rFonts w:hint="eastAsia"/>
                    </w:rPr>
                    <w:t>50</w:t>
                  </w:r>
                </w:p>
              </w:tc>
              <w:tc>
                <w:tcPr>
                  <w:tcW w:w="555" w:type="pct"/>
                  <w:vMerge w:val="continue"/>
                  <w:vAlign w:val="center"/>
                </w:tcPr>
                <w:p w14:paraId="7069DA49">
                  <w:pPr>
                    <w:pStyle w:val="77"/>
                    <w:autoSpaceDE/>
                    <w:autoSpaceDN/>
                    <w:spacing w:before="120"/>
                    <w:jc w:val="center"/>
                    <w:rPr>
                      <w:rFonts w:ascii="Times New Roman"/>
                      <w:color w:val="auto"/>
                      <w:sz w:val="21"/>
                      <w:szCs w:val="21"/>
                    </w:rPr>
                  </w:pPr>
                </w:p>
              </w:tc>
              <w:tc>
                <w:tcPr>
                  <w:tcW w:w="251" w:type="pct"/>
                  <w:vMerge w:val="continue"/>
                  <w:vAlign w:val="center"/>
                </w:tcPr>
                <w:p w14:paraId="7E278011">
                  <w:pPr>
                    <w:jc w:val="center"/>
                    <w:rPr>
                      <w:szCs w:val="21"/>
                    </w:rPr>
                  </w:pPr>
                </w:p>
              </w:tc>
              <w:tc>
                <w:tcPr>
                  <w:tcW w:w="153" w:type="pct"/>
                  <w:vMerge w:val="continue"/>
                  <w:vAlign w:val="center"/>
                </w:tcPr>
                <w:p w14:paraId="5C2D2EC8">
                  <w:pPr>
                    <w:jc w:val="center"/>
                    <w:rPr>
                      <w:szCs w:val="21"/>
                    </w:rPr>
                  </w:pPr>
                </w:p>
              </w:tc>
              <w:tc>
                <w:tcPr>
                  <w:tcW w:w="312" w:type="pct"/>
                  <w:vAlign w:val="center"/>
                </w:tcPr>
                <w:p w14:paraId="1A1DBB6F">
                  <w:pPr>
                    <w:pStyle w:val="106"/>
                    <w:rPr>
                      <w:szCs w:val="21"/>
                    </w:rPr>
                  </w:pPr>
                  <w:r>
                    <w:rPr>
                      <w:rFonts w:hint="eastAsia"/>
                      <w:szCs w:val="21"/>
                    </w:rPr>
                    <w:t>0.708</w:t>
                  </w:r>
                </w:p>
              </w:tc>
              <w:tc>
                <w:tcPr>
                  <w:tcW w:w="446" w:type="pct"/>
                  <w:vAlign w:val="center"/>
                </w:tcPr>
                <w:p w14:paraId="365A15ED">
                  <w:pPr>
                    <w:pStyle w:val="106"/>
                  </w:pPr>
                  <w:r>
                    <w:rPr>
                      <w:rFonts w:hint="eastAsia"/>
                    </w:rPr>
                    <w:t>30</w:t>
                  </w:r>
                </w:p>
              </w:tc>
              <w:tc>
                <w:tcPr>
                  <w:tcW w:w="831" w:type="pct"/>
                  <w:vMerge w:val="continue"/>
                  <w:vAlign w:val="center"/>
                </w:tcPr>
                <w:p w14:paraId="64C37B1D">
                  <w:pPr>
                    <w:jc w:val="center"/>
                    <w:rPr>
                      <w:szCs w:val="21"/>
                    </w:rPr>
                  </w:pPr>
                </w:p>
              </w:tc>
              <w:tc>
                <w:tcPr>
                  <w:tcW w:w="795" w:type="pct"/>
                  <w:vMerge w:val="continue"/>
                  <w:vAlign w:val="center"/>
                </w:tcPr>
                <w:p w14:paraId="7BCEAC16">
                  <w:pPr>
                    <w:jc w:val="center"/>
                    <w:rPr>
                      <w:bCs/>
                      <w:szCs w:val="21"/>
                    </w:rPr>
                  </w:pPr>
                </w:p>
              </w:tc>
            </w:tr>
            <w:tr w14:paraId="068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65" w:type="pct"/>
                  <w:vMerge w:val="continue"/>
                  <w:vAlign w:val="center"/>
                </w:tcPr>
                <w:p w14:paraId="150CE13B">
                  <w:pPr>
                    <w:jc w:val="center"/>
                    <w:rPr>
                      <w:szCs w:val="21"/>
                    </w:rPr>
                  </w:pPr>
                </w:p>
              </w:tc>
              <w:tc>
                <w:tcPr>
                  <w:tcW w:w="442" w:type="pct"/>
                  <w:vAlign w:val="center"/>
                </w:tcPr>
                <w:p w14:paraId="36926A03">
                  <w:pPr>
                    <w:jc w:val="center"/>
                    <w:rPr>
                      <w:szCs w:val="21"/>
                    </w:rPr>
                  </w:pPr>
                  <w:r>
                    <w:rPr>
                      <w:rFonts w:hint="eastAsia" w:hAnsi="宋体"/>
                      <w:kern w:val="0"/>
                      <w:szCs w:val="21"/>
                    </w:rPr>
                    <w:t>动植物油</w:t>
                  </w:r>
                </w:p>
              </w:tc>
              <w:tc>
                <w:tcPr>
                  <w:tcW w:w="305" w:type="pct"/>
                  <w:vAlign w:val="center"/>
                </w:tcPr>
                <w:p w14:paraId="511FCCD8">
                  <w:pPr>
                    <w:pStyle w:val="106"/>
                    <w:rPr>
                      <w:szCs w:val="21"/>
                    </w:rPr>
                  </w:pPr>
                  <w:r>
                    <w:rPr>
                      <w:rFonts w:hint="eastAsia"/>
                      <w:szCs w:val="21"/>
                    </w:rPr>
                    <w:t>1.125</w:t>
                  </w:r>
                </w:p>
              </w:tc>
              <w:tc>
                <w:tcPr>
                  <w:tcW w:w="444" w:type="pct"/>
                  <w:vAlign w:val="center"/>
                </w:tcPr>
                <w:p w14:paraId="0D6D4FB9">
                  <w:pPr>
                    <w:pStyle w:val="106"/>
                  </w:pPr>
                  <w:r>
                    <w:rPr>
                      <w:rFonts w:hint="eastAsia"/>
                    </w:rPr>
                    <w:t>48</w:t>
                  </w:r>
                </w:p>
              </w:tc>
              <w:tc>
                <w:tcPr>
                  <w:tcW w:w="555" w:type="pct"/>
                  <w:vMerge w:val="continue"/>
                  <w:vAlign w:val="center"/>
                </w:tcPr>
                <w:p w14:paraId="4A86C566">
                  <w:pPr>
                    <w:pStyle w:val="77"/>
                    <w:autoSpaceDE/>
                    <w:autoSpaceDN/>
                    <w:spacing w:before="120"/>
                    <w:jc w:val="center"/>
                    <w:rPr>
                      <w:rFonts w:ascii="Times New Roman"/>
                      <w:color w:val="auto"/>
                      <w:sz w:val="21"/>
                      <w:szCs w:val="21"/>
                    </w:rPr>
                  </w:pPr>
                </w:p>
              </w:tc>
              <w:tc>
                <w:tcPr>
                  <w:tcW w:w="251" w:type="pct"/>
                  <w:vMerge w:val="continue"/>
                  <w:vAlign w:val="center"/>
                </w:tcPr>
                <w:p w14:paraId="108DC225">
                  <w:pPr>
                    <w:jc w:val="center"/>
                    <w:rPr>
                      <w:szCs w:val="21"/>
                    </w:rPr>
                  </w:pPr>
                </w:p>
              </w:tc>
              <w:tc>
                <w:tcPr>
                  <w:tcW w:w="153" w:type="pct"/>
                  <w:vMerge w:val="continue"/>
                  <w:vAlign w:val="center"/>
                </w:tcPr>
                <w:p w14:paraId="003E0755">
                  <w:pPr>
                    <w:jc w:val="center"/>
                    <w:rPr>
                      <w:szCs w:val="21"/>
                    </w:rPr>
                  </w:pPr>
                </w:p>
              </w:tc>
              <w:tc>
                <w:tcPr>
                  <w:tcW w:w="312" w:type="pct"/>
                  <w:vAlign w:val="center"/>
                </w:tcPr>
                <w:p w14:paraId="11527635">
                  <w:pPr>
                    <w:pStyle w:val="106"/>
                    <w:rPr>
                      <w:szCs w:val="21"/>
                    </w:rPr>
                  </w:pPr>
                  <w:r>
                    <w:rPr>
                      <w:rFonts w:hint="eastAsia"/>
                      <w:szCs w:val="21"/>
                    </w:rPr>
                    <w:t>0.708</w:t>
                  </w:r>
                </w:p>
              </w:tc>
              <w:tc>
                <w:tcPr>
                  <w:tcW w:w="446" w:type="pct"/>
                  <w:vAlign w:val="center"/>
                </w:tcPr>
                <w:p w14:paraId="4A9BFC50">
                  <w:pPr>
                    <w:pStyle w:val="106"/>
                  </w:pPr>
                  <w:r>
                    <w:rPr>
                      <w:rFonts w:hint="eastAsia"/>
                    </w:rPr>
                    <w:t>30</w:t>
                  </w:r>
                </w:p>
              </w:tc>
              <w:tc>
                <w:tcPr>
                  <w:tcW w:w="831" w:type="pct"/>
                  <w:vMerge w:val="continue"/>
                  <w:vAlign w:val="center"/>
                </w:tcPr>
                <w:p w14:paraId="14033FAF">
                  <w:pPr>
                    <w:jc w:val="center"/>
                    <w:rPr>
                      <w:szCs w:val="21"/>
                    </w:rPr>
                  </w:pPr>
                </w:p>
              </w:tc>
              <w:tc>
                <w:tcPr>
                  <w:tcW w:w="795" w:type="pct"/>
                  <w:vMerge w:val="continue"/>
                  <w:vAlign w:val="center"/>
                </w:tcPr>
                <w:p w14:paraId="2C81B6BB">
                  <w:pPr>
                    <w:jc w:val="center"/>
                    <w:rPr>
                      <w:szCs w:val="21"/>
                    </w:rPr>
                  </w:pPr>
                </w:p>
              </w:tc>
            </w:tr>
            <w:tr w14:paraId="0C76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65" w:type="pct"/>
                  <w:vMerge w:val="continue"/>
                  <w:vAlign w:val="center"/>
                </w:tcPr>
                <w:p w14:paraId="1947D06B">
                  <w:pPr>
                    <w:jc w:val="center"/>
                    <w:rPr>
                      <w:szCs w:val="21"/>
                    </w:rPr>
                  </w:pPr>
                </w:p>
              </w:tc>
              <w:tc>
                <w:tcPr>
                  <w:tcW w:w="442" w:type="pct"/>
                  <w:vAlign w:val="center"/>
                </w:tcPr>
                <w:p w14:paraId="7186286E">
                  <w:pPr>
                    <w:widowControl/>
                    <w:jc w:val="center"/>
                    <w:rPr>
                      <w:kern w:val="0"/>
                      <w:szCs w:val="21"/>
                    </w:rPr>
                  </w:pPr>
                  <w:r>
                    <w:rPr>
                      <w:rFonts w:hint="eastAsia"/>
                      <w:kern w:val="0"/>
                      <w:szCs w:val="21"/>
                    </w:rPr>
                    <w:t>总磷</w:t>
                  </w:r>
                </w:p>
              </w:tc>
              <w:tc>
                <w:tcPr>
                  <w:tcW w:w="305" w:type="pct"/>
                  <w:vAlign w:val="center"/>
                </w:tcPr>
                <w:p w14:paraId="406C8E5A">
                  <w:pPr>
                    <w:pStyle w:val="106"/>
                    <w:rPr>
                      <w:szCs w:val="21"/>
                    </w:rPr>
                  </w:pPr>
                  <w:r>
                    <w:rPr>
                      <w:rFonts w:hint="eastAsia"/>
                      <w:szCs w:val="21"/>
                    </w:rPr>
                    <w:t>0.187</w:t>
                  </w:r>
                </w:p>
              </w:tc>
              <w:tc>
                <w:tcPr>
                  <w:tcW w:w="444" w:type="pct"/>
                  <w:vAlign w:val="center"/>
                </w:tcPr>
                <w:p w14:paraId="312E40DF">
                  <w:pPr>
                    <w:pStyle w:val="106"/>
                  </w:pPr>
                  <w:r>
                    <w:rPr>
                      <w:rFonts w:hint="eastAsia"/>
                    </w:rPr>
                    <w:t>8</w:t>
                  </w:r>
                </w:p>
              </w:tc>
              <w:tc>
                <w:tcPr>
                  <w:tcW w:w="555" w:type="pct"/>
                  <w:vMerge w:val="continue"/>
                  <w:vAlign w:val="center"/>
                </w:tcPr>
                <w:p w14:paraId="57911234">
                  <w:pPr>
                    <w:pStyle w:val="77"/>
                    <w:autoSpaceDE/>
                    <w:autoSpaceDN/>
                    <w:spacing w:before="120"/>
                    <w:jc w:val="center"/>
                    <w:rPr>
                      <w:rFonts w:ascii="Times New Roman"/>
                      <w:color w:val="auto"/>
                      <w:sz w:val="21"/>
                      <w:szCs w:val="21"/>
                    </w:rPr>
                  </w:pPr>
                </w:p>
              </w:tc>
              <w:tc>
                <w:tcPr>
                  <w:tcW w:w="251" w:type="pct"/>
                  <w:vMerge w:val="continue"/>
                  <w:vAlign w:val="center"/>
                </w:tcPr>
                <w:p w14:paraId="548841D2">
                  <w:pPr>
                    <w:jc w:val="center"/>
                    <w:rPr>
                      <w:szCs w:val="21"/>
                    </w:rPr>
                  </w:pPr>
                </w:p>
              </w:tc>
              <w:tc>
                <w:tcPr>
                  <w:tcW w:w="153" w:type="pct"/>
                  <w:vMerge w:val="continue"/>
                  <w:vAlign w:val="center"/>
                </w:tcPr>
                <w:p w14:paraId="2EC339A6">
                  <w:pPr>
                    <w:jc w:val="center"/>
                    <w:rPr>
                      <w:szCs w:val="21"/>
                    </w:rPr>
                  </w:pPr>
                </w:p>
              </w:tc>
              <w:tc>
                <w:tcPr>
                  <w:tcW w:w="312" w:type="pct"/>
                  <w:vAlign w:val="center"/>
                </w:tcPr>
                <w:p w14:paraId="5378BDC3">
                  <w:pPr>
                    <w:pStyle w:val="106"/>
                    <w:rPr>
                      <w:szCs w:val="21"/>
                    </w:rPr>
                  </w:pPr>
                  <w:r>
                    <w:rPr>
                      <w:rFonts w:hint="eastAsia"/>
                      <w:szCs w:val="21"/>
                    </w:rPr>
                    <w:t>0.094</w:t>
                  </w:r>
                </w:p>
              </w:tc>
              <w:tc>
                <w:tcPr>
                  <w:tcW w:w="446" w:type="pct"/>
                  <w:vAlign w:val="center"/>
                </w:tcPr>
                <w:p w14:paraId="7B477EA5">
                  <w:pPr>
                    <w:pStyle w:val="106"/>
                  </w:pPr>
                  <w:r>
                    <w:rPr>
                      <w:rFonts w:hint="eastAsia"/>
                    </w:rPr>
                    <w:t>4</w:t>
                  </w:r>
                </w:p>
              </w:tc>
              <w:tc>
                <w:tcPr>
                  <w:tcW w:w="831" w:type="pct"/>
                  <w:vMerge w:val="continue"/>
                  <w:vAlign w:val="center"/>
                </w:tcPr>
                <w:p w14:paraId="38113D30">
                  <w:pPr>
                    <w:jc w:val="center"/>
                    <w:rPr>
                      <w:szCs w:val="21"/>
                    </w:rPr>
                  </w:pPr>
                </w:p>
              </w:tc>
              <w:tc>
                <w:tcPr>
                  <w:tcW w:w="795" w:type="pct"/>
                  <w:vMerge w:val="continue"/>
                  <w:vAlign w:val="center"/>
                </w:tcPr>
                <w:p w14:paraId="34A30AAB">
                  <w:pPr>
                    <w:jc w:val="center"/>
                    <w:rPr>
                      <w:szCs w:val="21"/>
                    </w:rPr>
                  </w:pPr>
                </w:p>
              </w:tc>
            </w:tr>
            <w:tr w14:paraId="4CD3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65" w:type="pct"/>
                  <w:vMerge w:val="continue"/>
                  <w:vAlign w:val="center"/>
                </w:tcPr>
                <w:p w14:paraId="05DEB151">
                  <w:pPr>
                    <w:jc w:val="center"/>
                    <w:rPr>
                      <w:szCs w:val="21"/>
                    </w:rPr>
                  </w:pPr>
                </w:p>
              </w:tc>
              <w:tc>
                <w:tcPr>
                  <w:tcW w:w="442" w:type="pct"/>
                  <w:vAlign w:val="center"/>
                </w:tcPr>
                <w:p w14:paraId="523EAABC">
                  <w:pPr>
                    <w:widowControl/>
                    <w:jc w:val="center"/>
                    <w:rPr>
                      <w:kern w:val="0"/>
                      <w:szCs w:val="21"/>
                    </w:rPr>
                  </w:pPr>
                  <w:r>
                    <w:rPr>
                      <w:rFonts w:hint="eastAsia"/>
                      <w:kern w:val="0"/>
                      <w:szCs w:val="21"/>
                    </w:rPr>
                    <w:t>石油类</w:t>
                  </w:r>
                </w:p>
              </w:tc>
              <w:tc>
                <w:tcPr>
                  <w:tcW w:w="305" w:type="pct"/>
                  <w:vAlign w:val="center"/>
                </w:tcPr>
                <w:p w14:paraId="231DE54E">
                  <w:pPr>
                    <w:pStyle w:val="106"/>
                    <w:rPr>
                      <w:szCs w:val="21"/>
                    </w:rPr>
                  </w:pPr>
                  <w:r>
                    <w:rPr>
                      <w:rFonts w:hint="eastAsia"/>
                      <w:szCs w:val="21"/>
                    </w:rPr>
                    <w:t>0.011</w:t>
                  </w:r>
                </w:p>
              </w:tc>
              <w:tc>
                <w:tcPr>
                  <w:tcW w:w="444" w:type="pct"/>
                  <w:vAlign w:val="center"/>
                </w:tcPr>
                <w:p w14:paraId="5F63DA2A">
                  <w:pPr>
                    <w:pStyle w:val="106"/>
                  </w:pPr>
                  <w:r>
                    <w:rPr>
                      <w:rFonts w:hint="eastAsia"/>
                    </w:rPr>
                    <w:t>0.5</w:t>
                  </w:r>
                </w:p>
              </w:tc>
              <w:tc>
                <w:tcPr>
                  <w:tcW w:w="555" w:type="pct"/>
                  <w:vMerge w:val="continue"/>
                  <w:vAlign w:val="center"/>
                </w:tcPr>
                <w:p w14:paraId="27FAC052">
                  <w:pPr>
                    <w:pStyle w:val="77"/>
                    <w:autoSpaceDE/>
                    <w:autoSpaceDN/>
                    <w:spacing w:before="120"/>
                    <w:jc w:val="center"/>
                    <w:rPr>
                      <w:rFonts w:ascii="Times New Roman"/>
                      <w:color w:val="auto"/>
                      <w:sz w:val="21"/>
                      <w:szCs w:val="21"/>
                    </w:rPr>
                  </w:pPr>
                </w:p>
              </w:tc>
              <w:tc>
                <w:tcPr>
                  <w:tcW w:w="251" w:type="pct"/>
                  <w:vMerge w:val="continue"/>
                  <w:vAlign w:val="center"/>
                </w:tcPr>
                <w:p w14:paraId="50998AAF">
                  <w:pPr>
                    <w:jc w:val="center"/>
                    <w:rPr>
                      <w:szCs w:val="21"/>
                    </w:rPr>
                  </w:pPr>
                </w:p>
              </w:tc>
              <w:tc>
                <w:tcPr>
                  <w:tcW w:w="153" w:type="pct"/>
                  <w:vMerge w:val="continue"/>
                  <w:vAlign w:val="center"/>
                </w:tcPr>
                <w:p w14:paraId="428706EC">
                  <w:pPr>
                    <w:jc w:val="center"/>
                    <w:rPr>
                      <w:szCs w:val="21"/>
                    </w:rPr>
                  </w:pPr>
                </w:p>
              </w:tc>
              <w:tc>
                <w:tcPr>
                  <w:tcW w:w="312" w:type="pct"/>
                  <w:vAlign w:val="center"/>
                </w:tcPr>
                <w:p w14:paraId="132B5880">
                  <w:pPr>
                    <w:pStyle w:val="106"/>
                    <w:rPr>
                      <w:szCs w:val="21"/>
                    </w:rPr>
                  </w:pPr>
                  <w:r>
                    <w:rPr>
                      <w:rFonts w:hint="eastAsia"/>
                      <w:szCs w:val="21"/>
                    </w:rPr>
                    <w:t>0.007</w:t>
                  </w:r>
                </w:p>
              </w:tc>
              <w:tc>
                <w:tcPr>
                  <w:tcW w:w="446" w:type="pct"/>
                  <w:vAlign w:val="center"/>
                </w:tcPr>
                <w:p w14:paraId="689BACA1">
                  <w:pPr>
                    <w:pStyle w:val="106"/>
                  </w:pPr>
                  <w:r>
                    <w:rPr>
                      <w:rFonts w:hint="eastAsia"/>
                    </w:rPr>
                    <w:t>0.3</w:t>
                  </w:r>
                </w:p>
              </w:tc>
              <w:tc>
                <w:tcPr>
                  <w:tcW w:w="831" w:type="pct"/>
                  <w:vMerge w:val="continue"/>
                  <w:vAlign w:val="center"/>
                </w:tcPr>
                <w:p w14:paraId="17C63394">
                  <w:pPr>
                    <w:jc w:val="center"/>
                    <w:rPr>
                      <w:szCs w:val="21"/>
                    </w:rPr>
                  </w:pPr>
                </w:p>
              </w:tc>
              <w:tc>
                <w:tcPr>
                  <w:tcW w:w="795" w:type="pct"/>
                  <w:vMerge w:val="continue"/>
                  <w:vAlign w:val="center"/>
                </w:tcPr>
                <w:p w14:paraId="140D0A6B">
                  <w:pPr>
                    <w:jc w:val="center"/>
                    <w:rPr>
                      <w:szCs w:val="21"/>
                    </w:rPr>
                  </w:pPr>
                </w:p>
              </w:tc>
            </w:tr>
          </w:tbl>
          <w:p w14:paraId="13C4B710">
            <w:pPr>
              <w:adjustRightInd w:val="0"/>
              <w:snapToGrid w:val="0"/>
              <w:rPr>
                <w:rFonts w:ascii="宋体" w:hAnsi="宋体" w:cs="宋体"/>
                <w:b/>
                <w:bCs/>
                <w:spacing w:val="-10"/>
                <w:sz w:val="24"/>
              </w:rPr>
            </w:pPr>
          </w:p>
          <w:p w14:paraId="7614696A">
            <w:pPr>
              <w:overflowPunct w:val="0"/>
              <w:jc w:val="center"/>
              <w:rPr>
                <w:sz w:val="24"/>
              </w:rPr>
            </w:pPr>
          </w:p>
        </w:tc>
      </w:tr>
    </w:tbl>
    <w:p w14:paraId="7C9ECC5E">
      <w:pPr>
        <w:adjustRightInd w:val="0"/>
        <w:snapToGrid w:val="0"/>
        <w:spacing w:line="360" w:lineRule="auto"/>
        <w:rPr>
          <w:rFonts w:ascii="宋体" w:cs="宋体"/>
          <w:b/>
          <w:kern w:val="0"/>
          <w:sz w:val="28"/>
          <w:szCs w:val="28"/>
        </w:rPr>
        <w:sectPr>
          <w:pgSz w:w="16840" w:h="11907" w:orient="landscape"/>
          <w:pgMar w:top="1418" w:right="1418" w:bottom="1418" w:left="1418" w:header="851" w:footer="851" w:gutter="0"/>
          <w:cols w:space="720" w:num="1"/>
          <w:docGrid w:linePitch="312" w:charSpace="0"/>
        </w:sect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8757"/>
      </w:tblGrid>
      <w:tr w14:paraId="4A073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50" w:type="dxa"/>
            <w:tcMar>
              <w:left w:w="28" w:type="dxa"/>
              <w:right w:w="28" w:type="dxa"/>
            </w:tcMar>
            <w:vAlign w:val="center"/>
          </w:tcPr>
          <w:p w14:paraId="4B5A90BA">
            <w:pPr>
              <w:adjustRightInd w:val="0"/>
              <w:snapToGrid w:val="0"/>
              <w:jc w:val="center"/>
              <w:rPr>
                <w:rFonts w:ascii="宋体" w:hAnsi="宋体" w:cs="宋体"/>
                <w:bCs/>
                <w:sz w:val="24"/>
              </w:rPr>
            </w:pPr>
            <w:r>
              <w:rPr>
                <w:rFonts w:hint="eastAsia" w:ascii="宋体" w:hAnsi="宋体" w:cs="宋体"/>
                <w:bCs/>
                <w:sz w:val="24"/>
              </w:rPr>
              <w:t>运营</w:t>
            </w:r>
          </w:p>
          <w:p w14:paraId="205E7710">
            <w:pPr>
              <w:adjustRightInd w:val="0"/>
              <w:snapToGrid w:val="0"/>
              <w:jc w:val="center"/>
              <w:rPr>
                <w:rFonts w:ascii="宋体" w:hAnsi="宋体" w:cs="宋体"/>
                <w:bCs/>
                <w:sz w:val="24"/>
              </w:rPr>
            </w:pPr>
            <w:r>
              <w:rPr>
                <w:rFonts w:hint="eastAsia" w:ascii="宋体" w:hAnsi="宋体" w:cs="宋体"/>
                <w:bCs/>
                <w:sz w:val="24"/>
              </w:rPr>
              <w:t>期环</w:t>
            </w:r>
          </w:p>
          <w:p w14:paraId="54D91B4F">
            <w:pPr>
              <w:adjustRightInd w:val="0"/>
              <w:snapToGrid w:val="0"/>
              <w:jc w:val="center"/>
              <w:rPr>
                <w:rFonts w:ascii="宋体" w:hAnsi="宋体" w:cs="宋体"/>
                <w:bCs/>
                <w:sz w:val="24"/>
              </w:rPr>
            </w:pPr>
            <w:r>
              <w:rPr>
                <w:rFonts w:hint="eastAsia" w:ascii="宋体" w:hAnsi="宋体" w:cs="宋体"/>
                <w:bCs/>
                <w:sz w:val="24"/>
              </w:rPr>
              <w:t>境影</w:t>
            </w:r>
          </w:p>
          <w:p w14:paraId="58B71EB8">
            <w:pPr>
              <w:adjustRightInd w:val="0"/>
              <w:snapToGrid w:val="0"/>
              <w:jc w:val="center"/>
              <w:rPr>
                <w:rFonts w:ascii="宋体" w:hAnsi="宋体" w:cs="宋体"/>
                <w:bCs/>
                <w:sz w:val="24"/>
              </w:rPr>
            </w:pPr>
            <w:r>
              <w:rPr>
                <w:rFonts w:hint="eastAsia" w:ascii="宋体" w:hAnsi="宋体" w:cs="宋体"/>
                <w:bCs/>
                <w:sz w:val="24"/>
              </w:rPr>
              <w:t>响和</w:t>
            </w:r>
          </w:p>
          <w:p w14:paraId="29846D29">
            <w:pPr>
              <w:adjustRightInd w:val="0"/>
              <w:snapToGrid w:val="0"/>
              <w:jc w:val="center"/>
              <w:rPr>
                <w:rFonts w:ascii="宋体" w:hAnsi="宋体" w:cs="宋体"/>
                <w:bCs/>
                <w:sz w:val="24"/>
              </w:rPr>
            </w:pPr>
            <w:r>
              <w:rPr>
                <w:rFonts w:hint="eastAsia" w:ascii="宋体" w:hAnsi="宋体" w:cs="宋体"/>
                <w:bCs/>
                <w:sz w:val="24"/>
              </w:rPr>
              <w:t>保护</w:t>
            </w:r>
          </w:p>
          <w:p w14:paraId="388DA6D6">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8757" w:type="dxa"/>
            <w:vAlign w:val="center"/>
          </w:tcPr>
          <w:p w14:paraId="3D251932">
            <w:pPr>
              <w:pStyle w:val="20"/>
              <w:spacing w:before="0" w:beforeAutospacing="0" w:after="0" w:afterAutospacing="0" w:line="480" w:lineRule="exact"/>
              <w:ind w:firstLine="482" w:firstLineChars="200"/>
              <w:outlineLvl w:val="0"/>
              <w:rPr>
                <w:rFonts w:ascii="Times New Roman" w:hAnsi="Times New Roman"/>
                <w:b/>
                <w:snapToGrid w:val="0"/>
                <w:szCs w:val="24"/>
              </w:rPr>
            </w:pPr>
            <w:r>
              <w:rPr>
                <w:rFonts w:ascii="Times New Roman" w:hAnsi="Times New Roman"/>
                <w:b/>
                <w:snapToGrid w:val="0"/>
                <w:szCs w:val="24"/>
              </w:rPr>
              <w:t>4.2.</w:t>
            </w:r>
            <w:r>
              <w:rPr>
                <w:rFonts w:hint="eastAsia" w:ascii="Times New Roman" w:hAnsi="Times New Roman"/>
                <w:b/>
                <w:snapToGrid w:val="0"/>
                <w:szCs w:val="24"/>
              </w:rPr>
              <w:t>1</w:t>
            </w:r>
            <w:r>
              <w:rPr>
                <w:rFonts w:ascii="Times New Roman" w:hAnsi="Times New Roman"/>
                <w:b/>
                <w:snapToGrid w:val="0"/>
                <w:szCs w:val="24"/>
              </w:rPr>
              <w:t>.</w:t>
            </w:r>
            <w:r>
              <w:rPr>
                <w:rFonts w:hint="eastAsia" w:ascii="Times New Roman" w:hAnsi="Times New Roman"/>
                <w:b/>
                <w:snapToGrid w:val="0"/>
                <w:szCs w:val="24"/>
              </w:rPr>
              <w:t>2 废水源强核算阐述</w:t>
            </w:r>
          </w:p>
          <w:p w14:paraId="64863A17">
            <w:pPr>
              <w:autoSpaceDE w:val="0"/>
              <w:autoSpaceDN w:val="0"/>
              <w:adjustRightInd w:val="0"/>
              <w:spacing w:line="480" w:lineRule="exact"/>
              <w:ind w:firstLine="480" w:firstLineChars="200"/>
              <w:jc w:val="left"/>
              <w:rPr>
                <w:rFonts w:hAnsi="宋体"/>
                <w:kern w:val="0"/>
                <w:sz w:val="24"/>
              </w:rPr>
            </w:pPr>
            <w:r>
              <w:rPr>
                <w:rFonts w:hAnsi="宋体"/>
                <w:kern w:val="0"/>
                <w:sz w:val="24"/>
              </w:rPr>
              <w:t>本项目外排废水主要为</w:t>
            </w:r>
            <w:r>
              <w:rPr>
                <w:rFonts w:hint="eastAsia" w:hAnsi="宋体"/>
                <w:kern w:val="0"/>
                <w:sz w:val="24"/>
              </w:rPr>
              <w:t>员工生活污水、食堂废水、</w:t>
            </w:r>
            <w:r>
              <w:rPr>
                <w:rFonts w:hAnsi="宋体"/>
                <w:kern w:val="0"/>
                <w:sz w:val="24"/>
              </w:rPr>
              <w:t>地面清洁废水</w:t>
            </w:r>
            <w:r>
              <w:rPr>
                <w:rFonts w:hint="eastAsia" w:hAnsi="宋体"/>
                <w:kern w:val="0"/>
                <w:sz w:val="24"/>
              </w:rPr>
              <w:t>及循环冷却水系统排污水</w:t>
            </w:r>
            <w:r>
              <w:rPr>
                <w:rFonts w:hAnsi="宋体"/>
                <w:kern w:val="0"/>
                <w:sz w:val="24"/>
              </w:rPr>
              <w:t>。</w:t>
            </w:r>
          </w:p>
          <w:p w14:paraId="00C06A3A">
            <w:pPr>
              <w:snapToGrid w:val="0"/>
              <w:spacing w:line="480" w:lineRule="exact"/>
              <w:ind w:firstLine="480" w:firstLineChars="200"/>
              <w:rPr>
                <w:rFonts w:ascii="Calibri" w:hAnsi="Calibri" w:cs="Calibri"/>
                <w:bCs/>
                <w:sz w:val="24"/>
              </w:rPr>
            </w:pPr>
            <w:r>
              <w:rPr>
                <w:rFonts w:hint="eastAsia" w:ascii="Calibri" w:hAnsi="Calibri" w:cs="Calibri"/>
                <w:bCs/>
                <w:sz w:val="24"/>
              </w:rPr>
              <w:t>（1）生活用水</w:t>
            </w:r>
          </w:p>
          <w:p w14:paraId="40A87063">
            <w:pPr>
              <w:adjustRightInd w:val="0"/>
              <w:snapToGrid w:val="0"/>
              <w:spacing w:line="480" w:lineRule="exact"/>
              <w:ind w:firstLine="480" w:firstLineChars="200"/>
              <w:jc w:val="left"/>
              <w:rPr>
                <w:sz w:val="24"/>
              </w:rPr>
            </w:pPr>
            <w:r>
              <w:rPr>
                <w:rFonts w:hint="eastAsia"/>
                <w:bCs/>
                <w:sz w:val="24"/>
              </w:rPr>
              <w:t>①员工生活用水：</w:t>
            </w:r>
            <w:r>
              <w:rPr>
                <w:rFonts w:hint="eastAsia"/>
                <w:sz w:val="24"/>
              </w:rPr>
              <w:t>拟建项目全厂劳动定员1000人，不提供住宿。根据《重庆市城市生活用水定额（2017年修订版）》（渝水[2018]66号）以及《建筑给排水设计规范》（GB50015-2010），非住宿员工按50L/人</w:t>
            </w:r>
            <w:r>
              <w:rPr>
                <w:rFonts w:hint="eastAsia" w:ascii="宋体" w:hAnsi="宋体"/>
                <w:sz w:val="24"/>
              </w:rPr>
              <w:t>﹒</w:t>
            </w:r>
            <w:r>
              <w:rPr>
                <w:rFonts w:hint="eastAsia"/>
                <w:sz w:val="24"/>
              </w:rPr>
              <w:t>d计，则员工生活用水量约为50m</w:t>
            </w:r>
            <w:r>
              <w:rPr>
                <w:rFonts w:hint="eastAsia"/>
                <w:sz w:val="24"/>
                <w:vertAlign w:val="superscript"/>
              </w:rPr>
              <w:t>3</w:t>
            </w:r>
            <w:r>
              <w:rPr>
                <w:rFonts w:hint="eastAsia"/>
                <w:sz w:val="24"/>
              </w:rPr>
              <w:t>/d，全年运营250天，则年用水量为12500m</w:t>
            </w:r>
            <w:r>
              <w:rPr>
                <w:rFonts w:hint="eastAsia"/>
                <w:sz w:val="24"/>
                <w:vertAlign w:val="superscript"/>
              </w:rPr>
              <w:t>3</w:t>
            </w:r>
            <w:r>
              <w:rPr>
                <w:rFonts w:hint="eastAsia"/>
                <w:sz w:val="24"/>
              </w:rPr>
              <w:t>/a，排污系数按0.9计，员工生活污水排放量为45m</w:t>
            </w:r>
            <w:r>
              <w:rPr>
                <w:rFonts w:hint="eastAsia"/>
                <w:sz w:val="24"/>
                <w:vertAlign w:val="superscript"/>
              </w:rPr>
              <w:t>3</w:t>
            </w:r>
            <w:r>
              <w:rPr>
                <w:rFonts w:hint="eastAsia"/>
                <w:sz w:val="24"/>
              </w:rPr>
              <w:t>/d（11250m</w:t>
            </w:r>
            <w:r>
              <w:rPr>
                <w:rFonts w:hint="eastAsia"/>
                <w:sz w:val="24"/>
                <w:vertAlign w:val="superscript"/>
              </w:rPr>
              <w:t>3</w:t>
            </w:r>
            <w:r>
              <w:rPr>
                <w:rFonts w:hint="eastAsia"/>
                <w:sz w:val="24"/>
              </w:rPr>
              <w:t>/a），</w:t>
            </w:r>
            <w:r>
              <w:rPr>
                <w:rFonts w:hAnsi="宋体"/>
                <w:sz w:val="24"/>
              </w:rPr>
              <w:t>主要污染因子为</w:t>
            </w:r>
            <w:r>
              <w:rPr>
                <w:sz w:val="24"/>
              </w:rPr>
              <w:t>COD500mg/L</w:t>
            </w:r>
            <w:r>
              <w:rPr>
                <w:rFonts w:hAnsi="宋体"/>
                <w:sz w:val="24"/>
              </w:rPr>
              <w:t>、</w:t>
            </w:r>
            <w:r>
              <w:rPr>
                <w:sz w:val="24"/>
              </w:rPr>
              <w:t>BOD</w:t>
            </w:r>
            <w:r>
              <w:rPr>
                <w:sz w:val="24"/>
                <w:vertAlign w:val="subscript"/>
              </w:rPr>
              <w:t>5</w:t>
            </w:r>
            <w:r>
              <w:rPr>
                <w:sz w:val="24"/>
              </w:rPr>
              <w:t>300mg/L</w:t>
            </w:r>
            <w:r>
              <w:rPr>
                <w:rFonts w:hAnsi="宋体"/>
                <w:sz w:val="24"/>
              </w:rPr>
              <w:t>、</w:t>
            </w:r>
            <w:r>
              <w:rPr>
                <w:sz w:val="24"/>
              </w:rPr>
              <w:t>SS400mg/L</w:t>
            </w:r>
            <w:r>
              <w:rPr>
                <w:rFonts w:hint="eastAsia" w:hAnsi="宋体"/>
                <w:sz w:val="24"/>
              </w:rPr>
              <w:t>、</w:t>
            </w:r>
            <w:r>
              <w:rPr>
                <w:rFonts w:hAnsi="宋体"/>
                <w:sz w:val="24"/>
              </w:rPr>
              <w:t>氨氮</w:t>
            </w:r>
            <w:r>
              <w:rPr>
                <w:sz w:val="24"/>
              </w:rPr>
              <w:t>45mg/L</w:t>
            </w:r>
            <w:r>
              <w:rPr>
                <w:rFonts w:hint="eastAsia"/>
                <w:sz w:val="24"/>
              </w:rPr>
              <w:t>和总磷</w:t>
            </w:r>
            <w:r>
              <w:rPr>
                <w:sz w:val="24"/>
              </w:rPr>
              <w:t>6mg/L</w:t>
            </w:r>
            <w:r>
              <w:rPr>
                <w:rFonts w:hAnsi="宋体"/>
                <w:sz w:val="24"/>
              </w:rPr>
              <w:t>。</w:t>
            </w:r>
          </w:p>
          <w:p w14:paraId="67DEB344">
            <w:pPr>
              <w:adjustRightInd w:val="0"/>
              <w:snapToGrid w:val="0"/>
              <w:spacing w:line="480" w:lineRule="exact"/>
              <w:ind w:firstLine="480" w:firstLineChars="200"/>
              <w:jc w:val="left"/>
              <w:rPr>
                <w:sz w:val="24"/>
              </w:rPr>
            </w:pPr>
            <w:r>
              <w:rPr>
                <w:rFonts w:hint="eastAsia"/>
                <w:bCs/>
                <w:sz w:val="24"/>
              </w:rPr>
              <w:t>②餐饮用水：</w:t>
            </w:r>
            <w:r>
              <w:rPr>
                <w:rFonts w:hint="eastAsia" w:hAnsi="宋体"/>
                <w:sz w:val="24"/>
              </w:rPr>
              <w:t>拟建项目劳动定员10</w:t>
            </w:r>
            <w:r>
              <w:rPr>
                <w:rFonts w:hAnsi="宋体"/>
                <w:sz w:val="24"/>
              </w:rPr>
              <w:t>00</w:t>
            </w:r>
            <w:r>
              <w:rPr>
                <w:rFonts w:hint="eastAsia" w:hAnsi="宋体"/>
                <w:sz w:val="24"/>
              </w:rPr>
              <w:t>人，食堂提供三餐，类比同类型项目，食堂用水定额按5</w:t>
            </w:r>
            <w:r>
              <w:rPr>
                <w:sz w:val="24"/>
              </w:rPr>
              <w:t>0L/</w:t>
            </w:r>
            <w:r>
              <w:rPr>
                <w:rFonts w:hint="eastAsia"/>
                <w:sz w:val="24"/>
              </w:rPr>
              <w:t>人·d</w:t>
            </w:r>
            <w:r>
              <w:rPr>
                <w:rFonts w:hAnsi="宋体"/>
                <w:sz w:val="24"/>
              </w:rPr>
              <w:t>，则食堂用水量为</w:t>
            </w:r>
            <w:r>
              <w:rPr>
                <w:rFonts w:hint="eastAsia"/>
                <w:sz w:val="24"/>
              </w:rPr>
              <w:t>50</w:t>
            </w:r>
            <w:r>
              <w:rPr>
                <w:sz w:val="24"/>
              </w:rPr>
              <w:t>m</w:t>
            </w:r>
            <w:r>
              <w:rPr>
                <w:sz w:val="24"/>
                <w:vertAlign w:val="superscript"/>
              </w:rPr>
              <w:t>3</w:t>
            </w:r>
            <w:r>
              <w:rPr>
                <w:sz w:val="24"/>
              </w:rPr>
              <w:t>/d</w:t>
            </w:r>
            <w:r>
              <w:rPr>
                <w:rFonts w:hAnsi="宋体"/>
                <w:sz w:val="24"/>
              </w:rPr>
              <w:t>（</w:t>
            </w:r>
            <w:r>
              <w:rPr>
                <w:rFonts w:hint="eastAsia"/>
                <w:sz w:val="24"/>
              </w:rPr>
              <w:t>12500</w:t>
            </w:r>
            <w:r>
              <w:rPr>
                <w:sz w:val="24"/>
              </w:rPr>
              <w:t>m</w:t>
            </w:r>
            <w:r>
              <w:rPr>
                <w:sz w:val="24"/>
                <w:vertAlign w:val="superscript"/>
              </w:rPr>
              <w:t>3</w:t>
            </w:r>
            <w:r>
              <w:rPr>
                <w:sz w:val="24"/>
              </w:rPr>
              <w:t>/a</w:t>
            </w:r>
            <w:r>
              <w:rPr>
                <w:rFonts w:hAnsi="宋体"/>
                <w:sz w:val="24"/>
              </w:rPr>
              <w:t>），排污系数按</w:t>
            </w:r>
            <w:r>
              <w:rPr>
                <w:sz w:val="24"/>
              </w:rPr>
              <w:t>0.9</w:t>
            </w:r>
            <w:r>
              <w:rPr>
                <w:rFonts w:hAnsi="宋体"/>
                <w:sz w:val="24"/>
              </w:rPr>
              <w:t>计，则废水产生量为</w:t>
            </w:r>
            <w:r>
              <w:rPr>
                <w:rFonts w:hint="eastAsia"/>
                <w:sz w:val="24"/>
              </w:rPr>
              <w:t>45</w:t>
            </w:r>
            <w:r>
              <w:rPr>
                <w:sz w:val="24"/>
              </w:rPr>
              <w:t>m</w:t>
            </w:r>
            <w:r>
              <w:rPr>
                <w:sz w:val="24"/>
                <w:vertAlign w:val="superscript"/>
              </w:rPr>
              <w:t>3</w:t>
            </w:r>
            <w:r>
              <w:rPr>
                <w:sz w:val="24"/>
              </w:rPr>
              <w:t>/d</w:t>
            </w:r>
            <w:r>
              <w:rPr>
                <w:rFonts w:hAnsi="宋体"/>
                <w:sz w:val="24"/>
              </w:rPr>
              <w:t>（</w:t>
            </w:r>
            <w:r>
              <w:rPr>
                <w:rFonts w:hint="eastAsia"/>
                <w:sz w:val="24"/>
              </w:rPr>
              <w:t>11250</w:t>
            </w:r>
            <w:r>
              <w:rPr>
                <w:sz w:val="24"/>
              </w:rPr>
              <w:t>m</w:t>
            </w:r>
            <w:r>
              <w:rPr>
                <w:sz w:val="24"/>
                <w:vertAlign w:val="superscript"/>
              </w:rPr>
              <w:t>3</w:t>
            </w:r>
            <w:r>
              <w:rPr>
                <w:sz w:val="24"/>
              </w:rPr>
              <w:t>/a</w:t>
            </w:r>
            <w:r>
              <w:rPr>
                <w:rFonts w:hAnsi="宋体"/>
                <w:sz w:val="24"/>
              </w:rPr>
              <w:t>）</w:t>
            </w:r>
            <w:r>
              <w:rPr>
                <w:rFonts w:hint="eastAsia"/>
                <w:sz w:val="24"/>
              </w:rPr>
              <w:t>，主要污染因子为COD600mg/L、BOD</w:t>
            </w:r>
            <w:r>
              <w:rPr>
                <w:rFonts w:hint="eastAsia"/>
                <w:sz w:val="24"/>
                <w:vertAlign w:val="subscript"/>
              </w:rPr>
              <w:t>5</w:t>
            </w:r>
            <w:r>
              <w:rPr>
                <w:rFonts w:hint="eastAsia"/>
                <w:sz w:val="24"/>
              </w:rPr>
              <w:t>400mg/L、SS450mg/L、氨氮60mg/L、动植物油100mg/L和总磷10</w:t>
            </w:r>
            <w:r>
              <w:rPr>
                <w:sz w:val="24"/>
              </w:rPr>
              <w:t>mg/L</w:t>
            </w:r>
            <w:r>
              <w:rPr>
                <w:rFonts w:hint="eastAsia"/>
                <w:sz w:val="24"/>
              </w:rPr>
              <w:t>。</w:t>
            </w:r>
          </w:p>
          <w:p w14:paraId="149A7B45">
            <w:pPr>
              <w:snapToGrid w:val="0"/>
              <w:spacing w:line="480" w:lineRule="exact"/>
              <w:ind w:firstLine="480" w:firstLineChars="200"/>
              <w:rPr>
                <w:bCs/>
                <w:sz w:val="24"/>
              </w:rPr>
            </w:pPr>
            <w:r>
              <w:rPr>
                <w:rFonts w:hint="eastAsia"/>
                <w:bCs/>
                <w:sz w:val="24"/>
              </w:rPr>
              <w:t>（2）地面清洁用水</w:t>
            </w:r>
          </w:p>
          <w:p w14:paraId="4B6DD4B1">
            <w:pPr>
              <w:adjustRightInd w:val="0"/>
              <w:snapToGrid w:val="0"/>
              <w:spacing w:line="480" w:lineRule="exact"/>
              <w:ind w:firstLine="480" w:firstLineChars="200"/>
              <w:jc w:val="left"/>
              <w:rPr>
                <w:rFonts w:hAnsi="宋体"/>
                <w:sz w:val="24"/>
              </w:rPr>
            </w:pPr>
            <w:r>
              <w:rPr>
                <w:rFonts w:hint="eastAsia" w:hAnsi="宋体"/>
                <w:sz w:val="24"/>
              </w:rPr>
              <w:t>项目生产车间地面不进行冲洗，主要采用拖帕和扫帚进行清洁。每周清洁1次，</w:t>
            </w:r>
            <w:r>
              <w:rPr>
                <w:rFonts w:hAnsi="宋体"/>
                <w:bCs/>
                <w:sz w:val="24"/>
              </w:rPr>
              <w:t>用水定额</w:t>
            </w:r>
            <w:r>
              <w:rPr>
                <w:bCs/>
                <w:sz w:val="24"/>
              </w:rPr>
              <w:t>0.5L/m</w:t>
            </w:r>
            <w:r>
              <w:rPr>
                <w:bCs/>
                <w:sz w:val="24"/>
                <w:vertAlign w:val="superscript"/>
              </w:rPr>
              <w:t>2</w:t>
            </w:r>
            <w:r>
              <w:rPr>
                <w:bCs/>
                <w:sz w:val="24"/>
              </w:rPr>
              <w:t>·</w:t>
            </w:r>
            <w:r>
              <w:rPr>
                <w:rFonts w:hAnsi="宋体"/>
                <w:bCs/>
                <w:sz w:val="24"/>
              </w:rPr>
              <w:t>次</w:t>
            </w:r>
            <w:r>
              <w:rPr>
                <w:rFonts w:hint="eastAsia" w:hAnsi="宋体"/>
                <w:sz w:val="24"/>
              </w:rPr>
              <w:t>，年拖地次数约52次，清洁厂房面积约24000m</w:t>
            </w:r>
            <w:r>
              <w:rPr>
                <w:rFonts w:hint="eastAsia" w:hAnsi="宋体"/>
                <w:sz w:val="24"/>
                <w:vertAlign w:val="superscript"/>
              </w:rPr>
              <w:t>2</w:t>
            </w:r>
            <w:r>
              <w:rPr>
                <w:rFonts w:hint="eastAsia" w:hAnsi="宋体"/>
                <w:sz w:val="24"/>
              </w:rPr>
              <w:t>，则车间地面清洁用水量为624m</w:t>
            </w:r>
            <w:r>
              <w:rPr>
                <w:rFonts w:hint="eastAsia" w:hAnsi="宋体"/>
                <w:sz w:val="24"/>
                <w:vertAlign w:val="superscript"/>
              </w:rPr>
              <w:t>3</w:t>
            </w:r>
            <w:r>
              <w:rPr>
                <w:rFonts w:hint="eastAsia" w:hAnsi="宋体"/>
                <w:sz w:val="24"/>
              </w:rPr>
              <w:t>/a（折合2.08 m</w:t>
            </w:r>
            <w:r>
              <w:rPr>
                <w:rFonts w:hint="eastAsia" w:hAnsi="宋体"/>
                <w:sz w:val="24"/>
                <w:vertAlign w:val="superscript"/>
              </w:rPr>
              <w:t>3</w:t>
            </w:r>
            <w:r>
              <w:rPr>
                <w:rFonts w:hint="eastAsia" w:hAnsi="宋体"/>
                <w:sz w:val="24"/>
              </w:rPr>
              <w:t>/d），折污系数取0.9，废水排放量为561.6 m</w:t>
            </w:r>
            <w:r>
              <w:rPr>
                <w:rFonts w:hint="eastAsia" w:hAnsi="宋体"/>
                <w:sz w:val="24"/>
                <w:vertAlign w:val="superscript"/>
              </w:rPr>
              <w:t>3</w:t>
            </w:r>
            <w:r>
              <w:rPr>
                <w:rFonts w:hint="eastAsia" w:hAnsi="宋体"/>
                <w:sz w:val="24"/>
              </w:rPr>
              <w:t>/a（折合1.872m</w:t>
            </w:r>
            <w:r>
              <w:rPr>
                <w:rFonts w:hint="eastAsia" w:hAnsi="宋体"/>
                <w:sz w:val="24"/>
                <w:vertAlign w:val="superscript"/>
              </w:rPr>
              <w:t>3</w:t>
            </w:r>
            <w:r>
              <w:rPr>
                <w:rFonts w:hint="eastAsia" w:hAnsi="宋体"/>
                <w:sz w:val="24"/>
              </w:rPr>
              <w:t>/d），主要污染因子为COD</w:t>
            </w:r>
            <w:r>
              <w:rPr>
                <w:rFonts w:hint="eastAsia"/>
                <w:sz w:val="24"/>
              </w:rPr>
              <w:t>400mg/L</w:t>
            </w:r>
            <w:r>
              <w:rPr>
                <w:rFonts w:hint="eastAsia" w:hAnsi="宋体"/>
                <w:sz w:val="24"/>
              </w:rPr>
              <w:t>、</w:t>
            </w:r>
            <w:r>
              <w:rPr>
                <w:rFonts w:hint="eastAsia"/>
                <w:sz w:val="24"/>
              </w:rPr>
              <w:t>BOD</w:t>
            </w:r>
            <w:r>
              <w:rPr>
                <w:rFonts w:hint="eastAsia"/>
                <w:sz w:val="24"/>
                <w:vertAlign w:val="subscript"/>
              </w:rPr>
              <w:t>5</w:t>
            </w:r>
            <w:r>
              <w:rPr>
                <w:rFonts w:hint="eastAsia" w:hAnsi="宋体"/>
                <w:sz w:val="24"/>
              </w:rPr>
              <w:t xml:space="preserve"> 250mg/L、SS</w:t>
            </w:r>
            <w:r>
              <w:rPr>
                <w:rFonts w:hint="eastAsia"/>
                <w:sz w:val="24"/>
              </w:rPr>
              <w:t>350mg/L、石油类20 mg/L和总磷10 mg/L</w:t>
            </w:r>
            <w:r>
              <w:rPr>
                <w:rFonts w:hint="eastAsia" w:hAnsi="宋体"/>
                <w:sz w:val="24"/>
              </w:rPr>
              <w:t>。</w:t>
            </w:r>
          </w:p>
          <w:p w14:paraId="04EFCCCB">
            <w:pPr>
              <w:spacing w:line="480" w:lineRule="exact"/>
              <w:ind w:firstLine="480" w:firstLineChars="200"/>
              <w:rPr>
                <w:kern w:val="0"/>
                <w:sz w:val="24"/>
              </w:rPr>
            </w:pPr>
            <w:r>
              <w:rPr>
                <w:rFonts w:hint="eastAsia"/>
                <w:kern w:val="0"/>
                <w:sz w:val="24"/>
              </w:rPr>
              <w:t>（3）循环冷却水系统排污水</w:t>
            </w:r>
          </w:p>
          <w:p w14:paraId="7323047A">
            <w:pPr>
              <w:spacing w:line="480" w:lineRule="exact"/>
              <w:ind w:firstLine="480" w:firstLineChars="200"/>
              <w:rPr>
                <w:bCs/>
                <w:sz w:val="24"/>
              </w:rPr>
            </w:pPr>
            <w:r>
              <w:rPr>
                <w:rFonts w:hint="eastAsia"/>
                <w:bCs/>
                <w:sz w:val="24"/>
              </w:rPr>
              <w:t>根据水平衡可知</w:t>
            </w:r>
            <w:r>
              <w:rPr>
                <w:rFonts w:hint="eastAsia" w:hAnsi="宋体"/>
                <w:bCs/>
                <w:sz w:val="24"/>
              </w:rPr>
              <w:t>，</w:t>
            </w:r>
            <w:r>
              <w:rPr>
                <w:rFonts w:hint="eastAsia"/>
                <w:sz w:val="24"/>
              </w:rPr>
              <w:t>循环冷却水系统排水量为2.16</w:t>
            </w:r>
            <w:r>
              <w:rPr>
                <w:sz w:val="24"/>
              </w:rPr>
              <w:t>m</w:t>
            </w:r>
            <w:r>
              <w:rPr>
                <w:sz w:val="24"/>
                <w:vertAlign w:val="superscript"/>
              </w:rPr>
              <w:t>3</w:t>
            </w:r>
            <w:r>
              <w:rPr>
                <w:sz w:val="24"/>
              </w:rPr>
              <w:t>/d</w:t>
            </w:r>
            <w:r>
              <w:rPr>
                <w:rFonts w:hint="eastAsia"/>
                <w:sz w:val="24"/>
              </w:rPr>
              <w:t>（540</w:t>
            </w:r>
            <w:r>
              <w:rPr>
                <w:sz w:val="24"/>
              </w:rPr>
              <w:t>m</w:t>
            </w:r>
            <w:r>
              <w:rPr>
                <w:sz w:val="24"/>
                <w:vertAlign w:val="superscript"/>
              </w:rPr>
              <w:t>3</w:t>
            </w:r>
            <w:r>
              <w:rPr>
                <w:sz w:val="24"/>
              </w:rPr>
              <w:t>/a</w:t>
            </w:r>
            <w:r>
              <w:rPr>
                <w:rFonts w:hint="eastAsia"/>
                <w:sz w:val="24"/>
              </w:rPr>
              <w:t>），</w:t>
            </w:r>
            <w:r>
              <w:rPr>
                <w:rFonts w:hint="eastAsia"/>
                <w:kern w:val="0"/>
                <w:sz w:val="24"/>
              </w:rPr>
              <w:t>主要污染物为</w:t>
            </w:r>
            <w:r>
              <w:rPr>
                <w:rFonts w:hint="eastAsia"/>
                <w:sz w:val="24"/>
              </w:rPr>
              <w:t>COD、</w:t>
            </w:r>
            <w:r>
              <w:rPr>
                <w:kern w:val="0"/>
                <w:sz w:val="24"/>
              </w:rPr>
              <w:t>SS</w:t>
            </w:r>
            <w:r>
              <w:rPr>
                <w:rFonts w:hint="eastAsia"/>
                <w:kern w:val="0"/>
                <w:sz w:val="24"/>
              </w:rPr>
              <w:t>，</w:t>
            </w:r>
            <w:r>
              <w:rPr>
                <w:rFonts w:hint="eastAsia" w:hAnsi="宋体"/>
                <w:sz w:val="24"/>
              </w:rPr>
              <w:t>类比同类型企业，废水pH值约6~9，SS150</w:t>
            </w:r>
            <w:r>
              <w:rPr>
                <w:kern w:val="0"/>
                <w:sz w:val="24"/>
              </w:rPr>
              <w:t xml:space="preserve"> mg/L</w:t>
            </w:r>
            <w:r>
              <w:rPr>
                <w:rFonts w:hint="eastAsia"/>
                <w:kern w:val="0"/>
                <w:sz w:val="24"/>
              </w:rPr>
              <w:t>、COD100mg/L，</w:t>
            </w:r>
            <w:r>
              <w:rPr>
                <w:rFonts w:hint="eastAsia" w:hAnsi="宋体"/>
                <w:sz w:val="24"/>
              </w:rPr>
              <w:t>排入厂区生化池</w:t>
            </w:r>
            <w:r>
              <w:rPr>
                <w:rFonts w:hint="eastAsia"/>
                <w:kern w:val="0"/>
                <w:sz w:val="24"/>
              </w:rPr>
              <w:t>。</w:t>
            </w:r>
          </w:p>
          <w:p w14:paraId="0ABD1228">
            <w:pPr>
              <w:autoSpaceDE w:val="0"/>
              <w:autoSpaceDN w:val="0"/>
              <w:adjustRightInd w:val="0"/>
              <w:spacing w:line="480" w:lineRule="exact"/>
              <w:ind w:firstLine="480" w:firstLineChars="200"/>
              <w:jc w:val="left"/>
              <w:rPr>
                <w:rFonts w:hAnsi="宋体"/>
                <w:kern w:val="0"/>
                <w:sz w:val="24"/>
              </w:rPr>
            </w:pPr>
            <w:r>
              <w:rPr>
                <w:rFonts w:hint="eastAsia" w:hAnsi="宋体"/>
                <w:kern w:val="0"/>
                <w:sz w:val="24"/>
              </w:rPr>
              <w:t>综上，拟建项目食堂废水经隔油池（设计</w:t>
            </w:r>
            <w:r>
              <w:rPr>
                <w:rFonts w:hAnsi="宋体"/>
                <w:kern w:val="0"/>
                <w:sz w:val="24"/>
              </w:rPr>
              <w:t>处理能力</w:t>
            </w:r>
            <w:r>
              <w:rPr>
                <w:rFonts w:hint="eastAsia"/>
                <w:kern w:val="0"/>
                <w:sz w:val="24"/>
              </w:rPr>
              <w:t>80</w:t>
            </w:r>
            <w:r>
              <w:rPr>
                <w:kern w:val="0"/>
                <w:sz w:val="24"/>
              </w:rPr>
              <w:t>m</w:t>
            </w:r>
            <w:r>
              <w:rPr>
                <w:kern w:val="0"/>
                <w:sz w:val="24"/>
                <w:vertAlign w:val="superscript"/>
              </w:rPr>
              <w:t>3</w:t>
            </w:r>
            <w:r>
              <w:rPr>
                <w:kern w:val="0"/>
                <w:sz w:val="24"/>
              </w:rPr>
              <w:t>/d</w:t>
            </w:r>
            <w:r>
              <w:rPr>
                <w:rFonts w:hint="eastAsia" w:hAnsi="宋体"/>
                <w:kern w:val="0"/>
                <w:sz w:val="24"/>
              </w:rPr>
              <w:t>）处理后同员工</w:t>
            </w:r>
            <w:r>
              <w:rPr>
                <w:rFonts w:hAnsi="宋体"/>
                <w:kern w:val="0"/>
                <w:sz w:val="24"/>
              </w:rPr>
              <w:t>生活污水、地面清洁废水</w:t>
            </w:r>
            <w:r>
              <w:rPr>
                <w:rFonts w:hint="eastAsia" w:hAnsi="宋体"/>
                <w:kern w:val="0"/>
                <w:sz w:val="24"/>
              </w:rPr>
              <w:t>、循环冷却水系统排污水一并进入厂区新建</w:t>
            </w:r>
            <w:r>
              <w:rPr>
                <w:rFonts w:hAnsi="宋体"/>
                <w:kern w:val="0"/>
                <w:sz w:val="24"/>
              </w:rPr>
              <w:t>生化池（</w:t>
            </w:r>
            <w:r>
              <w:rPr>
                <w:rFonts w:hint="eastAsia" w:hAnsi="宋体"/>
                <w:kern w:val="0"/>
                <w:sz w:val="24"/>
              </w:rPr>
              <w:t>设计</w:t>
            </w:r>
            <w:r>
              <w:rPr>
                <w:rFonts w:hAnsi="宋体"/>
                <w:kern w:val="0"/>
                <w:sz w:val="24"/>
              </w:rPr>
              <w:t>处理能力</w:t>
            </w:r>
            <w:r>
              <w:rPr>
                <w:rFonts w:hint="eastAsia" w:hAnsi="宋体"/>
                <w:kern w:val="0"/>
                <w:sz w:val="24"/>
              </w:rPr>
              <w:t>200</w:t>
            </w:r>
            <w:r>
              <w:rPr>
                <w:kern w:val="0"/>
                <w:sz w:val="24"/>
              </w:rPr>
              <w:t>m</w:t>
            </w:r>
            <w:r>
              <w:rPr>
                <w:kern w:val="0"/>
                <w:sz w:val="24"/>
                <w:vertAlign w:val="superscript"/>
              </w:rPr>
              <w:t>3</w:t>
            </w:r>
            <w:r>
              <w:rPr>
                <w:kern w:val="0"/>
                <w:sz w:val="24"/>
              </w:rPr>
              <w:t>/d</w:t>
            </w:r>
            <w:r>
              <w:rPr>
                <w:rFonts w:hAnsi="宋体"/>
                <w:kern w:val="0"/>
                <w:sz w:val="24"/>
              </w:rPr>
              <w:t>）处理达《污水综合排放标准》（</w:t>
            </w:r>
            <w:r>
              <w:rPr>
                <w:kern w:val="0"/>
                <w:sz w:val="24"/>
              </w:rPr>
              <w:t>GB8978-1996</w:t>
            </w:r>
            <w:r>
              <w:rPr>
                <w:rFonts w:hAnsi="宋体"/>
                <w:kern w:val="0"/>
                <w:sz w:val="24"/>
              </w:rPr>
              <w:t>）三级标准后，排入园区污水管网，经</w:t>
            </w:r>
            <w:r>
              <w:rPr>
                <w:rFonts w:hint="eastAsia" w:hAnsi="宋体"/>
                <w:kern w:val="0"/>
                <w:sz w:val="24"/>
              </w:rPr>
              <w:t>李渡大耍坝污水处理厂</w:t>
            </w:r>
            <w:r>
              <w:rPr>
                <w:rFonts w:hAnsi="宋体"/>
                <w:kern w:val="0"/>
                <w:sz w:val="24"/>
              </w:rPr>
              <w:t>处理达《城镇污水处理厂污染物排放标准》</w:t>
            </w:r>
            <w:r>
              <w:rPr>
                <w:kern w:val="0"/>
                <w:sz w:val="24"/>
              </w:rPr>
              <w:t>(GB18918-2002)</w:t>
            </w:r>
            <w:r>
              <w:rPr>
                <w:rFonts w:hAnsi="宋体"/>
                <w:kern w:val="0"/>
                <w:sz w:val="24"/>
              </w:rPr>
              <w:t>中的一级</w:t>
            </w:r>
            <w:r>
              <w:rPr>
                <w:rFonts w:hint="eastAsia"/>
                <w:kern w:val="0"/>
                <w:sz w:val="24"/>
              </w:rPr>
              <w:t>B</w:t>
            </w:r>
            <w:r>
              <w:rPr>
                <w:rFonts w:hAnsi="宋体"/>
                <w:kern w:val="0"/>
                <w:sz w:val="24"/>
              </w:rPr>
              <w:t>标准后</w:t>
            </w:r>
            <w:r>
              <w:rPr>
                <w:rFonts w:hint="eastAsia" w:hAnsi="宋体"/>
                <w:kern w:val="0"/>
                <w:sz w:val="24"/>
              </w:rPr>
              <w:t>排入长江</w:t>
            </w:r>
            <w:r>
              <w:rPr>
                <w:rFonts w:hAnsi="宋体"/>
                <w:kern w:val="0"/>
                <w:sz w:val="24"/>
              </w:rPr>
              <w:t>。</w:t>
            </w:r>
          </w:p>
          <w:p w14:paraId="3597A491">
            <w:pPr>
              <w:autoSpaceDE w:val="0"/>
              <w:autoSpaceDN w:val="0"/>
              <w:adjustRightInd w:val="0"/>
              <w:spacing w:line="480" w:lineRule="exact"/>
              <w:ind w:firstLine="480" w:firstLineChars="200"/>
              <w:jc w:val="left"/>
              <w:rPr>
                <w:b/>
                <w:bCs/>
                <w:sz w:val="24"/>
              </w:rPr>
            </w:pPr>
            <w:r>
              <w:rPr>
                <w:rFonts w:hint="eastAsia" w:hAnsi="宋体"/>
                <w:kern w:val="0"/>
                <w:sz w:val="24"/>
              </w:rPr>
              <w:t>拟建</w:t>
            </w:r>
            <w:r>
              <w:rPr>
                <w:rFonts w:hAnsi="宋体"/>
                <w:kern w:val="0"/>
                <w:sz w:val="24"/>
              </w:rPr>
              <w:t>项目运营期废水排放情况见表</w:t>
            </w:r>
            <w:r>
              <w:rPr>
                <w:rFonts w:hint="eastAsia" w:hAnsi="宋体"/>
                <w:kern w:val="0"/>
                <w:sz w:val="24"/>
              </w:rPr>
              <w:t>4.2-2</w:t>
            </w:r>
            <w:r>
              <w:rPr>
                <w:rFonts w:hAnsi="宋体"/>
                <w:kern w:val="0"/>
                <w:sz w:val="24"/>
              </w:rPr>
              <w:t>。</w:t>
            </w:r>
          </w:p>
          <w:p w14:paraId="1EB1E7BE">
            <w:pPr>
              <w:adjustRightInd w:val="0"/>
              <w:snapToGrid w:val="0"/>
              <w:spacing w:line="440" w:lineRule="exact"/>
              <w:jc w:val="center"/>
              <w:rPr>
                <w:b/>
                <w:bCs/>
                <w:szCs w:val="21"/>
              </w:rPr>
            </w:pPr>
            <w:r>
              <w:rPr>
                <w:rFonts w:hAnsi="宋体"/>
                <w:b/>
                <w:bCs/>
                <w:szCs w:val="21"/>
              </w:rPr>
              <w:t>表</w:t>
            </w:r>
            <w:r>
              <w:rPr>
                <w:b/>
                <w:bCs/>
                <w:szCs w:val="21"/>
              </w:rPr>
              <w:t>4.2-</w:t>
            </w:r>
            <w:r>
              <w:rPr>
                <w:rFonts w:hint="eastAsia"/>
                <w:b/>
                <w:bCs/>
                <w:szCs w:val="21"/>
              </w:rPr>
              <w:t>2</w:t>
            </w:r>
            <w:r>
              <w:rPr>
                <w:b/>
                <w:bCs/>
                <w:szCs w:val="21"/>
              </w:rPr>
              <w:t xml:space="preserve">  </w:t>
            </w:r>
            <w:r>
              <w:rPr>
                <w:rFonts w:hAnsi="宋体"/>
                <w:b/>
                <w:bCs/>
                <w:szCs w:val="21"/>
              </w:rPr>
              <w:t>项目医疗废水污染物产生及排放情况</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1182"/>
              <w:gridCol w:w="986"/>
              <w:gridCol w:w="955"/>
              <w:gridCol w:w="1022"/>
              <w:gridCol w:w="985"/>
              <w:gridCol w:w="1088"/>
              <w:gridCol w:w="1157"/>
              <w:gridCol w:w="1156"/>
            </w:tblGrid>
            <w:tr w14:paraId="1DE6E9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restart"/>
                  <w:vAlign w:val="center"/>
                </w:tcPr>
                <w:p w14:paraId="543F43D4">
                  <w:pPr>
                    <w:pStyle w:val="106"/>
                  </w:pPr>
                  <w:r>
                    <w:t>排放源</w:t>
                  </w:r>
                </w:p>
              </w:tc>
              <w:tc>
                <w:tcPr>
                  <w:tcW w:w="986" w:type="dxa"/>
                  <w:vMerge w:val="restart"/>
                  <w:vAlign w:val="center"/>
                </w:tcPr>
                <w:p w14:paraId="7D81BFA7">
                  <w:pPr>
                    <w:pStyle w:val="106"/>
                  </w:pPr>
                  <w:r>
                    <w:t>污染物</w:t>
                  </w:r>
                </w:p>
                <w:p w14:paraId="45D56B30">
                  <w:pPr>
                    <w:pStyle w:val="106"/>
                  </w:pPr>
                  <w:r>
                    <w:t>名称</w:t>
                  </w:r>
                </w:p>
              </w:tc>
              <w:tc>
                <w:tcPr>
                  <w:tcW w:w="1977" w:type="dxa"/>
                  <w:gridSpan w:val="2"/>
                  <w:vAlign w:val="center"/>
                </w:tcPr>
                <w:p w14:paraId="5548DD44">
                  <w:pPr>
                    <w:pStyle w:val="106"/>
                  </w:pPr>
                  <w:r>
                    <w:rPr>
                      <w:rFonts w:hint="eastAsia"/>
                    </w:rPr>
                    <w:t>污染物产生情况</w:t>
                  </w:r>
                </w:p>
              </w:tc>
              <w:tc>
                <w:tcPr>
                  <w:tcW w:w="2073" w:type="dxa"/>
                  <w:gridSpan w:val="2"/>
                  <w:vAlign w:val="center"/>
                </w:tcPr>
                <w:p w14:paraId="3BEF7310">
                  <w:pPr>
                    <w:pStyle w:val="106"/>
                  </w:pPr>
                  <w:r>
                    <w:rPr>
                      <w:rFonts w:hint="eastAsia"/>
                    </w:rPr>
                    <w:t>生化池处理后排放情况</w:t>
                  </w:r>
                </w:p>
              </w:tc>
              <w:tc>
                <w:tcPr>
                  <w:tcW w:w="2313" w:type="dxa"/>
                  <w:gridSpan w:val="2"/>
                  <w:vAlign w:val="center"/>
                </w:tcPr>
                <w:p w14:paraId="3B369997">
                  <w:pPr>
                    <w:pStyle w:val="106"/>
                  </w:pPr>
                  <w:r>
                    <w:t>污水处理厂处理后</w:t>
                  </w:r>
                  <w:r>
                    <w:rPr>
                      <w:rFonts w:hint="eastAsia"/>
                    </w:rPr>
                    <w:t>排放情况</w:t>
                  </w:r>
                </w:p>
              </w:tc>
            </w:tr>
            <w:tr w14:paraId="27EB34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19BE2D4D">
                  <w:pPr>
                    <w:pStyle w:val="106"/>
                  </w:pPr>
                </w:p>
              </w:tc>
              <w:tc>
                <w:tcPr>
                  <w:tcW w:w="986" w:type="dxa"/>
                  <w:vMerge w:val="continue"/>
                  <w:vAlign w:val="center"/>
                </w:tcPr>
                <w:p w14:paraId="3264555B">
                  <w:pPr>
                    <w:pStyle w:val="106"/>
                  </w:pPr>
                </w:p>
              </w:tc>
              <w:tc>
                <w:tcPr>
                  <w:tcW w:w="955" w:type="dxa"/>
                  <w:vAlign w:val="center"/>
                </w:tcPr>
                <w:p w14:paraId="38E37416">
                  <w:pPr>
                    <w:pStyle w:val="106"/>
                  </w:pPr>
                  <w:r>
                    <w:t>浓度(mg/L)</w:t>
                  </w:r>
                </w:p>
              </w:tc>
              <w:tc>
                <w:tcPr>
                  <w:tcW w:w="1022" w:type="dxa"/>
                  <w:vAlign w:val="center"/>
                </w:tcPr>
                <w:p w14:paraId="4910828B">
                  <w:pPr>
                    <w:pStyle w:val="106"/>
                  </w:pPr>
                  <w:r>
                    <w:t>产生量(t/a)</w:t>
                  </w:r>
                </w:p>
              </w:tc>
              <w:tc>
                <w:tcPr>
                  <w:tcW w:w="985" w:type="dxa"/>
                  <w:vAlign w:val="center"/>
                </w:tcPr>
                <w:p w14:paraId="3DE09354">
                  <w:pPr>
                    <w:pStyle w:val="106"/>
                  </w:pPr>
                  <w:r>
                    <w:t>浓度(mg/L)</w:t>
                  </w:r>
                </w:p>
              </w:tc>
              <w:tc>
                <w:tcPr>
                  <w:tcW w:w="1088" w:type="dxa"/>
                  <w:vAlign w:val="center"/>
                </w:tcPr>
                <w:p w14:paraId="5450EEBC">
                  <w:pPr>
                    <w:pStyle w:val="106"/>
                  </w:pPr>
                  <w:r>
                    <w:t>排放量</w:t>
                  </w:r>
                </w:p>
                <w:p w14:paraId="395E7C3F">
                  <w:pPr>
                    <w:pStyle w:val="106"/>
                  </w:pPr>
                  <w:r>
                    <w:t>(t/a)</w:t>
                  </w:r>
                </w:p>
              </w:tc>
              <w:tc>
                <w:tcPr>
                  <w:tcW w:w="1157" w:type="dxa"/>
                  <w:vAlign w:val="center"/>
                </w:tcPr>
                <w:p w14:paraId="39618AF3">
                  <w:pPr>
                    <w:pStyle w:val="106"/>
                  </w:pPr>
                  <w:r>
                    <w:t>浓度</w:t>
                  </w:r>
                </w:p>
                <w:p w14:paraId="6616E5D4">
                  <w:pPr>
                    <w:pStyle w:val="106"/>
                  </w:pPr>
                  <w:r>
                    <w:t>(mg/L)</w:t>
                  </w:r>
                </w:p>
              </w:tc>
              <w:tc>
                <w:tcPr>
                  <w:tcW w:w="1156" w:type="dxa"/>
                  <w:vAlign w:val="center"/>
                </w:tcPr>
                <w:p w14:paraId="65D03388">
                  <w:pPr>
                    <w:pStyle w:val="106"/>
                  </w:pPr>
                  <w:r>
                    <w:t>排放量</w:t>
                  </w:r>
                </w:p>
                <w:p w14:paraId="302F758A">
                  <w:pPr>
                    <w:pStyle w:val="106"/>
                  </w:pPr>
                  <w:r>
                    <w:t>(t/a)</w:t>
                  </w:r>
                </w:p>
              </w:tc>
            </w:tr>
            <w:tr w14:paraId="0A7163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restart"/>
                  <w:vAlign w:val="center"/>
                </w:tcPr>
                <w:p w14:paraId="7CB7D420">
                  <w:pPr>
                    <w:pStyle w:val="106"/>
                    <w:rPr>
                      <w:bCs/>
                    </w:rPr>
                  </w:pPr>
                  <w:r>
                    <w:rPr>
                      <w:rFonts w:hint="eastAsia"/>
                    </w:rPr>
                    <w:t>员工生活污水</w:t>
                  </w:r>
                  <w:r>
                    <w:rPr>
                      <w:rFonts w:hint="eastAsia"/>
                      <w:bCs/>
                    </w:rPr>
                    <w:t>11250</w:t>
                  </w:r>
                </w:p>
                <w:p w14:paraId="3772F4C1">
                  <w:pPr>
                    <w:pStyle w:val="106"/>
                  </w:pPr>
                  <w:r>
                    <w:t>m</w:t>
                  </w:r>
                  <w:r>
                    <w:rPr>
                      <w:vertAlign w:val="superscript"/>
                    </w:rPr>
                    <w:t>3</w:t>
                  </w:r>
                  <w:r>
                    <w:t>/a</w:t>
                  </w:r>
                </w:p>
              </w:tc>
              <w:tc>
                <w:tcPr>
                  <w:tcW w:w="986" w:type="dxa"/>
                  <w:vAlign w:val="center"/>
                </w:tcPr>
                <w:p w14:paraId="3E2EBD44">
                  <w:pPr>
                    <w:pStyle w:val="106"/>
                  </w:pPr>
                  <w:r>
                    <w:t>COD</w:t>
                  </w:r>
                </w:p>
              </w:tc>
              <w:tc>
                <w:tcPr>
                  <w:tcW w:w="955" w:type="dxa"/>
                  <w:vAlign w:val="center"/>
                </w:tcPr>
                <w:p w14:paraId="4E740267">
                  <w:pPr>
                    <w:pStyle w:val="106"/>
                  </w:pPr>
                  <w:r>
                    <w:rPr>
                      <w:rFonts w:hint="eastAsia"/>
                    </w:rPr>
                    <w:t>500</w:t>
                  </w:r>
                </w:p>
              </w:tc>
              <w:tc>
                <w:tcPr>
                  <w:tcW w:w="1022" w:type="dxa"/>
                  <w:vAlign w:val="center"/>
                </w:tcPr>
                <w:p w14:paraId="6CB3148E">
                  <w:pPr>
                    <w:widowControl/>
                    <w:jc w:val="center"/>
                    <w:rPr>
                      <w:kern w:val="0"/>
                      <w:szCs w:val="21"/>
                    </w:rPr>
                  </w:pPr>
                  <w:r>
                    <w:rPr>
                      <w:rFonts w:hint="eastAsia"/>
                      <w:kern w:val="0"/>
                      <w:szCs w:val="21"/>
                    </w:rPr>
                    <w:t>5.625</w:t>
                  </w:r>
                </w:p>
              </w:tc>
              <w:tc>
                <w:tcPr>
                  <w:tcW w:w="985" w:type="dxa"/>
                </w:tcPr>
                <w:p w14:paraId="05A8EC12">
                  <w:pPr>
                    <w:jc w:val="center"/>
                  </w:pPr>
                  <w:r>
                    <w:rPr>
                      <w:rFonts w:hint="eastAsia"/>
                    </w:rPr>
                    <w:t>/</w:t>
                  </w:r>
                </w:p>
              </w:tc>
              <w:tc>
                <w:tcPr>
                  <w:tcW w:w="1088" w:type="dxa"/>
                </w:tcPr>
                <w:p w14:paraId="59C7DB98">
                  <w:pPr>
                    <w:jc w:val="center"/>
                  </w:pPr>
                  <w:r>
                    <w:rPr>
                      <w:rFonts w:hint="eastAsia"/>
                    </w:rPr>
                    <w:t>/</w:t>
                  </w:r>
                </w:p>
              </w:tc>
              <w:tc>
                <w:tcPr>
                  <w:tcW w:w="1157" w:type="dxa"/>
                </w:tcPr>
                <w:p w14:paraId="7BFFAF80">
                  <w:pPr>
                    <w:jc w:val="center"/>
                  </w:pPr>
                  <w:r>
                    <w:rPr>
                      <w:rFonts w:hint="eastAsia"/>
                    </w:rPr>
                    <w:t>/</w:t>
                  </w:r>
                </w:p>
              </w:tc>
              <w:tc>
                <w:tcPr>
                  <w:tcW w:w="1156" w:type="dxa"/>
                </w:tcPr>
                <w:p w14:paraId="65EDEDAE">
                  <w:pPr>
                    <w:jc w:val="center"/>
                  </w:pPr>
                  <w:r>
                    <w:rPr>
                      <w:rFonts w:hint="eastAsia"/>
                    </w:rPr>
                    <w:t>/</w:t>
                  </w:r>
                </w:p>
              </w:tc>
            </w:tr>
            <w:tr w14:paraId="7B9E30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77E20911">
                  <w:pPr>
                    <w:pStyle w:val="106"/>
                  </w:pPr>
                </w:p>
              </w:tc>
              <w:tc>
                <w:tcPr>
                  <w:tcW w:w="986" w:type="dxa"/>
                  <w:vAlign w:val="center"/>
                </w:tcPr>
                <w:p w14:paraId="5462129E">
                  <w:pPr>
                    <w:pStyle w:val="106"/>
                  </w:pPr>
                  <w:r>
                    <w:t>BOD</w:t>
                  </w:r>
                  <w:r>
                    <w:rPr>
                      <w:vertAlign w:val="subscript"/>
                    </w:rPr>
                    <w:t>5</w:t>
                  </w:r>
                </w:p>
              </w:tc>
              <w:tc>
                <w:tcPr>
                  <w:tcW w:w="955" w:type="dxa"/>
                  <w:vAlign w:val="center"/>
                </w:tcPr>
                <w:p w14:paraId="0A0E5C1C">
                  <w:pPr>
                    <w:pStyle w:val="106"/>
                  </w:pPr>
                  <w:r>
                    <w:rPr>
                      <w:rFonts w:hint="eastAsia"/>
                    </w:rPr>
                    <w:t>300</w:t>
                  </w:r>
                </w:p>
              </w:tc>
              <w:tc>
                <w:tcPr>
                  <w:tcW w:w="1022" w:type="dxa"/>
                  <w:vAlign w:val="center"/>
                </w:tcPr>
                <w:p w14:paraId="467ED835">
                  <w:pPr>
                    <w:jc w:val="center"/>
                    <w:rPr>
                      <w:szCs w:val="21"/>
                    </w:rPr>
                  </w:pPr>
                  <w:r>
                    <w:rPr>
                      <w:rFonts w:hint="eastAsia"/>
                      <w:szCs w:val="21"/>
                    </w:rPr>
                    <w:t>3.375</w:t>
                  </w:r>
                </w:p>
              </w:tc>
              <w:tc>
                <w:tcPr>
                  <w:tcW w:w="985" w:type="dxa"/>
                </w:tcPr>
                <w:p w14:paraId="611AED5D">
                  <w:pPr>
                    <w:jc w:val="center"/>
                  </w:pPr>
                  <w:r>
                    <w:rPr>
                      <w:rFonts w:hint="eastAsia"/>
                    </w:rPr>
                    <w:t>/</w:t>
                  </w:r>
                </w:p>
              </w:tc>
              <w:tc>
                <w:tcPr>
                  <w:tcW w:w="1088" w:type="dxa"/>
                </w:tcPr>
                <w:p w14:paraId="4CE079E6">
                  <w:pPr>
                    <w:jc w:val="center"/>
                  </w:pPr>
                  <w:r>
                    <w:rPr>
                      <w:rFonts w:hint="eastAsia"/>
                    </w:rPr>
                    <w:t>/</w:t>
                  </w:r>
                </w:p>
              </w:tc>
              <w:tc>
                <w:tcPr>
                  <w:tcW w:w="1157" w:type="dxa"/>
                </w:tcPr>
                <w:p w14:paraId="72B8705C">
                  <w:pPr>
                    <w:jc w:val="center"/>
                  </w:pPr>
                  <w:r>
                    <w:rPr>
                      <w:rFonts w:hint="eastAsia"/>
                    </w:rPr>
                    <w:t>/</w:t>
                  </w:r>
                </w:p>
              </w:tc>
              <w:tc>
                <w:tcPr>
                  <w:tcW w:w="1156" w:type="dxa"/>
                </w:tcPr>
                <w:p w14:paraId="2BF5C2D4">
                  <w:pPr>
                    <w:jc w:val="center"/>
                  </w:pPr>
                  <w:r>
                    <w:rPr>
                      <w:rFonts w:hint="eastAsia"/>
                    </w:rPr>
                    <w:t>/</w:t>
                  </w:r>
                </w:p>
              </w:tc>
            </w:tr>
            <w:tr w14:paraId="7CD7C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1B2369B7">
                  <w:pPr>
                    <w:pStyle w:val="106"/>
                  </w:pPr>
                </w:p>
              </w:tc>
              <w:tc>
                <w:tcPr>
                  <w:tcW w:w="986" w:type="dxa"/>
                  <w:vAlign w:val="center"/>
                </w:tcPr>
                <w:p w14:paraId="293207DE">
                  <w:pPr>
                    <w:pStyle w:val="106"/>
                  </w:pPr>
                  <w:r>
                    <w:t>SS</w:t>
                  </w:r>
                </w:p>
              </w:tc>
              <w:tc>
                <w:tcPr>
                  <w:tcW w:w="955" w:type="dxa"/>
                  <w:vAlign w:val="center"/>
                </w:tcPr>
                <w:p w14:paraId="4E2844CE">
                  <w:pPr>
                    <w:pStyle w:val="106"/>
                  </w:pPr>
                  <w:r>
                    <w:rPr>
                      <w:rFonts w:hint="eastAsia"/>
                    </w:rPr>
                    <w:t>400</w:t>
                  </w:r>
                </w:p>
              </w:tc>
              <w:tc>
                <w:tcPr>
                  <w:tcW w:w="1022" w:type="dxa"/>
                  <w:vAlign w:val="center"/>
                </w:tcPr>
                <w:p w14:paraId="3D981E91">
                  <w:pPr>
                    <w:jc w:val="center"/>
                    <w:rPr>
                      <w:szCs w:val="21"/>
                    </w:rPr>
                  </w:pPr>
                  <w:r>
                    <w:rPr>
                      <w:rFonts w:hint="eastAsia"/>
                      <w:szCs w:val="21"/>
                    </w:rPr>
                    <w:t>4.500</w:t>
                  </w:r>
                </w:p>
              </w:tc>
              <w:tc>
                <w:tcPr>
                  <w:tcW w:w="985" w:type="dxa"/>
                </w:tcPr>
                <w:p w14:paraId="582515D3">
                  <w:pPr>
                    <w:jc w:val="center"/>
                  </w:pPr>
                  <w:r>
                    <w:rPr>
                      <w:rFonts w:hint="eastAsia"/>
                    </w:rPr>
                    <w:t>/</w:t>
                  </w:r>
                </w:p>
              </w:tc>
              <w:tc>
                <w:tcPr>
                  <w:tcW w:w="1088" w:type="dxa"/>
                </w:tcPr>
                <w:p w14:paraId="4457CACF">
                  <w:pPr>
                    <w:jc w:val="center"/>
                  </w:pPr>
                  <w:r>
                    <w:rPr>
                      <w:rFonts w:hint="eastAsia"/>
                    </w:rPr>
                    <w:t>/</w:t>
                  </w:r>
                </w:p>
              </w:tc>
              <w:tc>
                <w:tcPr>
                  <w:tcW w:w="1157" w:type="dxa"/>
                </w:tcPr>
                <w:p w14:paraId="4266C91F">
                  <w:pPr>
                    <w:jc w:val="center"/>
                  </w:pPr>
                  <w:r>
                    <w:rPr>
                      <w:rFonts w:hint="eastAsia"/>
                    </w:rPr>
                    <w:t>/</w:t>
                  </w:r>
                </w:p>
              </w:tc>
              <w:tc>
                <w:tcPr>
                  <w:tcW w:w="1156" w:type="dxa"/>
                </w:tcPr>
                <w:p w14:paraId="6738C257">
                  <w:pPr>
                    <w:jc w:val="center"/>
                  </w:pPr>
                  <w:r>
                    <w:rPr>
                      <w:rFonts w:hint="eastAsia"/>
                    </w:rPr>
                    <w:t>/</w:t>
                  </w:r>
                </w:p>
              </w:tc>
            </w:tr>
            <w:tr w14:paraId="44A03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43AA9519">
                  <w:pPr>
                    <w:pStyle w:val="106"/>
                  </w:pPr>
                </w:p>
              </w:tc>
              <w:tc>
                <w:tcPr>
                  <w:tcW w:w="986" w:type="dxa"/>
                  <w:vAlign w:val="center"/>
                </w:tcPr>
                <w:p w14:paraId="3F21E5A5">
                  <w:pPr>
                    <w:pStyle w:val="106"/>
                  </w:pPr>
                  <w:r>
                    <w:t>NH</w:t>
                  </w:r>
                  <w:r>
                    <w:rPr>
                      <w:vertAlign w:val="subscript"/>
                    </w:rPr>
                    <w:t>3</w:t>
                  </w:r>
                  <w:r>
                    <w:t>-N</w:t>
                  </w:r>
                </w:p>
              </w:tc>
              <w:tc>
                <w:tcPr>
                  <w:tcW w:w="955" w:type="dxa"/>
                  <w:vAlign w:val="center"/>
                </w:tcPr>
                <w:p w14:paraId="3A300F7D">
                  <w:pPr>
                    <w:pStyle w:val="106"/>
                  </w:pPr>
                  <w:r>
                    <w:rPr>
                      <w:rFonts w:hint="eastAsia"/>
                    </w:rPr>
                    <w:t>45</w:t>
                  </w:r>
                </w:p>
              </w:tc>
              <w:tc>
                <w:tcPr>
                  <w:tcW w:w="1022" w:type="dxa"/>
                  <w:vAlign w:val="center"/>
                </w:tcPr>
                <w:p w14:paraId="26C08194">
                  <w:pPr>
                    <w:jc w:val="center"/>
                    <w:rPr>
                      <w:szCs w:val="21"/>
                    </w:rPr>
                  </w:pPr>
                  <w:r>
                    <w:rPr>
                      <w:rFonts w:hint="eastAsia"/>
                      <w:szCs w:val="21"/>
                    </w:rPr>
                    <w:t>0.506</w:t>
                  </w:r>
                </w:p>
              </w:tc>
              <w:tc>
                <w:tcPr>
                  <w:tcW w:w="985" w:type="dxa"/>
                </w:tcPr>
                <w:p w14:paraId="7A4B59F6">
                  <w:pPr>
                    <w:jc w:val="center"/>
                  </w:pPr>
                  <w:r>
                    <w:rPr>
                      <w:rFonts w:hint="eastAsia"/>
                    </w:rPr>
                    <w:t>/</w:t>
                  </w:r>
                </w:p>
              </w:tc>
              <w:tc>
                <w:tcPr>
                  <w:tcW w:w="1088" w:type="dxa"/>
                </w:tcPr>
                <w:p w14:paraId="7C528500">
                  <w:pPr>
                    <w:jc w:val="center"/>
                  </w:pPr>
                  <w:r>
                    <w:rPr>
                      <w:rFonts w:hint="eastAsia"/>
                    </w:rPr>
                    <w:t>/</w:t>
                  </w:r>
                </w:p>
              </w:tc>
              <w:tc>
                <w:tcPr>
                  <w:tcW w:w="1157" w:type="dxa"/>
                </w:tcPr>
                <w:p w14:paraId="3BA1A4AA">
                  <w:pPr>
                    <w:jc w:val="center"/>
                  </w:pPr>
                  <w:r>
                    <w:rPr>
                      <w:rFonts w:hint="eastAsia"/>
                    </w:rPr>
                    <w:t>/</w:t>
                  </w:r>
                </w:p>
              </w:tc>
              <w:tc>
                <w:tcPr>
                  <w:tcW w:w="1156" w:type="dxa"/>
                </w:tcPr>
                <w:p w14:paraId="479D0340">
                  <w:pPr>
                    <w:jc w:val="center"/>
                  </w:pPr>
                  <w:r>
                    <w:rPr>
                      <w:rFonts w:hint="eastAsia"/>
                    </w:rPr>
                    <w:t>/</w:t>
                  </w:r>
                </w:p>
              </w:tc>
            </w:tr>
            <w:tr w14:paraId="780FC2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56135F53">
                  <w:pPr>
                    <w:pStyle w:val="106"/>
                  </w:pPr>
                </w:p>
              </w:tc>
              <w:tc>
                <w:tcPr>
                  <w:tcW w:w="986" w:type="dxa"/>
                  <w:vAlign w:val="center"/>
                </w:tcPr>
                <w:p w14:paraId="30E4736D">
                  <w:pPr>
                    <w:pStyle w:val="106"/>
                  </w:pPr>
                  <w:r>
                    <w:rPr>
                      <w:rFonts w:hint="eastAsia"/>
                    </w:rPr>
                    <w:t>总磷</w:t>
                  </w:r>
                </w:p>
              </w:tc>
              <w:tc>
                <w:tcPr>
                  <w:tcW w:w="955" w:type="dxa"/>
                  <w:vAlign w:val="center"/>
                </w:tcPr>
                <w:p w14:paraId="57807234">
                  <w:pPr>
                    <w:pStyle w:val="106"/>
                  </w:pPr>
                  <w:r>
                    <w:rPr>
                      <w:rFonts w:hint="eastAsia"/>
                    </w:rPr>
                    <w:t>6</w:t>
                  </w:r>
                </w:p>
              </w:tc>
              <w:tc>
                <w:tcPr>
                  <w:tcW w:w="1022" w:type="dxa"/>
                  <w:vAlign w:val="center"/>
                </w:tcPr>
                <w:p w14:paraId="163BE05F">
                  <w:pPr>
                    <w:pStyle w:val="106"/>
                    <w:rPr>
                      <w:szCs w:val="21"/>
                    </w:rPr>
                  </w:pPr>
                  <w:r>
                    <w:rPr>
                      <w:rFonts w:hint="eastAsia"/>
                      <w:szCs w:val="21"/>
                    </w:rPr>
                    <w:t>0.068</w:t>
                  </w:r>
                </w:p>
              </w:tc>
              <w:tc>
                <w:tcPr>
                  <w:tcW w:w="985" w:type="dxa"/>
                </w:tcPr>
                <w:p w14:paraId="49557781">
                  <w:pPr>
                    <w:jc w:val="center"/>
                  </w:pPr>
                  <w:r>
                    <w:rPr>
                      <w:rFonts w:hint="eastAsia"/>
                    </w:rPr>
                    <w:t>/</w:t>
                  </w:r>
                </w:p>
              </w:tc>
              <w:tc>
                <w:tcPr>
                  <w:tcW w:w="1088" w:type="dxa"/>
                </w:tcPr>
                <w:p w14:paraId="318123E2">
                  <w:pPr>
                    <w:jc w:val="center"/>
                  </w:pPr>
                  <w:r>
                    <w:rPr>
                      <w:rFonts w:hint="eastAsia"/>
                    </w:rPr>
                    <w:t>/</w:t>
                  </w:r>
                </w:p>
              </w:tc>
              <w:tc>
                <w:tcPr>
                  <w:tcW w:w="1157" w:type="dxa"/>
                </w:tcPr>
                <w:p w14:paraId="51B10452">
                  <w:pPr>
                    <w:jc w:val="center"/>
                  </w:pPr>
                  <w:r>
                    <w:rPr>
                      <w:rFonts w:hint="eastAsia"/>
                    </w:rPr>
                    <w:t>/</w:t>
                  </w:r>
                </w:p>
              </w:tc>
              <w:tc>
                <w:tcPr>
                  <w:tcW w:w="1156" w:type="dxa"/>
                </w:tcPr>
                <w:p w14:paraId="45F10982">
                  <w:pPr>
                    <w:jc w:val="center"/>
                  </w:pPr>
                  <w:r>
                    <w:rPr>
                      <w:rFonts w:hint="eastAsia"/>
                    </w:rPr>
                    <w:t>/</w:t>
                  </w:r>
                </w:p>
              </w:tc>
            </w:tr>
            <w:tr w14:paraId="63891D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restart"/>
                  <w:vAlign w:val="center"/>
                </w:tcPr>
                <w:p w14:paraId="13A769F2">
                  <w:pPr>
                    <w:pStyle w:val="106"/>
                    <w:rPr>
                      <w:bCs/>
                    </w:rPr>
                  </w:pPr>
                  <w:r>
                    <w:rPr>
                      <w:rFonts w:hint="eastAsia"/>
                    </w:rPr>
                    <w:t>食堂废水</w:t>
                  </w:r>
                  <w:r>
                    <w:rPr>
                      <w:rFonts w:hint="eastAsia"/>
                      <w:bCs/>
                    </w:rPr>
                    <w:t>11250</w:t>
                  </w:r>
                </w:p>
                <w:p w14:paraId="7C99863C">
                  <w:pPr>
                    <w:pStyle w:val="106"/>
                  </w:pPr>
                  <w:r>
                    <w:t>m</w:t>
                  </w:r>
                  <w:r>
                    <w:rPr>
                      <w:vertAlign w:val="superscript"/>
                    </w:rPr>
                    <w:t>3</w:t>
                  </w:r>
                  <w:r>
                    <w:t>/a</w:t>
                  </w:r>
                </w:p>
              </w:tc>
              <w:tc>
                <w:tcPr>
                  <w:tcW w:w="986" w:type="dxa"/>
                  <w:vAlign w:val="center"/>
                </w:tcPr>
                <w:p w14:paraId="22394C05">
                  <w:pPr>
                    <w:pStyle w:val="106"/>
                  </w:pPr>
                  <w:r>
                    <w:t>COD</w:t>
                  </w:r>
                </w:p>
              </w:tc>
              <w:tc>
                <w:tcPr>
                  <w:tcW w:w="955" w:type="dxa"/>
                  <w:vAlign w:val="center"/>
                </w:tcPr>
                <w:p w14:paraId="46A3D06F">
                  <w:pPr>
                    <w:pStyle w:val="106"/>
                  </w:pPr>
                  <w:r>
                    <w:rPr>
                      <w:rFonts w:hint="eastAsia"/>
                    </w:rPr>
                    <w:t>600</w:t>
                  </w:r>
                </w:p>
              </w:tc>
              <w:tc>
                <w:tcPr>
                  <w:tcW w:w="1022" w:type="dxa"/>
                  <w:vAlign w:val="center"/>
                </w:tcPr>
                <w:p w14:paraId="484CDD01">
                  <w:pPr>
                    <w:pStyle w:val="106"/>
                    <w:rPr>
                      <w:szCs w:val="21"/>
                    </w:rPr>
                  </w:pPr>
                  <w:r>
                    <w:rPr>
                      <w:rFonts w:hint="eastAsia"/>
                      <w:szCs w:val="21"/>
                    </w:rPr>
                    <w:t>6.750</w:t>
                  </w:r>
                </w:p>
              </w:tc>
              <w:tc>
                <w:tcPr>
                  <w:tcW w:w="985" w:type="dxa"/>
                </w:tcPr>
                <w:p w14:paraId="2B2FCAFE">
                  <w:pPr>
                    <w:jc w:val="center"/>
                  </w:pPr>
                  <w:r>
                    <w:rPr>
                      <w:rFonts w:hint="eastAsia"/>
                    </w:rPr>
                    <w:t>/</w:t>
                  </w:r>
                </w:p>
              </w:tc>
              <w:tc>
                <w:tcPr>
                  <w:tcW w:w="1088" w:type="dxa"/>
                </w:tcPr>
                <w:p w14:paraId="79FE19CB">
                  <w:pPr>
                    <w:jc w:val="center"/>
                  </w:pPr>
                  <w:r>
                    <w:rPr>
                      <w:rFonts w:hint="eastAsia"/>
                    </w:rPr>
                    <w:t>/</w:t>
                  </w:r>
                </w:p>
              </w:tc>
              <w:tc>
                <w:tcPr>
                  <w:tcW w:w="1157" w:type="dxa"/>
                </w:tcPr>
                <w:p w14:paraId="797CB90B">
                  <w:pPr>
                    <w:jc w:val="center"/>
                  </w:pPr>
                  <w:r>
                    <w:rPr>
                      <w:rFonts w:hint="eastAsia"/>
                    </w:rPr>
                    <w:t>/</w:t>
                  </w:r>
                </w:p>
              </w:tc>
              <w:tc>
                <w:tcPr>
                  <w:tcW w:w="1156" w:type="dxa"/>
                </w:tcPr>
                <w:p w14:paraId="27211588">
                  <w:pPr>
                    <w:jc w:val="center"/>
                  </w:pPr>
                  <w:r>
                    <w:rPr>
                      <w:rFonts w:hint="eastAsia"/>
                    </w:rPr>
                    <w:t>/</w:t>
                  </w:r>
                </w:p>
              </w:tc>
            </w:tr>
            <w:tr w14:paraId="5BEAE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1530DB86">
                  <w:pPr>
                    <w:pStyle w:val="106"/>
                  </w:pPr>
                </w:p>
              </w:tc>
              <w:tc>
                <w:tcPr>
                  <w:tcW w:w="986" w:type="dxa"/>
                  <w:vAlign w:val="center"/>
                </w:tcPr>
                <w:p w14:paraId="715D138F">
                  <w:pPr>
                    <w:pStyle w:val="106"/>
                  </w:pPr>
                  <w:r>
                    <w:t>BOD</w:t>
                  </w:r>
                  <w:r>
                    <w:rPr>
                      <w:vertAlign w:val="subscript"/>
                    </w:rPr>
                    <w:t>5</w:t>
                  </w:r>
                </w:p>
              </w:tc>
              <w:tc>
                <w:tcPr>
                  <w:tcW w:w="955" w:type="dxa"/>
                  <w:vAlign w:val="center"/>
                </w:tcPr>
                <w:p w14:paraId="3136DA32">
                  <w:pPr>
                    <w:pStyle w:val="106"/>
                  </w:pPr>
                  <w:r>
                    <w:rPr>
                      <w:rFonts w:hint="eastAsia"/>
                    </w:rPr>
                    <w:t>400</w:t>
                  </w:r>
                </w:p>
              </w:tc>
              <w:tc>
                <w:tcPr>
                  <w:tcW w:w="1022" w:type="dxa"/>
                  <w:vAlign w:val="center"/>
                </w:tcPr>
                <w:p w14:paraId="16573DF5">
                  <w:pPr>
                    <w:pStyle w:val="106"/>
                    <w:rPr>
                      <w:szCs w:val="21"/>
                    </w:rPr>
                  </w:pPr>
                  <w:r>
                    <w:rPr>
                      <w:rFonts w:hint="eastAsia"/>
                      <w:szCs w:val="21"/>
                    </w:rPr>
                    <w:t>4.500</w:t>
                  </w:r>
                </w:p>
              </w:tc>
              <w:tc>
                <w:tcPr>
                  <w:tcW w:w="985" w:type="dxa"/>
                </w:tcPr>
                <w:p w14:paraId="5201983E">
                  <w:pPr>
                    <w:jc w:val="center"/>
                  </w:pPr>
                  <w:r>
                    <w:rPr>
                      <w:rFonts w:hint="eastAsia"/>
                    </w:rPr>
                    <w:t>/</w:t>
                  </w:r>
                </w:p>
              </w:tc>
              <w:tc>
                <w:tcPr>
                  <w:tcW w:w="1088" w:type="dxa"/>
                </w:tcPr>
                <w:p w14:paraId="4DFA4B98">
                  <w:pPr>
                    <w:jc w:val="center"/>
                  </w:pPr>
                  <w:r>
                    <w:rPr>
                      <w:rFonts w:hint="eastAsia"/>
                    </w:rPr>
                    <w:t>/</w:t>
                  </w:r>
                </w:p>
              </w:tc>
              <w:tc>
                <w:tcPr>
                  <w:tcW w:w="1157" w:type="dxa"/>
                </w:tcPr>
                <w:p w14:paraId="3DBCF0BE">
                  <w:pPr>
                    <w:jc w:val="center"/>
                  </w:pPr>
                  <w:r>
                    <w:rPr>
                      <w:rFonts w:hint="eastAsia"/>
                    </w:rPr>
                    <w:t>/</w:t>
                  </w:r>
                </w:p>
              </w:tc>
              <w:tc>
                <w:tcPr>
                  <w:tcW w:w="1156" w:type="dxa"/>
                </w:tcPr>
                <w:p w14:paraId="42BC3113">
                  <w:pPr>
                    <w:jc w:val="center"/>
                  </w:pPr>
                  <w:r>
                    <w:rPr>
                      <w:rFonts w:hint="eastAsia"/>
                    </w:rPr>
                    <w:t>/</w:t>
                  </w:r>
                </w:p>
              </w:tc>
            </w:tr>
            <w:tr w14:paraId="3B186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7365B86A">
                  <w:pPr>
                    <w:pStyle w:val="106"/>
                  </w:pPr>
                </w:p>
              </w:tc>
              <w:tc>
                <w:tcPr>
                  <w:tcW w:w="986" w:type="dxa"/>
                  <w:vAlign w:val="center"/>
                </w:tcPr>
                <w:p w14:paraId="21DAC7AC">
                  <w:pPr>
                    <w:pStyle w:val="106"/>
                  </w:pPr>
                  <w:r>
                    <w:t>SS</w:t>
                  </w:r>
                </w:p>
              </w:tc>
              <w:tc>
                <w:tcPr>
                  <w:tcW w:w="955" w:type="dxa"/>
                  <w:vAlign w:val="center"/>
                </w:tcPr>
                <w:p w14:paraId="404A3741">
                  <w:pPr>
                    <w:pStyle w:val="106"/>
                  </w:pPr>
                  <w:r>
                    <w:rPr>
                      <w:rFonts w:hint="eastAsia"/>
                    </w:rPr>
                    <w:t>450</w:t>
                  </w:r>
                </w:p>
              </w:tc>
              <w:tc>
                <w:tcPr>
                  <w:tcW w:w="1022" w:type="dxa"/>
                  <w:vAlign w:val="center"/>
                </w:tcPr>
                <w:p w14:paraId="2FD48188">
                  <w:pPr>
                    <w:pStyle w:val="106"/>
                    <w:rPr>
                      <w:szCs w:val="21"/>
                    </w:rPr>
                  </w:pPr>
                  <w:r>
                    <w:rPr>
                      <w:rFonts w:hint="eastAsia"/>
                      <w:szCs w:val="21"/>
                    </w:rPr>
                    <w:t>5.063</w:t>
                  </w:r>
                </w:p>
              </w:tc>
              <w:tc>
                <w:tcPr>
                  <w:tcW w:w="985" w:type="dxa"/>
                </w:tcPr>
                <w:p w14:paraId="17051290">
                  <w:pPr>
                    <w:jc w:val="center"/>
                  </w:pPr>
                  <w:r>
                    <w:rPr>
                      <w:rFonts w:hint="eastAsia"/>
                    </w:rPr>
                    <w:t>/</w:t>
                  </w:r>
                </w:p>
              </w:tc>
              <w:tc>
                <w:tcPr>
                  <w:tcW w:w="1088" w:type="dxa"/>
                </w:tcPr>
                <w:p w14:paraId="71F201BE">
                  <w:pPr>
                    <w:jc w:val="center"/>
                  </w:pPr>
                  <w:r>
                    <w:rPr>
                      <w:rFonts w:hint="eastAsia"/>
                    </w:rPr>
                    <w:t>/</w:t>
                  </w:r>
                </w:p>
              </w:tc>
              <w:tc>
                <w:tcPr>
                  <w:tcW w:w="1157" w:type="dxa"/>
                </w:tcPr>
                <w:p w14:paraId="044A19C5">
                  <w:pPr>
                    <w:jc w:val="center"/>
                  </w:pPr>
                  <w:r>
                    <w:rPr>
                      <w:rFonts w:hint="eastAsia"/>
                    </w:rPr>
                    <w:t>/</w:t>
                  </w:r>
                </w:p>
              </w:tc>
              <w:tc>
                <w:tcPr>
                  <w:tcW w:w="1156" w:type="dxa"/>
                </w:tcPr>
                <w:p w14:paraId="0123C2C8">
                  <w:pPr>
                    <w:jc w:val="center"/>
                  </w:pPr>
                  <w:r>
                    <w:rPr>
                      <w:rFonts w:hint="eastAsia"/>
                    </w:rPr>
                    <w:t>/</w:t>
                  </w:r>
                </w:p>
              </w:tc>
            </w:tr>
            <w:tr w14:paraId="718BA6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77456081">
                  <w:pPr>
                    <w:pStyle w:val="106"/>
                  </w:pPr>
                </w:p>
              </w:tc>
              <w:tc>
                <w:tcPr>
                  <w:tcW w:w="986" w:type="dxa"/>
                  <w:vAlign w:val="center"/>
                </w:tcPr>
                <w:p w14:paraId="094C2627">
                  <w:pPr>
                    <w:pStyle w:val="106"/>
                  </w:pPr>
                  <w:r>
                    <w:t>NH</w:t>
                  </w:r>
                  <w:r>
                    <w:rPr>
                      <w:vertAlign w:val="subscript"/>
                    </w:rPr>
                    <w:t>3</w:t>
                  </w:r>
                  <w:r>
                    <w:t>-N</w:t>
                  </w:r>
                </w:p>
              </w:tc>
              <w:tc>
                <w:tcPr>
                  <w:tcW w:w="955" w:type="dxa"/>
                  <w:vAlign w:val="center"/>
                </w:tcPr>
                <w:p w14:paraId="2DDE547B">
                  <w:pPr>
                    <w:pStyle w:val="106"/>
                  </w:pPr>
                  <w:r>
                    <w:rPr>
                      <w:rFonts w:hint="eastAsia"/>
                    </w:rPr>
                    <w:t>60</w:t>
                  </w:r>
                </w:p>
              </w:tc>
              <w:tc>
                <w:tcPr>
                  <w:tcW w:w="1022" w:type="dxa"/>
                  <w:vAlign w:val="center"/>
                </w:tcPr>
                <w:p w14:paraId="1BBAF338">
                  <w:pPr>
                    <w:pStyle w:val="106"/>
                    <w:rPr>
                      <w:szCs w:val="21"/>
                    </w:rPr>
                  </w:pPr>
                  <w:r>
                    <w:rPr>
                      <w:rFonts w:hint="eastAsia"/>
                      <w:szCs w:val="21"/>
                    </w:rPr>
                    <w:t>0.675</w:t>
                  </w:r>
                </w:p>
              </w:tc>
              <w:tc>
                <w:tcPr>
                  <w:tcW w:w="985" w:type="dxa"/>
                </w:tcPr>
                <w:p w14:paraId="424E96AD">
                  <w:pPr>
                    <w:jc w:val="center"/>
                  </w:pPr>
                  <w:r>
                    <w:rPr>
                      <w:rFonts w:hint="eastAsia"/>
                    </w:rPr>
                    <w:t>/</w:t>
                  </w:r>
                </w:p>
              </w:tc>
              <w:tc>
                <w:tcPr>
                  <w:tcW w:w="1088" w:type="dxa"/>
                </w:tcPr>
                <w:p w14:paraId="4EC29CA9">
                  <w:pPr>
                    <w:jc w:val="center"/>
                  </w:pPr>
                  <w:r>
                    <w:rPr>
                      <w:rFonts w:hint="eastAsia"/>
                    </w:rPr>
                    <w:t>/</w:t>
                  </w:r>
                </w:p>
              </w:tc>
              <w:tc>
                <w:tcPr>
                  <w:tcW w:w="1157" w:type="dxa"/>
                </w:tcPr>
                <w:p w14:paraId="6CE10518">
                  <w:pPr>
                    <w:jc w:val="center"/>
                  </w:pPr>
                  <w:r>
                    <w:rPr>
                      <w:rFonts w:hint="eastAsia"/>
                    </w:rPr>
                    <w:t>/</w:t>
                  </w:r>
                </w:p>
              </w:tc>
              <w:tc>
                <w:tcPr>
                  <w:tcW w:w="1156" w:type="dxa"/>
                </w:tcPr>
                <w:p w14:paraId="07F29DDF">
                  <w:pPr>
                    <w:jc w:val="center"/>
                  </w:pPr>
                  <w:r>
                    <w:rPr>
                      <w:rFonts w:hint="eastAsia"/>
                    </w:rPr>
                    <w:t>/</w:t>
                  </w:r>
                </w:p>
              </w:tc>
            </w:tr>
            <w:tr w14:paraId="4AD8F8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50BA6670">
                  <w:pPr>
                    <w:pStyle w:val="106"/>
                  </w:pPr>
                </w:p>
              </w:tc>
              <w:tc>
                <w:tcPr>
                  <w:tcW w:w="986" w:type="dxa"/>
                  <w:vAlign w:val="center"/>
                </w:tcPr>
                <w:p w14:paraId="0BD765E2">
                  <w:pPr>
                    <w:pStyle w:val="106"/>
                  </w:pPr>
                  <w:r>
                    <w:rPr>
                      <w:rFonts w:hint="eastAsia"/>
                    </w:rPr>
                    <w:t>动植物油</w:t>
                  </w:r>
                </w:p>
              </w:tc>
              <w:tc>
                <w:tcPr>
                  <w:tcW w:w="955" w:type="dxa"/>
                  <w:vAlign w:val="center"/>
                </w:tcPr>
                <w:p w14:paraId="74A39673">
                  <w:pPr>
                    <w:pStyle w:val="106"/>
                  </w:pPr>
                  <w:r>
                    <w:rPr>
                      <w:rFonts w:hint="eastAsia"/>
                    </w:rPr>
                    <w:t>100</w:t>
                  </w:r>
                </w:p>
              </w:tc>
              <w:tc>
                <w:tcPr>
                  <w:tcW w:w="1022" w:type="dxa"/>
                  <w:vAlign w:val="center"/>
                </w:tcPr>
                <w:p w14:paraId="54ACD6F0">
                  <w:pPr>
                    <w:pStyle w:val="106"/>
                    <w:rPr>
                      <w:szCs w:val="21"/>
                    </w:rPr>
                  </w:pPr>
                  <w:r>
                    <w:rPr>
                      <w:rFonts w:hint="eastAsia"/>
                      <w:szCs w:val="21"/>
                    </w:rPr>
                    <w:t>1.125</w:t>
                  </w:r>
                </w:p>
              </w:tc>
              <w:tc>
                <w:tcPr>
                  <w:tcW w:w="985" w:type="dxa"/>
                </w:tcPr>
                <w:p w14:paraId="13BC1AF8">
                  <w:pPr>
                    <w:jc w:val="center"/>
                  </w:pPr>
                  <w:r>
                    <w:rPr>
                      <w:rFonts w:hint="eastAsia"/>
                    </w:rPr>
                    <w:t>/</w:t>
                  </w:r>
                </w:p>
              </w:tc>
              <w:tc>
                <w:tcPr>
                  <w:tcW w:w="1088" w:type="dxa"/>
                </w:tcPr>
                <w:p w14:paraId="694B3BF1">
                  <w:pPr>
                    <w:jc w:val="center"/>
                  </w:pPr>
                  <w:r>
                    <w:rPr>
                      <w:rFonts w:hint="eastAsia"/>
                    </w:rPr>
                    <w:t>/</w:t>
                  </w:r>
                </w:p>
              </w:tc>
              <w:tc>
                <w:tcPr>
                  <w:tcW w:w="1157" w:type="dxa"/>
                </w:tcPr>
                <w:p w14:paraId="68749DC6">
                  <w:pPr>
                    <w:jc w:val="center"/>
                  </w:pPr>
                  <w:r>
                    <w:rPr>
                      <w:rFonts w:hint="eastAsia"/>
                    </w:rPr>
                    <w:t>/</w:t>
                  </w:r>
                </w:p>
              </w:tc>
              <w:tc>
                <w:tcPr>
                  <w:tcW w:w="1156" w:type="dxa"/>
                </w:tcPr>
                <w:p w14:paraId="3432A23E">
                  <w:pPr>
                    <w:jc w:val="center"/>
                  </w:pPr>
                  <w:r>
                    <w:rPr>
                      <w:rFonts w:hint="eastAsia"/>
                    </w:rPr>
                    <w:t>/</w:t>
                  </w:r>
                </w:p>
              </w:tc>
            </w:tr>
            <w:tr w14:paraId="556C00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508636FB">
                  <w:pPr>
                    <w:pStyle w:val="106"/>
                  </w:pPr>
                </w:p>
              </w:tc>
              <w:tc>
                <w:tcPr>
                  <w:tcW w:w="986" w:type="dxa"/>
                  <w:vAlign w:val="center"/>
                </w:tcPr>
                <w:p w14:paraId="3E297F79">
                  <w:pPr>
                    <w:pStyle w:val="106"/>
                  </w:pPr>
                  <w:r>
                    <w:rPr>
                      <w:rFonts w:hint="eastAsia"/>
                    </w:rPr>
                    <w:t>总磷</w:t>
                  </w:r>
                </w:p>
              </w:tc>
              <w:tc>
                <w:tcPr>
                  <w:tcW w:w="955" w:type="dxa"/>
                  <w:vAlign w:val="center"/>
                </w:tcPr>
                <w:p w14:paraId="5EF6C88C">
                  <w:pPr>
                    <w:pStyle w:val="106"/>
                  </w:pPr>
                  <w:r>
                    <w:rPr>
                      <w:rFonts w:hint="eastAsia"/>
                    </w:rPr>
                    <w:t>10</w:t>
                  </w:r>
                </w:p>
              </w:tc>
              <w:tc>
                <w:tcPr>
                  <w:tcW w:w="1022" w:type="dxa"/>
                  <w:vAlign w:val="center"/>
                </w:tcPr>
                <w:p w14:paraId="03E9394D">
                  <w:pPr>
                    <w:pStyle w:val="106"/>
                    <w:rPr>
                      <w:szCs w:val="21"/>
                    </w:rPr>
                  </w:pPr>
                  <w:r>
                    <w:rPr>
                      <w:rFonts w:hint="eastAsia"/>
                      <w:szCs w:val="21"/>
                    </w:rPr>
                    <w:t>0.113</w:t>
                  </w:r>
                </w:p>
              </w:tc>
              <w:tc>
                <w:tcPr>
                  <w:tcW w:w="985" w:type="dxa"/>
                </w:tcPr>
                <w:p w14:paraId="6018929F">
                  <w:pPr>
                    <w:jc w:val="center"/>
                  </w:pPr>
                  <w:r>
                    <w:rPr>
                      <w:rFonts w:hint="eastAsia"/>
                    </w:rPr>
                    <w:t>/</w:t>
                  </w:r>
                </w:p>
              </w:tc>
              <w:tc>
                <w:tcPr>
                  <w:tcW w:w="1088" w:type="dxa"/>
                </w:tcPr>
                <w:p w14:paraId="4215844A">
                  <w:pPr>
                    <w:jc w:val="center"/>
                  </w:pPr>
                  <w:r>
                    <w:rPr>
                      <w:rFonts w:hint="eastAsia"/>
                    </w:rPr>
                    <w:t>/</w:t>
                  </w:r>
                </w:p>
              </w:tc>
              <w:tc>
                <w:tcPr>
                  <w:tcW w:w="1157" w:type="dxa"/>
                </w:tcPr>
                <w:p w14:paraId="616DF1DB">
                  <w:pPr>
                    <w:jc w:val="center"/>
                  </w:pPr>
                  <w:r>
                    <w:rPr>
                      <w:rFonts w:hint="eastAsia"/>
                    </w:rPr>
                    <w:t>/</w:t>
                  </w:r>
                </w:p>
              </w:tc>
              <w:tc>
                <w:tcPr>
                  <w:tcW w:w="1156" w:type="dxa"/>
                </w:tcPr>
                <w:p w14:paraId="346F8764">
                  <w:pPr>
                    <w:jc w:val="center"/>
                  </w:pPr>
                  <w:r>
                    <w:rPr>
                      <w:rFonts w:hint="eastAsia"/>
                    </w:rPr>
                    <w:t>/</w:t>
                  </w:r>
                </w:p>
              </w:tc>
            </w:tr>
            <w:tr w14:paraId="09B2F3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restart"/>
                  <w:vAlign w:val="center"/>
                </w:tcPr>
                <w:p w14:paraId="5EA0F94F">
                  <w:pPr>
                    <w:pStyle w:val="106"/>
                  </w:pPr>
                  <w:r>
                    <w:rPr>
                      <w:rFonts w:hint="eastAsia"/>
                    </w:rPr>
                    <w:t>地面清洁废水</w:t>
                  </w:r>
                </w:p>
                <w:p w14:paraId="0ED6C68A">
                  <w:pPr>
                    <w:pStyle w:val="106"/>
                  </w:pPr>
                  <w:r>
                    <w:rPr>
                      <w:rFonts w:hint="eastAsia"/>
                    </w:rPr>
                    <w:t>561.6</w:t>
                  </w:r>
                  <w:r>
                    <w:t xml:space="preserve"> m</w:t>
                  </w:r>
                  <w:r>
                    <w:rPr>
                      <w:vertAlign w:val="superscript"/>
                    </w:rPr>
                    <w:t>3</w:t>
                  </w:r>
                  <w:r>
                    <w:t>/a</w:t>
                  </w:r>
                </w:p>
              </w:tc>
              <w:tc>
                <w:tcPr>
                  <w:tcW w:w="986" w:type="dxa"/>
                  <w:vAlign w:val="center"/>
                </w:tcPr>
                <w:p w14:paraId="1404D2DE">
                  <w:pPr>
                    <w:pStyle w:val="106"/>
                  </w:pPr>
                  <w:r>
                    <w:t>COD</w:t>
                  </w:r>
                </w:p>
              </w:tc>
              <w:tc>
                <w:tcPr>
                  <w:tcW w:w="955" w:type="dxa"/>
                  <w:vAlign w:val="center"/>
                </w:tcPr>
                <w:p w14:paraId="56AC8E27">
                  <w:pPr>
                    <w:pStyle w:val="106"/>
                  </w:pPr>
                  <w:r>
                    <w:rPr>
                      <w:rFonts w:hint="eastAsia"/>
                    </w:rPr>
                    <w:t>400</w:t>
                  </w:r>
                </w:p>
              </w:tc>
              <w:tc>
                <w:tcPr>
                  <w:tcW w:w="1022" w:type="dxa"/>
                  <w:vAlign w:val="center"/>
                </w:tcPr>
                <w:p w14:paraId="355AF34A">
                  <w:pPr>
                    <w:pStyle w:val="106"/>
                    <w:rPr>
                      <w:szCs w:val="21"/>
                    </w:rPr>
                  </w:pPr>
                  <w:r>
                    <w:rPr>
                      <w:rFonts w:hint="eastAsia"/>
                      <w:szCs w:val="21"/>
                    </w:rPr>
                    <w:t>0.225</w:t>
                  </w:r>
                </w:p>
              </w:tc>
              <w:tc>
                <w:tcPr>
                  <w:tcW w:w="985" w:type="dxa"/>
                </w:tcPr>
                <w:p w14:paraId="7D4001FE">
                  <w:pPr>
                    <w:jc w:val="center"/>
                  </w:pPr>
                  <w:r>
                    <w:rPr>
                      <w:rFonts w:hint="eastAsia"/>
                    </w:rPr>
                    <w:t>/</w:t>
                  </w:r>
                </w:p>
              </w:tc>
              <w:tc>
                <w:tcPr>
                  <w:tcW w:w="1088" w:type="dxa"/>
                </w:tcPr>
                <w:p w14:paraId="107F463B">
                  <w:pPr>
                    <w:jc w:val="center"/>
                  </w:pPr>
                  <w:r>
                    <w:rPr>
                      <w:rFonts w:hint="eastAsia"/>
                    </w:rPr>
                    <w:t>/</w:t>
                  </w:r>
                </w:p>
              </w:tc>
              <w:tc>
                <w:tcPr>
                  <w:tcW w:w="1157" w:type="dxa"/>
                </w:tcPr>
                <w:p w14:paraId="3AD731B9">
                  <w:pPr>
                    <w:jc w:val="center"/>
                  </w:pPr>
                  <w:r>
                    <w:rPr>
                      <w:rFonts w:hint="eastAsia"/>
                    </w:rPr>
                    <w:t>/</w:t>
                  </w:r>
                </w:p>
              </w:tc>
              <w:tc>
                <w:tcPr>
                  <w:tcW w:w="1156" w:type="dxa"/>
                </w:tcPr>
                <w:p w14:paraId="429E53D7">
                  <w:pPr>
                    <w:jc w:val="center"/>
                  </w:pPr>
                  <w:r>
                    <w:rPr>
                      <w:rFonts w:hint="eastAsia"/>
                    </w:rPr>
                    <w:t>/</w:t>
                  </w:r>
                </w:p>
              </w:tc>
            </w:tr>
            <w:tr w14:paraId="5ECD52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612A8759">
                  <w:pPr>
                    <w:pStyle w:val="106"/>
                  </w:pPr>
                </w:p>
              </w:tc>
              <w:tc>
                <w:tcPr>
                  <w:tcW w:w="986" w:type="dxa"/>
                  <w:vAlign w:val="center"/>
                </w:tcPr>
                <w:p w14:paraId="0DB6DAD0">
                  <w:pPr>
                    <w:pStyle w:val="106"/>
                  </w:pPr>
                  <w:r>
                    <w:t>BOD</w:t>
                  </w:r>
                  <w:r>
                    <w:rPr>
                      <w:vertAlign w:val="subscript"/>
                    </w:rPr>
                    <w:t>5</w:t>
                  </w:r>
                </w:p>
              </w:tc>
              <w:tc>
                <w:tcPr>
                  <w:tcW w:w="955" w:type="dxa"/>
                  <w:vAlign w:val="center"/>
                </w:tcPr>
                <w:p w14:paraId="0B065D2D">
                  <w:pPr>
                    <w:pStyle w:val="106"/>
                  </w:pPr>
                  <w:r>
                    <w:rPr>
                      <w:rFonts w:hint="eastAsia"/>
                    </w:rPr>
                    <w:t>250</w:t>
                  </w:r>
                </w:p>
              </w:tc>
              <w:tc>
                <w:tcPr>
                  <w:tcW w:w="1022" w:type="dxa"/>
                  <w:vAlign w:val="center"/>
                </w:tcPr>
                <w:p w14:paraId="5D52E74B">
                  <w:pPr>
                    <w:pStyle w:val="106"/>
                    <w:rPr>
                      <w:szCs w:val="21"/>
                    </w:rPr>
                  </w:pPr>
                  <w:r>
                    <w:rPr>
                      <w:rFonts w:hint="eastAsia"/>
                      <w:szCs w:val="21"/>
                    </w:rPr>
                    <w:t>0.140</w:t>
                  </w:r>
                </w:p>
              </w:tc>
              <w:tc>
                <w:tcPr>
                  <w:tcW w:w="985" w:type="dxa"/>
                </w:tcPr>
                <w:p w14:paraId="1DCA64B7">
                  <w:pPr>
                    <w:jc w:val="center"/>
                  </w:pPr>
                  <w:r>
                    <w:rPr>
                      <w:rFonts w:hint="eastAsia"/>
                    </w:rPr>
                    <w:t>/</w:t>
                  </w:r>
                </w:p>
              </w:tc>
              <w:tc>
                <w:tcPr>
                  <w:tcW w:w="1088" w:type="dxa"/>
                </w:tcPr>
                <w:p w14:paraId="0FD43C6A">
                  <w:pPr>
                    <w:jc w:val="center"/>
                  </w:pPr>
                  <w:r>
                    <w:rPr>
                      <w:rFonts w:hint="eastAsia"/>
                    </w:rPr>
                    <w:t>/</w:t>
                  </w:r>
                </w:p>
              </w:tc>
              <w:tc>
                <w:tcPr>
                  <w:tcW w:w="1157" w:type="dxa"/>
                </w:tcPr>
                <w:p w14:paraId="0D91F963">
                  <w:pPr>
                    <w:jc w:val="center"/>
                  </w:pPr>
                  <w:r>
                    <w:rPr>
                      <w:rFonts w:hint="eastAsia"/>
                    </w:rPr>
                    <w:t>/</w:t>
                  </w:r>
                </w:p>
              </w:tc>
              <w:tc>
                <w:tcPr>
                  <w:tcW w:w="1156" w:type="dxa"/>
                </w:tcPr>
                <w:p w14:paraId="5CF602B2">
                  <w:pPr>
                    <w:jc w:val="center"/>
                  </w:pPr>
                  <w:r>
                    <w:rPr>
                      <w:rFonts w:hint="eastAsia"/>
                    </w:rPr>
                    <w:t>/</w:t>
                  </w:r>
                </w:p>
              </w:tc>
            </w:tr>
            <w:tr w14:paraId="43E468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0764F2EA">
                  <w:pPr>
                    <w:pStyle w:val="106"/>
                  </w:pPr>
                </w:p>
              </w:tc>
              <w:tc>
                <w:tcPr>
                  <w:tcW w:w="986" w:type="dxa"/>
                  <w:vAlign w:val="center"/>
                </w:tcPr>
                <w:p w14:paraId="2C0FDA78">
                  <w:pPr>
                    <w:pStyle w:val="106"/>
                  </w:pPr>
                  <w:r>
                    <w:t>SS</w:t>
                  </w:r>
                </w:p>
              </w:tc>
              <w:tc>
                <w:tcPr>
                  <w:tcW w:w="955" w:type="dxa"/>
                  <w:vAlign w:val="center"/>
                </w:tcPr>
                <w:p w14:paraId="1B75B46B">
                  <w:pPr>
                    <w:pStyle w:val="106"/>
                  </w:pPr>
                  <w:r>
                    <w:rPr>
                      <w:rFonts w:hint="eastAsia"/>
                    </w:rPr>
                    <w:t>350</w:t>
                  </w:r>
                </w:p>
              </w:tc>
              <w:tc>
                <w:tcPr>
                  <w:tcW w:w="1022" w:type="dxa"/>
                  <w:vAlign w:val="center"/>
                </w:tcPr>
                <w:p w14:paraId="545110E0">
                  <w:pPr>
                    <w:pStyle w:val="106"/>
                    <w:rPr>
                      <w:szCs w:val="21"/>
                    </w:rPr>
                  </w:pPr>
                  <w:r>
                    <w:rPr>
                      <w:rFonts w:hint="eastAsia"/>
                      <w:szCs w:val="21"/>
                    </w:rPr>
                    <w:t>0.197</w:t>
                  </w:r>
                </w:p>
              </w:tc>
              <w:tc>
                <w:tcPr>
                  <w:tcW w:w="985" w:type="dxa"/>
                </w:tcPr>
                <w:p w14:paraId="2B1F8337">
                  <w:pPr>
                    <w:jc w:val="center"/>
                  </w:pPr>
                  <w:r>
                    <w:rPr>
                      <w:rFonts w:hint="eastAsia"/>
                    </w:rPr>
                    <w:t>/</w:t>
                  </w:r>
                </w:p>
              </w:tc>
              <w:tc>
                <w:tcPr>
                  <w:tcW w:w="1088" w:type="dxa"/>
                </w:tcPr>
                <w:p w14:paraId="16B8911D">
                  <w:pPr>
                    <w:jc w:val="center"/>
                  </w:pPr>
                  <w:r>
                    <w:rPr>
                      <w:rFonts w:hint="eastAsia"/>
                    </w:rPr>
                    <w:t>/</w:t>
                  </w:r>
                </w:p>
              </w:tc>
              <w:tc>
                <w:tcPr>
                  <w:tcW w:w="1157" w:type="dxa"/>
                </w:tcPr>
                <w:p w14:paraId="4443E223">
                  <w:pPr>
                    <w:jc w:val="center"/>
                  </w:pPr>
                  <w:r>
                    <w:rPr>
                      <w:rFonts w:hint="eastAsia"/>
                    </w:rPr>
                    <w:t>/</w:t>
                  </w:r>
                </w:p>
              </w:tc>
              <w:tc>
                <w:tcPr>
                  <w:tcW w:w="1156" w:type="dxa"/>
                </w:tcPr>
                <w:p w14:paraId="3DD0385E">
                  <w:pPr>
                    <w:jc w:val="center"/>
                  </w:pPr>
                  <w:r>
                    <w:rPr>
                      <w:rFonts w:hint="eastAsia"/>
                    </w:rPr>
                    <w:t>/</w:t>
                  </w:r>
                </w:p>
              </w:tc>
            </w:tr>
            <w:tr w14:paraId="465A78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5F985515">
                  <w:pPr>
                    <w:pStyle w:val="106"/>
                  </w:pPr>
                </w:p>
              </w:tc>
              <w:tc>
                <w:tcPr>
                  <w:tcW w:w="986" w:type="dxa"/>
                  <w:vAlign w:val="center"/>
                </w:tcPr>
                <w:p w14:paraId="7918D63B">
                  <w:pPr>
                    <w:pStyle w:val="106"/>
                  </w:pPr>
                  <w:r>
                    <w:rPr>
                      <w:rFonts w:hint="eastAsia"/>
                    </w:rPr>
                    <w:t>石油类</w:t>
                  </w:r>
                </w:p>
              </w:tc>
              <w:tc>
                <w:tcPr>
                  <w:tcW w:w="955" w:type="dxa"/>
                  <w:vAlign w:val="center"/>
                </w:tcPr>
                <w:p w14:paraId="39CC79D2">
                  <w:pPr>
                    <w:pStyle w:val="106"/>
                  </w:pPr>
                  <w:r>
                    <w:rPr>
                      <w:rFonts w:hint="eastAsia"/>
                    </w:rPr>
                    <w:t>20</w:t>
                  </w:r>
                </w:p>
              </w:tc>
              <w:tc>
                <w:tcPr>
                  <w:tcW w:w="1022" w:type="dxa"/>
                  <w:vAlign w:val="center"/>
                </w:tcPr>
                <w:p w14:paraId="23ECF340">
                  <w:pPr>
                    <w:pStyle w:val="106"/>
                    <w:rPr>
                      <w:szCs w:val="21"/>
                    </w:rPr>
                  </w:pPr>
                  <w:r>
                    <w:rPr>
                      <w:rFonts w:hint="eastAsia"/>
                      <w:szCs w:val="21"/>
                    </w:rPr>
                    <w:t>0.011</w:t>
                  </w:r>
                </w:p>
              </w:tc>
              <w:tc>
                <w:tcPr>
                  <w:tcW w:w="985" w:type="dxa"/>
                </w:tcPr>
                <w:p w14:paraId="10BC3E27">
                  <w:pPr>
                    <w:jc w:val="center"/>
                  </w:pPr>
                  <w:r>
                    <w:rPr>
                      <w:rFonts w:hint="eastAsia"/>
                    </w:rPr>
                    <w:t>/</w:t>
                  </w:r>
                </w:p>
              </w:tc>
              <w:tc>
                <w:tcPr>
                  <w:tcW w:w="1088" w:type="dxa"/>
                </w:tcPr>
                <w:p w14:paraId="479C46D2">
                  <w:pPr>
                    <w:jc w:val="center"/>
                  </w:pPr>
                  <w:r>
                    <w:rPr>
                      <w:rFonts w:hint="eastAsia"/>
                    </w:rPr>
                    <w:t>/</w:t>
                  </w:r>
                </w:p>
              </w:tc>
              <w:tc>
                <w:tcPr>
                  <w:tcW w:w="1157" w:type="dxa"/>
                </w:tcPr>
                <w:p w14:paraId="31719229">
                  <w:pPr>
                    <w:jc w:val="center"/>
                  </w:pPr>
                  <w:r>
                    <w:rPr>
                      <w:rFonts w:hint="eastAsia"/>
                    </w:rPr>
                    <w:t>/</w:t>
                  </w:r>
                </w:p>
              </w:tc>
              <w:tc>
                <w:tcPr>
                  <w:tcW w:w="1156" w:type="dxa"/>
                </w:tcPr>
                <w:p w14:paraId="0326A678">
                  <w:pPr>
                    <w:jc w:val="center"/>
                  </w:pPr>
                  <w:r>
                    <w:rPr>
                      <w:rFonts w:hint="eastAsia"/>
                    </w:rPr>
                    <w:t>/</w:t>
                  </w:r>
                </w:p>
              </w:tc>
            </w:tr>
            <w:tr w14:paraId="1ADEEE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1A04939C">
                  <w:pPr>
                    <w:pStyle w:val="106"/>
                  </w:pPr>
                </w:p>
              </w:tc>
              <w:tc>
                <w:tcPr>
                  <w:tcW w:w="986" w:type="dxa"/>
                  <w:vAlign w:val="center"/>
                </w:tcPr>
                <w:p w14:paraId="6F9A025F">
                  <w:pPr>
                    <w:pStyle w:val="106"/>
                  </w:pPr>
                  <w:r>
                    <w:rPr>
                      <w:rFonts w:hint="eastAsia"/>
                    </w:rPr>
                    <w:t>总磷</w:t>
                  </w:r>
                </w:p>
              </w:tc>
              <w:tc>
                <w:tcPr>
                  <w:tcW w:w="955" w:type="dxa"/>
                  <w:vAlign w:val="center"/>
                </w:tcPr>
                <w:p w14:paraId="55E28BC9">
                  <w:pPr>
                    <w:pStyle w:val="106"/>
                  </w:pPr>
                  <w:r>
                    <w:rPr>
                      <w:rFonts w:hint="eastAsia"/>
                    </w:rPr>
                    <w:t>10</w:t>
                  </w:r>
                </w:p>
              </w:tc>
              <w:tc>
                <w:tcPr>
                  <w:tcW w:w="1022" w:type="dxa"/>
                  <w:vAlign w:val="center"/>
                </w:tcPr>
                <w:p w14:paraId="6ECBF4C5">
                  <w:pPr>
                    <w:pStyle w:val="106"/>
                    <w:rPr>
                      <w:szCs w:val="21"/>
                    </w:rPr>
                  </w:pPr>
                  <w:r>
                    <w:rPr>
                      <w:rFonts w:hint="eastAsia"/>
                      <w:szCs w:val="21"/>
                    </w:rPr>
                    <w:t>0.006</w:t>
                  </w:r>
                </w:p>
              </w:tc>
              <w:tc>
                <w:tcPr>
                  <w:tcW w:w="985" w:type="dxa"/>
                </w:tcPr>
                <w:p w14:paraId="456A3EDA">
                  <w:pPr>
                    <w:jc w:val="center"/>
                  </w:pPr>
                  <w:r>
                    <w:rPr>
                      <w:rFonts w:hint="eastAsia"/>
                    </w:rPr>
                    <w:t>/</w:t>
                  </w:r>
                </w:p>
              </w:tc>
              <w:tc>
                <w:tcPr>
                  <w:tcW w:w="1088" w:type="dxa"/>
                </w:tcPr>
                <w:p w14:paraId="4B4C0633">
                  <w:pPr>
                    <w:jc w:val="center"/>
                  </w:pPr>
                  <w:r>
                    <w:rPr>
                      <w:rFonts w:hint="eastAsia"/>
                    </w:rPr>
                    <w:t>/</w:t>
                  </w:r>
                </w:p>
              </w:tc>
              <w:tc>
                <w:tcPr>
                  <w:tcW w:w="1157" w:type="dxa"/>
                </w:tcPr>
                <w:p w14:paraId="1B914595">
                  <w:pPr>
                    <w:jc w:val="center"/>
                  </w:pPr>
                  <w:r>
                    <w:rPr>
                      <w:rFonts w:hint="eastAsia"/>
                    </w:rPr>
                    <w:t>/</w:t>
                  </w:r>
                </w:p>
              </w:tc>
              <w:tc>
                <w:tcPr>
                  <w:tcW w:w="1156" w:type="dxa"/>
                </w:tcPr>
                <w:p w14:paraId="5F22F9A7">
                  <w:pPr>
                    <w:jc w:val="center"/>
                  </w:pPr>
                  <w:r>
                    <w:rPr>
                      <w:rFonts w:hint="eastAsia"/>
                    </w:rPr>
                    <w:t>/</w:t>
                  </w:r>
                </w:p>
              </w:tc>
            </w:tr>
            <w:tr w14:paraId="6A9BC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16" w:hRule="atLeast"/>
              </w:trPr>
              <w:tc>
                <w:tcPr>
                  <w:tcW w:w="1182" w:type="dxa"/>
                  <w:vMerge w:val="restart"/>
                  <w:vAlign w:val="center"/>
                </w:tcPr>
                <w:p w14:paraId="4C3F0613">
                  <w:pPr>
                    <w:pStyle w:val="106"/>
                    <w:rPr>
                      <w:kern w:val="0"/>
                      <w:szCs w:val="21"/>
                    </w:rPr>
                  </w:pPr>
                  <w:r>
                    <w:rPr>
                      <w:rFonts w:hint="eastAsia"/>
                      <w:kern w:val="0"/>
                      <w:szCs w:val="21"/>
                    </w:rPr>
                    <w:t>循环冷却水排污水</w:t>
                  </w:r>
                </w:p>
                <w:p w14:paraId="11821509">
                  <w:pPr>
                    <w:pStyle w:val="106"/>
                  </w:pPr>
                  <w:r>
                    <w:rPr>
                      <w:rFonts w:hint="eastAsia"/>
                      <w:kern w:val="0"/>
                      <w:szCs w:val="21"/>
                    </w:rPr>
                    <w:t>540</w:t>
                  </w:r>
                  <w:r>
                    <w:t xml:space="preserve"> m</w:t>
                  </w:r>
                  <w:r>
                    <w:rPr>
                      <w:vertAlign w:val="superscript"/>
                    </w:rPr>
                    <w:t>3</w:t>
                  </w:r>
                  <w:r>
                    <w:t>/a</w:t>
                  </w:r>
                </w:p>
              </w:tc>
              <w:tc>
                <w:tcPr>
                  <w:tcW w:w="986" w:type="dxa"/>
                  <w:vAlign w:val="center"/>
                </w:tcPr>
                <w:p w14:paraId="6775DDBF">
                  <w:pPr>
                    <w:widowControl/>
                    <w:jc w:val="center"/>
                    <w:rPr>
                      <w:rFonts w:hAnsi="宋体"/>
                      <w:kern w:val="0"/>
                      <w:szCs w:val="21"/>
                    </w:rPr>
                  </w:pPr>
                  <w:r>
                    <w:rPr>
                      <w:rFonts w:hAnsi="宋体"/>
                      <w:kern w:val="0"/>
                      <w:szCs w:val="21"/>
                    </w:rPr>
                    <w:t>COD</w:t>
                  </w:r>
                </w:p>
              </w:tc>
              <w:tc>
                <w:tcPr>
                  <w:tcW w:w="955" w:type="dxa"/>
                  <w:vAlign w:val="center"/>
                </w:tcPr>
                <w:p w14:paraId="1BD3F182">
                  <w:pPr>
                    <w:jc w:val="center"/>
                    <w:rPr>
                      <w:szCs w:val="21"/>
                    </w:rPr>
                  </w:pPr>
                  <w:r>
                    <w:rPr>
                      <w:rFonts w:hint="eastAsia"/>
                      <w:szCs w:val="21"/>
                    </w:rPr>
                    <w:t>1</w:t>
                  </w:r>
                  <w:r>
                    <w:rPr>
                      <w:szCs w:val="21"/>
                    </w:rPr>
                    <w:t>00</w:t>
                  </w:r>
                </w:p>
              </w:tc>
              <w:tc>
                <w:tcPr>
                  <w:tcW w:w="1022" w:type="dxa"/>
                  <w:vAlign w:val="center"/>
                </w:tcPr>
                <w:p w14:paraId="298E39D6">
                  <w:pPr>
                    <w:pStyle w:val="106"/>
                    <w:rPr>
                      <w:szCs w:val="21"/>
                    </w:rPr>
                  </w:pPr>
                  <w:r>
                    <w:rPr>
                      <w:rFonts w:hint="eastAsia"/>
                      <w:szCs w:val="21"/>
                    </w:rPr>
                    <w:t>0.054</w:t>
                  </w:r>
                </w:p>
              </w:tc>
              <w:tc>
                <w:tcPr>
                  <w:tcW w:w="985" w:type="dxa"/>
                </w:tcPr>
                <w:p w14:paraId="57AAD5CE">
                  <w:pPr>
                    <w:jc w:val="center"/>
                  </w:pPr>
                  <w:r>
                    <w:rPr>
                      <w:rFonts w:hint="eastAsia"/>
                    </w:rPr>
                    <w:t>/</w:t>
                  </w:r>
                </w:p>
              </w:tc>
              <w:tc>
                <w:tcPr>
                  <w:tcW w:w="1088" w:type="dxa"/>
                </w:tcPr>
                <w:p w14:paraId="682AD5BA">
                  <w:pPr>
                    <w:jc w:val="center"/>
                  </w:pPr>
                  <w:r>
                    <w:rPr>
                      <w:rFonts w:hint="eastAsia"/>
                    </w:rPr>
                    <w:t>/</w:t>
                  </w:r>
                </w:p>
              </w:tc>
              <w:tc>
                <w:tcPr>
                  <w:tcW w:w="1157" w:type="dxa"/>
                </w:tcPr>
                <w:p w14:paraId="046764E1">
                  <w:pPr>
                    <w:jc w:val="center"/>
                  </w:pPr>
                  <w:r>
                    <w:rPr>
                      <w:rFonts w:hint="eastAsia"/>
                    </w:rPr>
                    <w:t>/</w:t>
                  </w:r>
                </w:p>
              </w:tc>
              <w:tc>
                <w:tcPr>
                  <w:tcW w:w="1156" w:type="dxa"/>
                </w:tcPr>
                <w:p w14:paraId="1B063F87">
                  <w:pPr>
                    <w:jc w:val="center"/>
                  </w:pPr>
                  <w:r>
                    <w:rPr>
                      <w:rFonts w:hint="eastAsia"/>
                    </w:rPr>
                    <w:t>/</w:t>
                  </w:r>
                </w:p>
              </w:tc>
            </w:tr>
            <w:tr w14:paraId="1A1914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247F7A1D">
                  <w:pPr>
                    <w:pStyle w:val="106"/>
                  </w:pPr>
                </w:p>
              </w:tc>
              <w:tc>
                <w:tcPr>
                  <w:tcW w:w="986" w:type="dxa"/>
                  <w:vAlign w:val="center"/>
                </w:tcPr>
                <w:p w14:paraId="795C5F5C">
                  <w:pPr>
                    <w:widowControl/>
                    <w:jc w:val="center"/>
                    <w:rPr>
                      <w:rFonts w:hAnsi="宋体"/>
                      <w:kern w:val="0"/>
                      <w:szCs w:val="21"/>
                    </w:rPr>
                  </w:pPr>
                  <w:r>
                    <w:rPr>
                      <w:rFonts w:hint="eastAsia" w:hAnsi="宋体"/>
                      <w:kern w:val="0"/>
                      <w:szCs w:val="21"/>
                    </w:rPr>
                    <w:t>S</w:t>
                  </w:r>
                  <w:r>
                    <w:rPr>
                      <w:rFonts w:hAnsi="宋体"/>
                      <w:kern w:val="0"/>
                      <w:szCs w:val="21"/>
                    </w:rPr>
                    <w:t>S</w:t>
                  </w:r>
                </w:p>
              </w:tc>
              <w:tc>
                <w:tcPr>
                  <w:tcW w:w="955" w:type="dxa"/>
                  <w:vAlign w:val="center"/>
                </w:tcPr>
                <w:p w14:paraId="6C01F784">
                  <w:pPr>
                    <w:jc w:val="center"/>
                    <w:rPr>
                      <w:szCs w:val="21"/>
                    </w:rPr>
                  </w:pPr>
                  <w:r>
                    <w:rPr>
                      <w:rFonts w:hint="eastAsia"/>
                      <w:szCs w:val="21"/>
                    </w:rPr>
                    <w:t>1</w:t>
                  </w:r>
                  <w:r>
                    <w:rPr>
                      <w:szCs w:val="21"/>
                    </w:rPr>
                    <w:t>50</w:t>
                  </w:r>
                </w:p>
              </w:tc>
              <w:tc>
                <w:tcPr>
                  <w:tcW w:w="1022" w:type="dxa"/>
                  <w:vAlign w:val="center"/>
                </w:tcPr>
                <w:p w14:paraId="49E32AEB">
                  <w:pPr>
                    <w:pStyle w:val="106"/>
                    <w:rPr>
                      <w:szCs w:val="21"/>
                    </w:rPr>
                  </w:pPr>
                  <w:r>
                    <w:rPr>
                      <w:rFonts w:hint="eastAsia"/>
                      <w:szCs w:val="21"/>
                    </w:rPr>
                    <w:t>0.081</w:t>
                  </w:r>
                </w:p>
              </w:tc>
              <w:tc>
                <w:tcPr>
                  <w:tcW w:w="985" w:type="dxa"/>
                </w:tcPr>
                <w:p w14:paraId="44B5E90F">
                  <w:pPr>
                    <w:jc w:val="center"/>
                  </w:pPr>
                  <w:r>
                    <w:rPr>
                      <w:rFonts w:hint="eastAsia"/>
                    </w:rPr>
                    <w:t>/</w:t>
                  </w:r>
                </w:p>
              </w:tc>
              <w:tc>
                <w:tcPr>
                  <w:tcW w:w="1088" w:type="dxa"/>
                </w:tcPr>
                <w:p w14:paraId="44BB0C9A">
                  <w:pPr>
                    <w:jc w:val="center"/>
                  </w:pPr>
                  <w:r>
                    <w:rPr>
                      <w:rFonts w:hint="eastAsia"/>
                    </w:rPr>
                    <w:t>/</w:t>
                  </w:r>
                </w:p>
              </w:tc>
              <w:tc>
                <w:tcPr>
                  <w:tcW w:w="1157" w:type="dxa"/>
                </w:tcPr>
                <w:p w14:paraId="078A89F7">
                  <w:pPr>
                    <w:jc w:val="center"/>
                  </w:pPr>
                  <w:r>
                    <w:rPr>
                      <w:rFonts w:hint="eastAsia"/>
                    </w:rPr>
                    <w:t>/</w:t>
                  </w:r>
                </w:p>
              </w:tc>
              <w:tc>
                <w:tcPr>
                  <w:tcW w:w="1156" w:type="dxa"/>
                </w:tcPr>
                <w:p w14:paraId="16C7AE40">
                  <w:pPr>
                    <w:jc w:val="center"/>
                  </w:pPr>
                  <w:r>
                    <w:rPr>
                      <w:rFonts w:hint="eastAsia"/>
                    </w:rPr>
                    <w:t>/</w:t>
                  </w:r>
                </w:p>
              </w:tc>
            </w:tr>
            <w:tr w14:paraId="33BF3B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restart"/>
                  <w:vAlign w:val="center"/>
                </w:tcPr>
                <w:p w14:paraId="40EC1DD3">
                  <w:pPr>
                    <w:pStyle w:val="106"/>
                  </w:pPr>
                  <w:r>
                    <w:rPr>
                      <w:rFonts w:hint="eastAsia"/>
                    </w:rPr>
                    <w:t>综合废水</w:t>
                  </w:r>
                </w:p>
                <w:p w14:paraId="2EB855E6">
                  <w:pPr>
                    <w:pStyle w:val="106"/>
                  </w:pPr>
                  <w:r>
                    <w:rPr>
                      <w:rFonts w:hint="eastAsia"/>
                    </w:rPr>
                    <w:t>23601.6</w:t>
                  </w:r>
                  <w:r>
                    <w:t>m</w:t>
                  </w:r>
                  <w:r>
                    <w:rPr>
                      <w:vertAlign w:val="superscript"/>
                    </w:rPr>
                    <w:t>3</w:t>
                  </w:r>
                  <w:r>
                    <w:t>/a</w:t>
                  </w:r>
                </w:p>
              </w:tc>
              <w:tc>
                <w:tcPr>
                  <w:tcW w:w="986" w:type="dxa"/>
                  <w:vAlign w:val="center"/>
                </w:tcPr>
                <w:p w14:paraId="79079264">
                  <w:pPr>
                    <w:pStyle w:val="106"/>
                  </w:pPr>
                  <w:r>
                    <w:t>COD</w:t>
                  </w:r>
                </w:p>
              </w:tc>
              <w:tc>
                <w:tcPr>
                  <w:tcW w:w="955" w:type="dxa"/>
                  <w:vAlign w:val="center"/>
                </w:tcPr>
                <w:p w14:paraId="0B9E8AAD">
                  <w:pPr>
                    <w:pStyle w:val="106"/>
                  </w:pPr>
                  <w:r>
                    <w:rPr>
                      <w:rFonts w:hint="eastAsia"/>
                    </w:rPr>
                    <w:t>536</w:t>
                  </w:r>
                </w:p>
              </w:tc>
              <w:tc>
                <w:tcPr>
                  <w:tcW w:w="1022" w:type="dxa"/>
                  <w:vAlign w:val="center"/>
                </w:tcPr>
                <w:p w14:paraId="479D4AA4">
                  <w:pPr>
                    <w:pStyle w:val="106"/>
                    <w:rPr>
                      <w:szCs w:val="21"/>
                    </w:rPr>
                  </w:pPr>
                  <w:r>
                    <w:rPr>
                      <w:rFonts w:hint="eastAsia"/>
                      <w:szCs w:val="21"/>
                    </w:rPr>
                    <w:t>12.654</w:t>
                  </w:r>
                </w:p>
              </w:tc>
              <w:tc>
                <w:tcPr>
                  <w:tcW w:w="985" w:type="dxa"/>
                  <w:vAlign w:val="center"/>
                </w:tcPr>
                <w:p w14:paraId="78229846">
                  <w:pPr>
                    <w:pStyle w:val="106"/>
                  </w:pPr>
                  <w:r>
                    <w:rPr>
                      <w:rFonts w:hint="eastAsia"/>
                    </w:rPr>
                    <w:t>400</w:t>
                  </w:r>
                </w:p>
              </w:tc>
              <w:tc>
                <w:tcPr>
                  <w:tcW w:w="1088" w:type="dxa"/>
                  <w:vAlign w:val="center"/>
                </w:tcPr>
                <w:p w14:paraId="76B43529">
                  <w:pPr>
                    <w:pStyle w:val="106"/>
                    <w:rPr>
                      <w:szCs w:val="21"/>
                    </w:rPr>
                  </w:pPr>
                  <w:r>
                    <w:rPr>
                      <w:rFonts w:hint="eastAsia"/>
                      <w:szCs w:val="21"/>
                    </w:rPr>
                    <w:t>9.441</w:t>
                  </w:r>
                </w:p>
              </w:tc>
              <w:tc>
                <w:tcPr>
                  <w:tcW w:w="1157" w:type="dxa"/>
                  <w:vAlign w:val="center"/>
                </w:tcPr>
                <w:p w14:paraId="69C2885C">
                  <w:pPr>
                    <w:pStyle w:val="106"/>
                  </w:pPr>
                  <w:r>
                    <w:rPr>
                      <w:rFonts w:hint="eastAsia"/>
                    </w:rPr>
                    <w:t>60</w:t>
                  </w:r>
                </w:p>
              </w:tc>
              <w:tc>
                <w:tcPr>
                  <w:tcW w:w="1156" w:type="dxa"/>
                  <w:vAlign w:val="center"/>
                </w:tcPr>
                <w:p w14:paraId="5F0D7BF3">
                  <w:pPr>
                    <w:pStyle w:val="106"/>
                    <w:rPr>
                      <w:szCs w:val="21"/>
                    </w:rPr>
                  </w:pPr>
                  <w:r>
                    <w:rPr>
                      <w:rFonts w:hint="eastAsia"/>
                      <w:szCs w:val="21"/>
                    </w:rPr>
                    <w:t>1.416</w:t>
                  </w:r>
                </w:p>
              </w:tc>
            </w:tr>
            <w:tr w14:paraId="0B947E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420BF6F0">
                  <w:pPr>
                    <w:pStyle w:val="106"/>
                  </w:pPr>
                </w:p>
              </w:tc>
              <w:tc>
                <w:tcPr>
                  <w:tcW w:w="986" w:type="dxa"/>
                  <w:vAlign w:val="center"/>
                </w:tcPr>
                <w:p w14:paraId="0404740F">
                  <w:pPr>
                    <w:pStyle w:val="106"/>
                  </w:pPr>
                  <w:r>
                    <w:t>BOD</w:t>
                  </w:r>
                  <w:r>
                    <w:rPr>
                      <w:vertAlign w:val="subscript"/>
                    </w:rPr>
                    <w:t>5</w:t>
                  </w:r>
                </w:p>
              </w:tc>
              <w:tc>
                <w:tcPr>
                  <w:tcW w:w="955" w:type="dxa"/>
                  <w:vAlign w:val="center"/>
                </w:tcPr>
                <w:p w14:paraId="62EE496E">
                  <w:pPr>
                    <w:pStyle w:val="106"/>
                  </w:pPr>
                  <w:r>
                    <w:rPr>
                      <w:rFonts w:hint="eastAsia"/>
                    </w:rPr>
                    <w:t>340</w:t>
                  </w:r>
                </w:p>
              </w:tc>
              <w:tc>
                <w:tcPr>
                  <w:tcW w:w="1022" w:type="dxa"/>
                  <w:vAlign w:val="center"/>
                </w:tcPr>
                <w:p w14:paraId="0131D1D1">
                  <w:pPr>
                    <w:pStyle w:val="106"/>
                    <w:rPr>
                      <w:szCs w:val="21"/>
                    </w:rPr>
                  </w:pPr>
                  <w:r>
                    <w:rPr>
                      <w:rFonts w:hint="eastAsia"/>
                      <w:szCs w:val="21"/>
                    </w:rPr>
                    <w:t>8.015</w:t>
                  </w:r>
                </w:p>
              </w:tc>
              <w:tc>
                <w:tcPr>
                  <w:tcW w:w="985" w:type="dxa"/>
                  <w:vAlign w:val="center"/>
                </w:tcPr>
                <w:p w14:paraId="06960224">
                  <w:pPr>
                    <w:pStyle w:val="106"/>
                  </w:pPr>
                  <w:r>
                    <w:rPr>
                      <w:rFonts w:hint="eastAsia"/>
                    </w:rPr>
                    <w:t>200</w:t>
                  </w:r>
                </w:p>
              </w:tc>
              <w:tc>
                <w:tcPr>
                  <w:tcW w:w="1088" w:type="dxa"/>
                  <w:vAlign w:val="center"/>
                </w:tcPr>
                <w:p w14:paraId="42DFCC3A">
                  <w:pPr>
                    <w:pStyle w:val="106"/>
                    <w:rPr>
                      <w:szCs w:val="21"/>
                    </w:rPr>
                  </w:pPr>
                  <w:r>
                    <w:rPr>
                      <w:rFonts w:hint="eastAsia"/>
                      <w:szCs w:val="21"/>
                    </w:rPr>
                    <w:t>4.72</w:t>
                  </w:r>
                </w:p>
              </w:tc>
              <w:tc>
                <w:tcPr>
                  <w:tcW w:w="1157" w:type="dxa"/>
                  <w:vAlign w:val="center"/>
                </w:tcPr>
                <w:p w14:paraId="723238B3">
                  <w:pPr>
                    <w:pStyle w:val="106"/>
                  </w:pPr>
                  <w:r>
                    <w:rPr>
                      <w:rFonts w:hint="eastAsia"/>
                    </w:rPr>
                    <w:t>20</w:t>
                  </w:r>
                </w:p>
              </w:tc>
              <w:tc>
                <w:tcPr>
                  <w:tcW w:w="1156" w:type="dxa"/>
                  <w:vAlign w:val="center"/>
                </w:tcPr>
                <w:p w14:paraId="47C220B6">
                  <w:pPr>
                    <w:pStyle w:val="106"/>
                    <w:rPr>
                      <w:szCs w:val="21"/>
                    </w:rPr>
                  </w:pPr>
                  <w:r>
                    <w:rPr>
                      <w:rFonts w:hint="eastAsia"/>
                      <w:szCs w:val="21"/>
                    </w:rPr>
                    <w:t>0.472</w:t>
                  </w:r>
                </w:p>
              </w:tc>
            </w:tr>
            <w:tr w14:paraId="77050E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3D99BDB8">
                  <w:pPr>
                    <w:pStyle w:val="106"/>
                  </w:pPr>
                </w:p>
              </w:tc>
              <w:tc>
                <w:tcPr>
                  <w:tcW w:w="986" w:type="dxa"/>
                  <w:vAlign w:val="center"/>
                </w:tcPr>
                <w:p w14:paraId="4D8C3978">
                  <w:pPr>
                    <w:pStyle w:val="106"/>
                  </w:pPr>
                  <w:r>
                    <w:t>SS</w:t>
                  </w:r>
                </w:p>
              </w:tc>
              <w:tc>
                <w:tcPr>
                  <w:tcW w:w="955" w:type="dxa"/>
                  <w:vAlign w:val="center"/>
                </w:tcPr>
                <w:p w14:paraId="66BB5675">
                  <w:pPr>
                    <w:pStyle w:val="106"/>
                  </w:pPr>
                  <w:r>
                    <w:rPr>
                      <w:rFonts w:hint="eastAsia"/>
                    </w:rPr>
                    <w:t>417</w:t>
                  </w:r>
                </w:p>
              </w:tc>
              <w:tc>
                <w:tcPr>
                  <w:tcW w:w="1022" w:type="dxa"/>
                  <w:vAlign w:val="center"/>
                </w:tcPr>
                <w:p w14:paraId="254457B7">
                  <w:pPr>
                    <w:pStyle w:val="106"/>
                    <w:rPr>
                      <w:szCs w:val="21"/>
                    </w:rPr>
                  </w:pPr>
                  <w:r>
                    <w:rPr>
                      <w:rFonts w:hint="eastAsia"/>
                      <w:szCs w:val="21"/>
                    </w:rPr>
                    <w:t>9.841</w:t>
                  </w:r>
                </w:p>
              </w:tc>
              <w:tc>
                <w:tcPr>
                  <w:tcW w:w="985" w:type="dxa"/>
                  <w:vAlign w:val="center"/>
                </w:tcPr>
                <w:p w14:paraId="74284131">
                  <w:pPr>
                    <w:pStyle w:val="106"/>
                  </w:pPr>
                  <w:r>
                    <w:rPr>
                      <w:rFonts w:hint="eastAsia"/>
                    </w:rPr>
                    <w:t>300</w:t>
                  </w:r>
                </w:p>
              </w:tc>
              <w:tc>
                <w:tcPr>
                  <w:tcW w:w="1088" w:type="dxa"/>
                  <w:vAlign w:val="center"/>
                </w:tcPr>
                <w:p w14:paraId="18DAE2D0">
                  <w:pPr>
                    <w:pStyle w:val="106"/>
                    <w:rPr>
                      <w:szCs w:val="21"/>
                    </w:rPr>
                  </w:pPr>
                  <w:r>
                    <w:rPr>
                      <w:rFonts w:hint="eastAsia"/>
                      <w:szCs w:val="21"/>
                    </w:rPr>
                    <w:t>7.08</w:t>
                  </w:r>
                </w:p>
              </w:tc>
              <w:tc>
                <w:tcPr>
                  <w:tcW w:w="1157" w:type="dxa"/>
                  <w:vAlign w:val="center"/>
                </w:tcPr>
                <w:p w14:paraId="14F99F53">
                  <w:pPr>
                    <w:pStyle w:val="106"/>
                  </w:pPr>
                  <w:r>
                    <w:rPr>
                      <w:rFonts w:hint="eastAsia"/>
                    </w:rPr>
                    <w:t>20</w:t>
                  </w:r>
                </w:p>
              </w:tc>
              <w:tc>
                <w:tcPr>
                  <w:tcW w:w="1156" w:type="dxa"/>
                  <w:vAlign w:val="center"/>
                </w:tcPr>
                <w:p w14:paraId="0FFDFAAD">
                  <w:pPr>
                    <w:pStyle w:val="106"/>
                    <w:rPr>
                      <w:szCs w:val="21"/>
                    </w:rPr>
                  </w:pPr>
                  <w:r>
                    <w:rPr>
                      <w:rFonts w:hint="eastAsia"/>
                      <w:szCs w:val="21"/>
                    </w:rPr>
                    <w:t>0.472</w:t>
                  </w:r>
                </w:p>
              </w:tc>
            </w:tr>
            <w:tr w14:paraId="145DC1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2D17A6C8">
                  <w:pPr>
                    <w:pStyle w:val="106"/>
                  </w:pPr>
                </w:p>
              </w:tc>
              <w:tc>
                <w:tcPr>
                  <w:tcW w:w="986" w:type="dxa"/>
                  <w:vAlign w:val="center"/>
                </w:tcPr>
                <w:p w14:paraId="46E96677">
                  <w:pPr>
                    <w:pStyle w:val="106"/>
                  </w:pPr>
                  <w:r>
                    <w:t>NH</w:t>
                  </w:r>
                  <w:r>
                    <w:rPr>
                      <w:vertAlign w:val="subscript"/>
                    </w:rPr>
                    <w:t>3</w:t>
                  </w:r>
                  <w:r>
                    <w:t>-N</w:t>
                  </w:r>
                </w:p>
              </w:tc>
              <w:tc>
                <w:tcPr>
                  <w:tcW w:w="955" w:type="dxa"/>
                  <w:vAlign w:val="center"/>
                </w:tcPr>
                <w:p w14:paraId="27A1146E">
                  <w:pPr>
                    <w:pStyle w:val="106"/>
                  </w:pPr>
                  <w:r>
                    <w:rPr>
                      <w:rFonts w:hint="eastAsia"/>
                    </w:rPr>
                    <w:t>50</w:t>
                  </w:r>
                </w:p>
              </w:tc>
              <w:tc>
                <w:tcPr>
                  <w:tcW w:w="1022" w:type="dxa"/>
                  <w:vAlign w:val="center"/>
                </w:tcPr>
                <w:p w14:paraId="21F57406">
                  <w:pPr>
                    <w:pStyle w:val="106"/>
                    <w:rPr>
                      <w:szCs w:val="21"/>
                    </w:rPr>
                  </w:pPr>
                  <w:r>
                    <w:rPr>
                      <w:rFonts w:hint="eastAsia"/>
                      <w:szCs w:val="21"/>
                    </w:rPr>
                    <w:t>1.181</w:t>
                  </w:r>
                </w:p>
              </w:tc>
              <w:tc>
                <w:tcPr>
                  <w:tcW w:w="985" w:type="dxa"/>
                  <w:vAlign w:val="center"/>
                </w:tcPr>
                <w:p w14:paraId="10CEF15F">
                  <w:pPr>
                    <w:pStyle w:val="106"/>
                  </w:pPr>
                  <w:r>
                    <w:rPr>
                      <w:rFonts w:hint="eastAsia"/>
                    </w:rPr>
                    <w:t>30</w:t>
                  </w:r>
                </w:p>
              </w:tc>
              <w:tc>
                <w:tcPr>
                  <w:tcW w:w="1088" w:type="dxa"/>
                  <w:vAlign w:val="center"/>
                </w:tcPr>
                <w:p w14:paraId="295A9582">
                  <w:pPr>
                    <w:pStyle w:val="106"/>
                    <w:rPr>
                      <w:szCs w:val="21"/>
                    </w:rPr>
                  </w:pPr>
                  <w:r>
                    <w:rPr>
                      <w:rFonts w:hint="eastAsia"/>
                      <w:szCs w:val="21"/>
                    </w:rPr>
                    <w:t>0.708</w:t>
                  </w:r>
                </w:p>
              </w:tc>
              <w:tc>
                <w:tcPr>
                  <w:tcW w:w="1157" w:type="dxa"/>
                  <w:vAlign w:val="center"/>
                </w:tcPr>
                <w:p w14:paraId="60FF9D73">
                  <w:pPr>
                    <w:pStyle w:val="106"/>
                  </w:pPr>
                  <w:r>
                    <w:rPr>
                      <w:rFonts w:hint="eastAsia"/>
                    </w:rPr>
                    <w:t>8</w:t>
                  </w:r>
                </w:p>
              </w:tc>
              <w:tc>
                <w:tcPr>
                  <w:tcW w:w="1156" w:type="dxa"/>
                  <w:vAlign w:val="center"/>
                </w:tcPr>
                <w:p w14:paraId="7DA414B2">
                  <w:pPr>
                    <w:pStyle w:val="106"/>
                    <w:rPr>
                      <w:szCs w:val="21"/>
                    </w:rPr>
                  </w:pPr>
                  <w:r>
                    <w:rPr>
                      <w:rFonts w:hint="eastAsia"/>
                      <w:szCs w:val="21"/>
                    </w:rPr>
                    <w:t>0.189</w:t>
                  </w:r>
                </w:p>
              </w:tc>
            </w:tr>
            <w:tr w14:paraId="096E63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0BECCC3D">
                  <w:pPr>
                    <w:pStyle w:val="106"/>
                  </w:pPr>
                </w:p>
              </w:tc>
              <w:tc>
                <w:tcPr>
                  <w:tcW w:w="986" w:type="dxa"/>
                  <w:vAlign w:val="center"/>
                </w:tcPr>
                <w:p w14:paraId="2CE35686">
                  <w:pPr>
                    <w:pStyle w:val="106"/>
                  </w:pPr>
                  <w:r>
                    <w:rPr>
                      <w:rFonts w:hint="eastAsia"/>
                    </w:rPr>
                    <w:t>动植物油</w:t>
                  </w:r>
                </w:p>
              </w:tc>
              <w:tc>
                <w:tcPr>
                  <w:tcW w:w="955" w:type="dxa"/>
                  <w:vAlign w:val="center"/>
                </w:tcPr>
                <w:p w14:paraId="54657F48">
                  <w:pPr>
                    <w:pStyle w:val="106"/>
                  </w:pPr>
                  <w:r>
                    <w:rPr>
                      <w:rFonts w:hint="eastAsia"/>
                    </w:rPr>
                    <w:t>48</w:t>
                  </w:r>
                </w:p>
              </w:tc>
              <w:tc>
                <w:tcPr>
                  <w:tcW w:w="1022" w:type="dxa"/>
                  <w:vAlign w:val="center"/>
                </w:tcPr>
                <w:p w14:paraId="5AFDCD56">
                  <w:pPr>
                    <w:pStyle w:val="106"/>
                    <w:rPr>
                      <w:szCs w:val="21"/>
                    </w:rPr>
                  </w:pPr>
                  <w:r>
                    <w:rPr>
                      <w:rFonts w:hint="eastAsia"/>
                      <w:szCs w:val="21"/>
                    </w:rPr>
                    <w:t>1.125</w:t>
                  </w:r>
                </w:p>
              </w:tc>
              <w:tc>
                <w:tcPr>
                  <w:tcW w:w="985" w:type="dxa"/>
                  <w:vAlign w:val="center"/>
                </w:tcPr>
                <w:p w14:paraId="4600D5C2">
                  <w:pPr>
                    <w:pStyle w:val="106"/>
                  </w:pPr>
                  <w:r>
                    <w:rPr>
                      <w:rFonts w:hint="eastAsia"/>
                    </w:rPr>
                    <w:t>30</w:t>
                  </w:r>
                </w:p>
              </w:tc>
              <w:tc>
                <w:tcPr>
                  <w:tcW w:w="1088" w:type="dxa"/>
                  <w:vAlign w:val="center"/>
                </w:tcPr>
                <w:p w14:paraId="1F9483C6">
                  <w:pPr>
                    <w:pStyle w:val="106"/>
                    <w:rPr>
                      <w:szCs w:val="21"/>
                    </w:rPr>
                  </w:pPr>
                  <w:r>
                    <w:rPr>
                      <w:rFonts w:hint="eastAsia"/>
                      <w:szCs w:val="21"/>
                    </w:rPr>
                    <w:t>0.708</w:t>
                  </w:r>
                </w:p>
              </w:tc>
              <w:tc>
                <w:tcPr>
                  <w:tcW w:w="1157" w:type="dxa"/>
                  <w:vAlign w:val="center"/>
                </w:tcPr>
                <w:p w14:paraId="04965F11">
                  <w:pPr>
                    <w:pStyle w:val="106"/>
                  </w:pPr>
                  <w:r>
                    <w:rPr>
                      <w:rFonts w:hint="eastAsia"/>
                    </w:rPr>
                    <w:t>3</w:t>
                  </w:r>
                </w:p>
              </w:tc>
              <w:tc>
                <w:tcPr>
                  <w:tcW w:w="1156" w:type="dxa"/>
                  <w:vAlign w:val="center"/>
                </w:tcPr>
                <w:p w14:paraId="2BA279EA">
                  <w:pPr>
                    <w:pStyle w:val="106"/>
                    <w:rPr>
                      <w:szCs w:val="21"/>
                    </w:rPr>
                  </w:pPr>
                  <w:r>
                    <w:rPr>
                      <w:rFonts w:hint="eastAsia"/>
                      <w:szCs w:val="21"/>
                    </w:rPr>
                    <w:t>0.071</w:t>
                  </w:r>
                </w:p>
              </w:tc>
            </w:tr>
            <w:tr w14:paraId="44B987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25D9B712">
                  <w:pPr>
                    <w:pStyle w:val="106"/>
                  </w:pPr>
                </w:p>
              </w:tc>
              <w:tc>
                <w:tcPr>
                  <w:tcW w:w="986" w:type="dxa"/>
                  <w:vAlign w:val="center"/>
                </w:tcPr>
                <w:p w14:paraId="590BFEFD">
                  <w:pPr>
                    <w:pStyle w:val="106"/>
                  </w:pPr>
                  <w:r>
                    <w:rPr>
                      <w:rFonts w:hint="eastAsia"/>
                    </w:rPr>
                    <w:t>总磷</w:t>
                  </w:r>
                </w:p>
              </w:tc>
              <w:tc>
                <w:tcPr>
                  <w:tcW w:w="955" w:type="dxa"/>
                  <w:vAlign w:val="center"/>
                </w:tcPr>
                <w:p w14:paraId="7F4CCB9B">
                  <w:pPr>
                    <w:pStyle w:val="106"/>
                  </w:pPr>
                  <w:r>
                    <w:rPr>
                      <w:rFonts w:hint="eastAsia"/>
                    </w:rPr>
                    <w:t>8</w:t>
                  </w:r>
                </w:p>
              </w:tc>
              <w:tc>
                <w:tcPr>
                  <w:tcW w:w="1022" w:type="dxa"/>
                  <w:vAlign w:val="center"/>
                </w:tcPr>
                <w:p w14:paraId="3390E241">
                  <w:pPr>
                    <w:pStyle w:val="106"/>
                    <w:rPr>
                      <w:szCs w:val="21"/>
                    </w:rPr>
                  </w:pPr>
                  <w:r>
                    <w:rPr>
                      <w:rFonts w:hint="eastAsia"/>
                      <w:szCs w:val="21"/>
                    </w:rPr>
                    <w:t>0.187</w:t>
                  </w:r>
                </w:p>
              </w:tc>
              <w:tc>
                <w:tcPr>
                  <w:tcW w:w="985" w:type="dxa"/>
                  <w:vAlign w:val="center"/>
                </w:tcPr>
                <w:p w14:paraId="77A2D61A">
                  <w:pPr>
                    <w:pStyle w:val="106"/>
                  </w:pPr>
                  <w:r>
                    <w:rPr>
                      <w:rFonts w:hint="eastAsia"/>
                    </w:rPr>
                    <w:t>4</w:t>
                  </w:r>
                </w:p>
              </w:tc>
              <w:tc>
                <w:tcPr>
                  <w:tcW w:w="1088" w:type="dxa"/>
                  <w:vAlign w:val="center"/>
                </w:tcPr>
                <w:p w14:paraId="791BD783">
                  <w:pPr>
                    <w:pStyle w:val="106"/>
                    <w:rPr>
                      <w:szCs w:val="21"/>
                    </w:rPr>
                  </w:pPr>
                  <w:r>
                    <w:rPr>
                      <w:rFonts w:hint="eastAsia"/>
                      <w:szCs w:val="21"/>
                    </w:rPr>
                    <w:t>0.094</w:t>
                  </w:r>
                </w:p>
              </w:tc>
              <w:tc>
                <w:tcPr>
                  <w:tcW w:w="1157" w:type="dxa"/>
                  <w:vAlign w:val="center"/>
                </w:tcPr>
                <w:p w14:paraId="5FA9BD60">
                  <w:pPr>
                    <w:pStyle w:val="106"/>
                  </w:pPr>
                  <w:r>
                    <w:rPr>
                      <w:rFonts w:hint="eastAsia"/>
                    </w:rPr>
                    <w:t>1</w:t>
                  </w:r>
                </w:p>
              </w:tc>
              <w:tc>
                <w:tcPr>
                  <w:tcW w:w="1156" w:type="dxa"/>
                  <w:vAlign w:val="center"/>
                </w:tcPr>
                <w:p w14:paraId="667D4CA9">
                  <w:pPr>
                    <w:pStyle w:val="106"/>
                    <w:rPr>
                      <w:szCs w:val="21"/>
                    </w:rPr>
                  </w:pPr>
                  <w:r>
                    <w:rPr>
                      <w:rFonts w:hint="eastAsia"/>
                      <w:szCs w:val="21"/>
                    </w:rPr>
                    <w:t>0.024</w:t>
                  </w:r>
                </w:p>
              </w:tc>
            </w:tr>
            <w:tr w14:paraId="391067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trPr>
              <w:tc>
                <w:tcPr>
                  <w:tcW w:w="1182" w:type="dxa"/>
                  <w:vMerge w:val="continue"/>
                  <w:vAlign w:val="center"/>
                </w:tcPr>
                <w:p w14:paraId="4F97D491">
                  <w:pPr>
                    <w:pStyle w:val="106"/>
                  </w:pPr>
                </w:p>
              </w:tc>
              <w:tc>
                <w:tcPr>
                  <w:tcW w:w="986" w:type="dxa"/>
                  <w:vAlign w:val="center"/>
                </w:tcPr>
                <w:p w14:paraId="67C285C9">
                  <w:pPr>
                    <w:pStyle w:val="106"/>
                  </w:pPr>
                  <w:r>
                    <w:rPr>
                      <w:rFonts w:hint="eastAsia"/>
                    </w:rPr>
                    <w:t>石油类</w:t>
                  </w:r>
                </w:p>
              </w:tc>
              <w:tc>
                <w:tcPr>
                  <w:tcW w:w="955" w:type="dxa"/>
                  <w:vAlign w:val="center"/>
                </w:tcPr>
                <w:p w14:paraId="4F0955B4">
                  <w:pPr>
                    <w:pStyle w:val="106"/>
                  </w:pPr>
                  <w:r>
                    <w:rPr>
                      <w:rFonts w:hint="eastAsia"/>
                    </w:rPr>
                    <w:t>0.5</w:t>
                  </w:r>
                </w:p>
              </w:tc>
              <w:tc>
                <w:tcPr>
                  <w:tcW w:w="1022" w:type="dxa"/>
                  <w:vAlign w:val="center"/>
                </w:tcPr>
                <w:p w14:paraId="7FA9998C">
                  <w:pPr>
                    <w:pStyle w:val="106"/>
                    <w:rPr>
                      <w:szCs w:val="21"/>
                    </w:rPr>
                  </w:pPr>
                  <w:r>
                    <w:rPr>
                      <w:rFonts w:hint="eastAsia"/>
                      <w:szCs w:val="21"/>
                    </w:rPr>
                    <w:t>0.011</w:t>
                  </w:r>
                </w:p>
              </w:tc>
              <w:tc>
                <w:tcPr>
                  <w:tcW w:w="985" w:type="dxa"/>
                  <w:vAlign w:val="center"/>
                </w:tcPr>
                <w:p w14:paraId="1B5E8EA4">
                  <w:pPr>
                    <w:pStyle w:val="106"/>
                  </w:pPr>
                  <w:r>
                    <w:rPr>
                      <w:rFonts w:hint="eastAsia"/>
                    </w:rPr>
                    <w:t>0.3</w:t>
                  </w:r>
                </w:p>
              </w:tc>
              <w:tc>
                <w:tcPr>
                  <w:tcW w:w="1088" w:type="dxa"/>
                  <w:vAlign w:val="center"/>
                </w:tcPr>
                <w:p w14:paraId="44E20229">
                  <w:pPr>
                    <w:pStyle w:val="106"/>
                    <w:rPr>
                      <w:szCs w:val="21"/>
                    </w:rPr>
                  </w:pPr>
                  <w:r>
                    <w:rPr>
                      <w:rFonts w:hint="eastAsia"/>
                      <w:szCs w:val="21"/>
                    </w:rPr>
                    <w:t>0.007</w:t>
                  </w:r>
                </w:p>
              </w:tc>
              <w:tc>
                <w:tcPr>
                  <w:tcW w:w="1157" w:type="dxa"/>
                  <w:vAlign w:val="center"/>
                </w:tcPr>
                <w:p w14:paraId="00D351BF">
                  <w:pPr>
                    <w:pStyle w:val="106"/>
                  </w:pPr>
                  <w:r>
                    <w:rPr>
                      <w:rFonts w:hint="eastAsia"/>
                    </w:rPr>
                    <w:t>3</w:t>
                  </w:r>
                </w:p>
              </w:tc>
              <w:tc>
                <w:tcPr>
                  <w:tcW w:w="1156" w:type="dxa"/>
                  <w:vAlign w:val="center"/>
                </w:tcPr>
                <w:p w14:paraId="188871EE">
                  <w:pPr>
                    <w:pStyle w:val="106"/>
                    <w:rPr>
                      <w:szCs w:val="21"/>
                    </w:rPr>
                  </w:pPr>
                  <w:r>
                    <w:rPr>
                      <w:rFonts w:hint="eastAsia"/>
                      <w:szCs w:val="21"/>
                    </w:rPr>
                    <w:t>0.071</w:t>
                  </w:r>
                </w:p>
              </w:tc>
            </w:tr>
          </w:tbl>
          <w:p w14:paraId="58F7C359">
            <w:pPr>
              <w:snapToGrid w:val="0"/>
              <w:spacing w:line="360" w:lineRule="auto"/>
              <w:ind w:firstLine="522" w:firstLineChars="200"/>
              <w:rPr>
                <w:rFonts w:hAnsi="宋体"/>
                <w:b/>
                <w:bCs/>
                <w:sz w:val="24"/>
              </w:rPr>
            </w:pPr>
            <w:r>
              <w:rPr>
                <w:b/>
                <w:snapToGrid w:val="0"/>
                <w:sz w:val="26"/>
                <w:szCs w:val="26"/>
              </w:rPr>
              <w:t>4.2.</w:t>
            </w:r>
            <w:r>
              <w:rPr>
                <w:rFonts w:hint="eastAsia"/>
                <w:b/>
                <w:snapToGrid w:val="0"/>
                <w:sz w:val="26"/>
                <w:szCs w:val="26"/>
              </w:rPr>
              <w:t>1</w:t>
            </w:r>
            <w:r>
              <w:rPr>
                <w:b/>
                <w:snapToGrid w:val="0"/>
                <w:sz w:val="26"/>
                <w:szCs w:val="26"/>
              </w:rPr>
              <w:t>.</w:t>
            </w:r>
            <w:r>
              <w:rPr>
                <w:rFonts w:hint="eastAsia"/>
                <w:b/>
                <w:snapToGrid w:val="0"/>
                <w:sz w:val="26"/>
                <w:szCs w:val="26"/>
              </w:rPr>
              <w:t xml:space="preserve">3 </w:t>
            </w:r>
            <w:r>
              <w:rPr>
                <w:rFonts w:hint="eastAsia" w:hAnsi="宋体"/>
                <w:b/>
                <w:bCs/>
                <w:sz w:val="24"/>
              </w:rPr>
              <w:t>废水污染防治措施</w:t>
            </w:r>
          </w:p>
          <w:p w14:paraId="264980C3">
            <w:pPr>
              <w:snapToGrid w:val="0"/>
              <w:spacing w:line="360" w:lineRule="auto"/>
              <w:ind w:firstLine="482" w:firstLineChars="200"/>
              <w:rPr>
                <w:rFonts w:hAnsi="宋体"/>
                <w:b/>
                <w:bCs/>
                <w:sz w:val="24"/>
              </w:rPr>
            </w:pPr>
            <w:r>
              <w:rPr>
                <w:rFonts w:hint="eastAsia" w:hAnsi="宋体"/>
                <w:b/>
                <w:bCs/>
                <w:sz w:val="24"/>
              </w:rPr>
              <w:t>（1）综合废水污染防治措施</w:t>
            </w:r>
          </w:p>
          <w:p w14:paraId="33284F6C">
            <w:pPr>
              <w:snapToGrid w:val="0"/>
              <w:spacing w:line="360" w:lineRule="auto"/>
              <w:ind w:firstLine="420" w:firstLineChars="200"/>
              <w:rPr>
                <w:rFonts w:hAnsi="宋体"/>
                <w:b/>
                <w:bCs/>
                <w:sz w:val="24"/>
              </w:rPr>
            </w:pPr>
            <w:r>
              <w:rPr>
                <w:rFonts w:ascii="宋体" w:hAnsi="宋体"/>
                <w:szCs w:val="21"/>
              </w:rPr>
              <w:pict>
                <v:shape id="_x0000_s1355" o:spid="_x0000_s1355" o:spt="202" type="#_x0000_t202" style="position:absolute;left:0pt;margin-left:21.6pt;margin-top:11.15pt;height:21.55pt;width:78.65pt;z-index:251697152;mso-width-relative:margin;mso-height-relative:margin;mso-height-percent:200;" filled="f" coordsize="21600,21600">
                  <v:path/>
                  <v:fill on="f" focussize="0,0"/>
                  <v:stroke joinstyle="miter"/>
                  <v:imagedata o:title=""/>
                  <o:lock v:ext="edit"/>
                  <v:textbox style="mso-fit-shape-to-text:t;">
                    <w:txbxContent>
                      <w:p w14:paraId="2B77DC58">
                        <w:r>
                          <w:rPr>
                            <w:rFonts w:hint="eastAsia"/>
                          </w:rPr>
                          <w:t>员工生活污水</w:t>
                        </w:r>
                      </w:p>
                    </w:txbxContent>
                  </v:textbox>
                </v:shape>
              </w:pict>
            </w:r>
          </w:p>
          <w:p w14:paraId="67D402BA">
            <w:pPr>
              <w:snapToGrid w:val="0"/>
              <w:spacing w:line="360" w:lineRule="auto"/>
              <w:ind w:firstLine="420" w:firstLineChars="200"/>
              <w:rPr>
                <w:rFonts w:hAnsi="宋体"/>
                <w:b/>
                <w:bCs/>
                <w:sz w:val="24"/>
              </w:rPr>
            </w:pPr>
            <w:r>
              <w:rPr>
                <w:rFonts w:ascii="宋体" w:hAnsi="宋体"/>
                <w:szCs w:val="21"/>
              </w:rPr>
              <w:pict>
                <v:shape id="_x0000_s1379" o:spid="_x0000_s1379" o:spt="32" type="#_x0000_t32" style="position:absolute;left:0pt;margin-left:196.05pt;margin-top:2.5pt;height:106.55pt;width:0.6pt;z-index:251709440;mso-width-relative:page;mso-height-relative:page;" o:connectortype="straight" filled="f" coordsize="21600,21600">
                  <v:path arrowok="t"/>
                  <v:fill on="f" focussize="0,0"/>
                  <v:stroke/>
                  <v:imagedata o:title=""/>
                  <o:lock v:ext="edit"/>
                </v:shape>
              </w:pict>
            </w:r>
            <w:r>
              <w:rPr>
                <w:rFonts w:ascii="宋体" w:hAnsi="宋体"/>
                <w:szCs w:val="21"/>
              </w:rPr>
              <w:pict>
                <v:shape id="_x0000_s1376" o:spid="_x0000_s1376" o:spt="32" type="#_x0000_t32" style="position:absolute;left:0pt;margin-left:101.25pt;margin-top:1.6pt;height:0pt;width:94.2pt;z-index:251706368;mso-width-relative:page;mso-height-relative:page;" o:connectortype="straight" filled="f" coordsize="21600,21600">
                  <v:path arrowok="t"/>
                  <v:fill on="f" focussize="0,0"/>
                  <v:stroke endarrow="block"/>
                  <v:imagedata o:title=""/>
                  <o:lock v:ext="edit"/>
                </v:shape>
              </w:pict>
            </w:r>
          </w:p>
          <w:p w14:paraId="2EE82450">
            <w:pPr>
              <w:autoSpaceDE w:val="0"/>
              <w:autoSpaceDN w:val="0"/>
              <w:adjustRightInd w:val="0"/>
              <w:spacing w:line="360" w:lineRule="auto"/>
              <w:ind w:firstLine="480"/>
              <w:rPr>
                <w:rFonts w:ascii="宋体" w:hAnsi="宋体"/>
                <w:szCs w:val="21"/>
              </w:rPr>
            </w:pPr>
            <w:r>
              <w:rPr>
                <w:rFonts w:ascii="宋体" w:hAnsi="宋体"/>
                <w:szCs w:val="21"/>
              </w:rPr>
              <w:pict>
                <v:shape id="_x0000_s1358" o:spid="_x0000_s1358" o:spt="202" type="#_x0000_t202" style="position:absolute;left:0pt;margin-left:112.6pt;margin-top:10.85pt;height:21.55pt;width:47.5pt;z-index:251700224;mso-width-relative:margin;mso-height-relative:margin;mso-height-percent:200;" filled="f" coordsize="21600,21600">
                  <v:path/>
                  <v:fill on="f" focussize="0,0"/>
                  <v:stroke joinstyle="miter"/>
                  <v:imagedata o:title=""/>
                  <o:lock v:ext="edit"/>
                  <v:textbox style="mso-fit-shape-to-text:t;">
                    <w:txbxContent>
                      <w:p w14:paraId="02FD2F16">
                        <w:r>
                          <w:rPr>
                            <w:rFonts w:hint="eastAsia"/>
                          </w:rPr>
                          <w:t>隔油池</w:t>
                        </w:r>
                      </w:p>
                    </w:txbxContent>
                  </v:textbox>
                </v:shape>
              </w:pict>
            </w:r>
            <w:r>
              <w:rPr>
                <w:rFonts w:ascii="宋体" w:hAnsi="宋体"/>
                <w:szCs w:val="21"/>
              </w:rPr>
              <w:pict>
                <v:shape id="_x0000_s1356" o:spid="_x0000_s1356" o:spt="202" type="#_x0000_t202" style="position:absolute;left:0pt;margin-left:23.6pt;margin-top:8.25pt;height:21.55pt;width:59.35pt;z-index:251698176;mso-width-relative:margin;mso-height-relative:margin;mso-height-percent:200;" filled="f" coordsize="21600,21600">
                  <v:path/>
                  <v:fill on="f" focussize="0,0"/>
                  <v:stroke joinstyle="miter"/>
                  <v:imagedata o:title=""/>
                  <o:lock v:ext="edit"/>
                  <v:textbox style="mso-fit-shape-to-text:t;">
                    <w:txbxContent>
                      <w:p w14:paraId="06D8F9E8">
                        <w:r>
                          <w:rPr>
                            <w:rFonts w:hint="eastAsia"/>
                          </w:rPr>
                          <w:t>食堂废水</w:t>
                        </w:r>
                      </w:p>
                    </w:txbxContent>
                  </v:textbox>
                </v:shape>
              </w:pict>
            </w:r>
            <w:r>
              <w:rPr>
                <w:rFonts w:hint="eastAsia" w:ascii="宋体" w:hAnsi="宋体"/>
                <w:szCs w:val="21"/>
              </w:rPr>
              <w:t xml:space="preserve"> </w:t>
            </w:r>
          </w:p>
          <w:p w14:paraId="04F3A668">
            <w:pPr>
              <w:autoSpaceDE w:val="0"/>
              <w:autoSpaceDN w:val="0"/>
              <w:adjustRightInd w:val="0"/>
              <w:spacing w:line="360" w:lineRule="auto"/>
              <w:ind w:firstLine="480"/>
              <w:rPr>
                <w:rFonts w:ascii="宋体" w:hAnsi="宋体"/>
                <w:szCs w:val="21"/>
              </w:rPr>
            </w:pPr>
            <w:r>
              <w:rPr>
                <w:rFonts w:ascii="宋体" w:hAnsi="宋体"/>
                <w:szCs w:val="21"/>
              </w:rPr>
              <w:pict>
                <v:shape id="_x0000_s1362" o:spid="_x0000_s1362" o:spt="32" type="#_x0000_t32" style="position:absolute;left:0pt;margin-left:357.55pt;margin-top:36.4pt;height:19.1pt;width:0pt;z-index:251703296;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363" o:spid="_x0000_s1363" o:spt="202" type="#_x0000_t202" style="position:absolute;left:0pt;margin-left:342.4pt;margin-top:54.8pt;height:20.8pt;width:57.7pt;z-index:251704320;mso-width-relative:margin;mso-height-relative:margin;mso-height-percent:200;" filled="f" stroked="f" coordsize="21600,21600">
                  <v:path/>
                  <v:fill on="f" focussize="0,0"/>
                  <v:stroke on="f" joinstyle="miter"/>
                  <v:imagedata o:title=""/>
                  <o:lock v:ext="edit"/>
                  <v:textbox style="mso-fit-shape-to-text:t;">
                    <w:txbxContent>
                      <w:p w14:paraId="5FC906CE">
                        <w:r>
                          <w:rPr>
                            <w:rFonts w:hint="eastAsia"/>
                          </w:rPr>
                          <w:t>长江</w:t>
                        </w:r>
                      </w:p>
                    </w:txbxContent>
                  </v:textbox>
                </v:shape>
              </w:pict>
            </w:r>
            <w:r>
              <w:rPr>
                <w:rFonts w:ascii="宋体" w:hAnsi="宋体"/>
                <w:szCs w:val="21"/>
              </w:rPr>
              <w:pict>
                <v:shape id="_x0000_s1361" o:spid="_x0000_s1361" o:spt="202" type="#_x0000_t202" style="position:absolute;left:0pt;margin-left:326.55pt;margin-top:7.6pt;height:35.2pt;width:69.95pt;z-index:251702272;mso-width-relative:margin;mso-height-relative:margin;mso-height-percent:200;" filled="f" coordsize="21600,21600">
                  <v:path/>
                  <v:fill on="f" focussize="0,0"/>
                  <v:stroke joinstyle="miter"/>
                  <v:imagedata o:title=""/>
                  <o:lock v:ext="edit"/>
                  <v:textbox style="mso-fit-shape-to-text:t;">
                    <w:txbxContent>
                      <w:p w14:paraId="6FC7A73A">
                        <w:pPr>
                          <w:rPr>
                            <w:szCs w:val="21"/>
                          </w:rPr>
                        </w:pPr>
                        <w:r>
                          <w:rPr>
                            <w:rFonts w:hAnsi="宋体"/>
                            <w:szCs w:val="21"/>
                          </w:rPr>
                          <w:t>李渡大耍坝污水处理厂</w:t>
                        </w:r>
                      </w:p>
                    </w:txbxContent>
                  </v:textbox>
                </v:shape>
              </w:pict>
            </w:r>
            <w:r>
              <w:rPr>
                <w:rFonts w:ascii="宋体" w:hAnsi="宋体"/>
                <w:szCs w:val="21"/>
              </w:rPr>
              <w:pict>
                <v:shape id="_x0000_s1353" o:spid="_x0000_s1353" o:spt="202" type="#_x0000_t202" style="position:absolute;left:0pt;margin-left:227.05pt;margin-top:13.25pt;height:21.55pt;width:69.75pt;z-index:251695104;mso-width-relative:margin;mso-height-relative:margin;mso-height-percent:200;" filled="f" coordsize="21600,21600">
                  <v:path/>
                  <v:fill on="f" focussize="0,0"/>
                  <v:stroke joinstyle="miter"/>
                  <v:imagedata o:title=""/>
                  <o:lock v:ext="edit"/>
                  <v:textbox style="mso-fit-shape-to-text:t;">
                    <w:txbxContent>
                      <w:p w14:paraId="21255304">
                        <w:pPr>
                          <w:jc w:val="center"/>
                        </w:pPr>
                        <w:r>
                          <w:rPr>
                            <w:rFonts w:hint="eastAsia"/>
                          </w:rPr>
                          <w:t>生 化 池</w:t>
                        </w:r>
                      </w:p>
                    </w:txbxContent>
                  </v:textbox>
                </v:shape>
              </w:pict>
            </w:r>
            <w:r>
              <w:rPr>
                <w:rFonts w:ascii="宋体" w:hAnsi="宋体"/>
                <w:szCs w:val="21"/>
              </w:rPr>
              <w:pict>
                <v:shape id="_x0000_s1377" o:spid="_x0000_s1377" o:spt="32" type="#_x0000_t32" style="position:absolute;left:0pt;margin-left:160.7pt;margin-top:1.8pt;height:0pt;width:35.35pt;z-index:251707392;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357" o:spid="_x0000_s1357" o:spt="32" type="#_x0000_t32" style="position:absolute;left:0pt;margin-left:83.95pt;margin-top:0.9pt;height:0pt;width:28.05pt;z-index:251699200;mso-width-relative:page;mso-height-relative:page;" o:connectortype="straight" filled="f" coordsize="21600,21600">
                  <v:path arrowok="t"/>
                  <v:fill on="f" focussize="0,0"/>
                  <v:stroke endarrow="block"/>
                  <v:imagedata o:title=""/>
                  <o:lock v:ext="edit"/>
                </v:shape>
              </w:pict>
            </w:r>
          </w:p>
          <w:p w14:paraId="62BE8C1F">
            <w:pPr>
              <w:autoSpaceDE w:val="0"/>
              <w:autoSpaceDN w:val="0"/>
              <w:adjustRightInd w:val="0"/>
              <w:spacing w:line="360" w:lineRule="auto"/>
              <w:ind w:firstLine="480"/>
              <w:rPr>
                <w:rFonts w:ascii="宋体" w:hAnsi="宋体"/>
                <w:szCs w:val="21"/>
              </w:rPr>
            </w:pPr>
            <w:r>
              <w:rPr>
                <w:rFonts w:ascii="宋体" w:hAnsi="宋体"/>
                <w:szCs w:val="21"/>
              </w:rPr>
              <w:pict>
                <v:shape id="_x0000_s1360" o:spid="_x0000_s1360" o:spt="32" type="#_x0000_t32" style="position:absolute;left:0pt;margin-left:297.85pt;margin-top:3.05pt;height:0pt;width:28.1pt;z-index:251701248;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354" o:spid="_x0000_s1354" o:spt="32" type="#_x0000_t32" style="position:absolute;left:0pt;margin-left:196.05pt;margin-top:3.45pt;height:0pt;width:30.4pt;z-index:251696128;mso-width-relative:page;mso-height-relative:page;" o:connectortype="straight" filled="f" coordsize="21600,21600">
                  <v:path arrowok="t"/>
                  <v:fill on="f" focussize="0,0"/>
                  <v:stroke endarrow="block"/>
                  <v:imagedata o:title=""/>
                  <o:lock v:ext="edit"/>
                </v:shape>
              </w:pict>
            </w:r>
            <w:r>
              <w:rPr>
                <w:rFonts w:hAnsi="宋体"/>
                <w:b/>
                <w:bCs/>
                <w:sz w:val="24"/>
              </w:rPr>
              <w:pict>
                <v:shape id="_x0000_s1378" o:spid="_x0000_s1378" o:spt="32" type="#_x0000_t32" style="position:absolute;left:0pt;margin-left:108.2pt;margin-top:17.25pt;height:0pt;width:87.85pt;z-index:251708416;mso-width-relative:page;mso-height-relative:page;" o:connectortype="straight" filled="f" coordsize="21600,21600">
                  <v:path arrowok="t"/>
                  <v:fill on="f" focussize="0,0"/>
                  <v:stroke endarrow="block"/>
                  <v:imagedata o:title=""/>
                  <o:lock v:ext="edit"/>
                </v:shape>
              </w:pict>
            </w:r>
            <w:r>
              <w:rPr>
                <w:rFonts w:hAnsi="宋体"/>
                <w:b/>
                <w:bCs/>
                <w:sz w:val="24"/>
              </w:rPr>
              <w:pict>
                <v:shape id="_x0000_s1375" o:spid="_x0000_s1375" o:spt="202" type="#_x0000_t202" style="position:absolute;left:0pt;margin-left:24.2pt;margin-top:5.15pt;height:21.55pt;width:84.6pt;z-index:251705344;mso-width-relative:margin;mso-height-relative:margin;mso-height-percent:200;" filled="f" coordsize="21600,21600">
                  <v:path/>
                  <v:fill on="f" focussize="0,0"/>
                  <v:stroke joinstyle="miter"/>
                  <v:imagedata o:title=""/>
                  <o:lock v:ext="edit"/>
                  <v:textbox style="mso-fit-shape-to-text:t;">
                    <w:txbxContent>
                      <w:p w14:paraId="2409690D">
                        <w:pPr>
                          <w:jc w:val="center"/>
                        </w:pPr>
                        <w:r>
                          <w:rPr>
                            <w:rFonts w:hint="eastAsia"/>
                          </w:rPr>
                          <w:t>地面清洁废水</w:t>
                        </w:r>
                      </w:p>
                    </w:txbxContent>
                  </v:textbox>
                </v:shape>
              </w:pict>
            </w:r>
          </w:p>
          <w:p w14:paraId="08B7DFCF">
            <w:pPr>
              <w:autoSpaceDE w:val="0"/>
              <w:autoSpaceDN w:val="0"/>
              <w:adjustRightInd w:val="0"/>
              <w:spacing w:line="360" w:lineRule="auto"/>
              <w:ind w:firstLine="480"/>
              <w:rPr>
                <w:rFonts w:ascii="宋体" w:hAnsi="宋体"/>
                <w:szCs w:val="21"/>
              </w:rPr>
            </w:pPr>
            <w:r>
              <w:rPr>
                <w:rFonts w:ascii="宋体" w:hAnsi="宋体"/>
                <w:szCs w:val="21"/>
              </w:rPr>
              <w:pict>
                <v:shape id="_x0000_s1432" o:spid="_x0000_s1432" o:spt="202" type="#_x0000_t202" style="position:absolute;left:0pt;margin-left:22.95pt;margin-top:16.7pt;height:21.55pt;width:127.45pt;z-index:251736064;mso-width-relative:margin;mso-height-relative:margin;mso-height-percent:200;" filled="f" coordsize="21600,21600">
                  <v:path/>
                  <v:fill on="f" focussize="0,0"/>
                  <v:stroke joinstyle="miter"/>
                  <v:imagedata o:title=""/>
                  <o:lock v:ext="edit"/>
                  <v:textbox style="mso-fit-shape-to-text:t;">
                    <w:txbxContent>
                      <w:p w14:paraId="49ACF12C">
                        <w:r>
                          <w:rPr>
                            <w:rFonts w:hint="eastAsia"/>
                          </w:rPr>
                          <w:t>循环冷却水系统排污水</w:t>
                        </w:r>
                      </w:p>
                    </w:txbxContent>
                  </v:textbox>
                </v:shape>
              </w:pict>
            </w:r>
          </w:p>
          <w:p w14:paraId="4D162CF7">
            <w:pPr>
              <w:autoSpaceDE w:val="0"/>
              <w:autoSpaceDN w:val="0"/>
              <w:adjustRightInd w:val="0"/>
              <w:spacing w:line="360" w:lineRule="auto"/>
              <w:ind w:firstLine="480"/>
              <w:rPr>
                <w:rFonts w:ascii="宋体" w:hAnsi="宋体"/>
                <w:szCs w:val="21"/>
              </w:rPr>
            </w:pPr>
            <w:r>
              <w:rPr>
                <w:rFonts w:ascii="宋体" w:hAnsi="宋体"/>
                <w:szCs w:val="21"/>
              </w:rPr>
              <w:pict>
                <v:shape id="_x0000_s1433" o:spid="_x0000_s1433" o:spt="32" type="#_x0000_t32" style="position:absolute;left:0pt;margin-left:152.2pt;margin-top:6.65pt;height:0pt;width:44.6pt;z-index:251737088;mso-width-relative:page;mso-height-relative:page;" o:connectortype="straight" filled="f" coordsize="21600,21600">
                  <v:path arrowok="t"/>
                  <v:fill on="f" focussize="0,0"/>
                  <v:stroke endarrow="block"/>
                  <v:imagedata o:title=""/>
                  <o:lock v:ext="edit"/>
                </v:shape>
              </w:pict>
            </w:r>
          </w:p>
          <w:p w14:paraId="0CA31A1C">
            <w:pPr>
              <w:autoSpaceDE w:val="0"/>
              <w:autoSpaceDN w:val="0"/>
              <w:adjustRightInd w:val="0"/>
              <w:spacing w:line="360" w:lineRule="auto"/>
              <w:jc w:val="center"/>
              <w:rPr>
                <w:rFonts w:hAnsi="宋体"/>
                <w:b/>
                <w:bCs/>
                <w:szCs w:val="21"/>
              </w:rPr>
            </w:pPr>
          </w:p>
          <w:p w14:paraId="00AD9AB0">
            <w:pPr>
              <w:autoSpaceDE w:val="0"/>
              <w:autoSpaceDN w:val="0"/>
              <w:adjustRightInd w:val="0"/>
              <w:spacing w:line="360" w:lineRule="auto"/>
              <w:jc w:val="center"/>
              <w:rPr>
                <w:rFonts w:hAnsi="宋体"/>
                <w:b/>
                <w:bCs/>
                <w:szCs w:val="21"/>
              </w:rPr>
            </w:pPr>
            <w:r>
              <w:rPr>
                <w:rFonts w:hint="eastAsia" w:hAnsi="宋体"/>
                <w:b/>
                <w:bCs/>
                <w:szCs w:val="21"/>
              </w:rPr>
              <w:t>图4.2-1 厂区废水处理工艺流程图</w:t>
            </w:r>
          </w:p>
          <w:p w14:paraId="35130F8F">
            <w:pPr>
              <w:autoSpaceDE w:val="0"/>
              <w:autoSpaceDN w:val="0"/>
              <w:adjustRightInd w:val="0"/>
              <w:spacing w:line="480" w:lineRule="exact"/>
              <w:ind w:firstLine="480" w:firstLineChars="200"/>
              <w:rPr>
                <w:rFonts w:eastAsiaTheme="minorEastAsia"/>
                <w:bCs/>
                <w:sz w:val="24"/>
              </w:rPr>
            </w:pPr>
            <w:r>
              <w:rPr>
                <w:rFonts w:hAnsiTheme="minorEastAsia" w:eastAsiaTheme="minorEastAsia"/>
                <w:bCs/>
                <w:sz w:val="24"/>
              </w:rPr>
              <w:t>①食堂废水设隔油池进行预处理，新建隔油池，</w:t>
            </w:r>
            <w:r>
              <w:rPr>
                <w:rFonts w:hint="eastAsia" w:hAnsiTheme="minorEastAsia" w:eastAsiaTheme="minorEastAsia"/>
                <w:bCs/>
                <w:sz w:val="24"/>
              </w:rPr>
              <w:t>设计</w:t>
            </w:r>
            <w:r>
              <w:rPr>
                <w:rFonts w:hAnsiTheme="minorEastAsia" w:eastAsiaTheme="minorEastAsia"/>
                <w:bCs/>
                <w:sz w:val="24"/>
              </w:rPr>
              <w:t>处理能力</w:t>
            </w:r>
            <w:r>
              <w:rPr>
                <w:rFonts w:eastAsiaTheme="minorEastAsia"/>
                <w:bCs/>
                <w:sz w:val="24"/>
              </w:rPr>
              <w:t>8</w:t>
            </w:r>
            <w:r>
              <w:rPr>
                <w:rFonts w:hint="eastAsia" w:eastAsiaTheme="minorEastAsia"/>
                <w:bCs/>
                <w:sz w:val="24"/>
              </w:rPr>
              <w:t>0</w:t>
            </w:r>
            <w:r>
              <w:rPr>
                <w:rFonts w:eastAsiaTheme="minorEastAsia"/>
                <w:bCs/>
                <w:sz w:val="24"/>
              </w:rPr>
              <w:t>m</w:t>
            </w:r>
            <w:r>
              <w:rPr>
                <w:rFonts w:eastAsiaTheme="minorEastAsia"/>
                <w:bCs/>
                <w:sz w:val="24"/>
                <w:vertAlign w:val="superscript"/>
              </w:rPr>
              <w:t>3</w:t>
            </w:r>
            <w:r>
              <w:rPr>
                <w:rFonts w:eastAsiaTheme="minorEastAsia"/>
                <w:bCs/>
                <w:sz w:val="24"/>
              </w:rPr>
              <w:t>/d</w:t>
            </w:r>
            <w:r>
              <w:rPr>
                <w:rFonts w:hAnsiTheme="minorEastAsia" w:eastAsiaTheme="minorEastAsia"/>
                <w:bCs/>
                <w:sz w:val="24"/>
              </w:rPr>
              <w:t>；</w:t>
            </w:r>
          </w:p>
          <w:p w14:paraId="457619EF">
            <w:pPr>
              <w:spacing w:line="480" w:lineRule="exact"/>
              <w:ind w:firstLine="480" w:firstLineChars="200"/>
              <w:rPr>
                <w:rFonts w:eastAsiaTheme="minorEastAsia"/>
                <w:bCs/>
                <w:sz w:val="24"/>
              </w:rPr>
            </w:pPr>
            <w:r>
              <w:rPr>
                <w:rFonts w:hAnsiTheme="minorEastAsia" w:eastAsiaTheme="minorEastAsia"/>
                <w:bCs/>
                <w:sz w:val="24"/>
              </w:rPr>
              <w:t>②员工生活污水、地面清洁废水、</w:t>
            </w:r>
            <w:r>
              <w:rPr>
                <w:rFonts w:hAnsiTheme="minorEastAsia" w:eastAsiaTheme="minorEastAsia"/>
                <w:sz w:val="24"/>
              </w:rPr>
              <w:t>循环冷却水系统排污水</w:t>
            </w:r>
            <w:r>
              <w:rPr>
                <w:rFonts w:hAnsiTheme="minorEastAsia" w:eastAsiaTheme="minorEastAsia"/>
                <w:bCs/>
                <w:sz w:val="24"/>
              </w:rPr>
              <w:t>和经隔油处理的食堂废水进入生化池进行处理，新建</w:t>
            </w:r>
            <w:r>
              <w:rPr>
                <w:rFonts w:eastAsiaTheme="minorEastAsia"/>
                <w:bCs/>
                <w:sz w:val="24"/>
              </w:rPr>
              <w:t xml:space="preserve"> 1 </w:t>
            </w:r>
            <w:r>
              <w:rPr>
                <w:rFonts w:hAnsiTheme="minorEastAsia" w:eastAsiaTheme="minorEastAsia"/>
                <w:bCs/>
                <w:sz w:val="24"/>
              </w:rPr>
              <w:t>座生化池，</w:t>
            </w:r>
            <w:r>
              <w:rPr>
                <w:rFonts w:hint="eastAsia" w:hAnsiTheme="minorEastAsia" w:eastAsiaTheme="minorEastAsia"/>
                <w:bCs/>
                <w:sz w:val="24"/>
              </w:rPr>
              <w:t>设计</w:t>
            </w:r>
            <w:r>
              <w:rPr>
                <w:rFonts w:hAnsiTheme="minorEastAsia" w:eastAsiaTheme="minorEastAsia"/>
                <w:bCs/>
                <w:sz w:val="24"/>
              </w:rPr>
              <w:t>处理能力为</w:t>
            </w:r>
            <w:r>
              <w:rPr>
                <w:rFonts w:eastAsiaTheme="minorEastAsia"/>
                <w:bCs/>
                <w:sz w:val="24"/>
              </w:rPr>
              <w:t>200m</w:t>
            </w:r>
            <w:r>
              <w:rPr>
                <w:rFonts w:eastAsiaTheme="minorEastAsia"/>
                <w:bCs/>
                <w:sz w:val="24"/>
                <w:vertAlign w:val="superscript"/>
              </w:rPr>
              <w:t>3</w:t>
            </w:r>
            <w:r>
              <w:rPr>
                <w:rFonts w:eastAsiaTheme="minorEastAsia"/>
                <w:bCs/>
                <w:sz w:val="24"/>
              </w:rPr>
              <w:t>/d</w:t>
            </w:r>
            <w:r>
              <w:rPr>
                <w:rFonts w:hAnsiTheme="minorEastAsia" w:eastAsiaTheme="minorEastAsia"/>
                <w:bCs/>
                <w:sz w:val="24"/>
              </w:rPr>
              <w:t>。</w:t>
            </w:r>
          </w:p>
          <w:p w14:paraId="6D911D53">
            <w:pPr>
              <w:tabs>
                <w:tab w:val="left" w:leader="middleDot" w:pos="7710"/>
              </w:tabs>
              <w:spacing w:line="480" w:lineRule="exact"/>
              <w:ind w:firstLine="480" w:firstLineChars="200"/>
              <w:jc w:val="left"/>
              <w:rPr>
                <w:rFonts w:eastAsiaTheme="minorEastAsia"/>
                <w:sz w:val="24"/>
              </w:rPr>
            </w:pPr>
            <w:r>
              <w:rPr>
                <w:rFonts w:hAnsiTheme="minorEastAsia" w:eastAsiaTheme="minorEastAsia"/>
                <w:sz w:val="24"/>
              </w:rPr>
              <w:t>综合废水经新建的生化池处理达</w:t>
            </w:r>
            <w:r>
              <w:rPr>
                <w:rFonts w:hAnsiTheme="minorEastAsia" w:eastAsiaTheme="minorEastAsia"/>
                <w:bCs/>
                <w:sz w:val="24"/>
              </w:rPr>
              <w:t>《污水综合排放标准》（</w:t>
            </w:r>
            <w:r>
              <w:rPr>
                <w:rFonts w:eastAsiaTheme="minorEastAsia"/>
                <w:bCs/>
                <w:sz w:val="24"/>
              </w:rPr>
              <w:t>GB8978-1996</w:t>
            </w:r>
            <w:r>
              <w:rPr>
                <w:rFonts w:hAnsiTheme="minorEastAsia" w:eastAsiaTheme="minorEastAsia"/>
                <w:bCs/>
                <w:sz w:val="24"/>
              </w:rPr>
              <w:t>）三级标准</w:t>
            </w:r>
            <w:r>
              <w:rPr>
                <w:rFonts w:hAnsiTheme="minorEastAsia" w:eastAsiaTheme="minorEastAsia"/>
                <w:sz w:val="24"/>
              </w:rPr>
              <w:t>后经市政污水管网进入</w:t>
            </w:r>
            <w:r>
              <w:rPr>
                <w:rFonts w:hAnsiTheme="minorEastAsia" w:eastAsiaTheme="minorEastAsia"/>
                <w:bCs/>
                <w:sz w:val="24"/>
              </w:rPr>
              <w:t>李渡大耍坝污水处理厂</w:t>
            </w:r>
            <w:r>
              <w:rPr>
                <w:rFonts w:hAnsiTheme="minorEastAsia" w:eastAsiaTheme="minorEastAsia"/>
                <w:sz w:val="24"/>
              </w:rPr>
              <w:t>。</w:t>
            </w:r>
          </w:p>
          <w:p w14:paraId="4CF4129B">
            <w:pPr>
              <w:autoSpaceDE w:val="0"/>
              <w:autoSpaceDN w:val="0"/>
              <w:spacing w:line="480" w:lineRule="exact"/>
              <w:ind w:firstLine="482" w:firstLineChars="200"/>
              <w:contextualSpacing/>
              <w:rPr>
                <w:rFonts w:hAnsi="宋体"/>
                <w:b/>
                <w:bCs/>
                <w:sz w:val="24"/>
              </w:rPr>
            </w:pPr>
            <w:r>
              <w:rPr>
                <w:rFonts w:hAnsi="宋体"/>
                <w:b/>
                <w:bCs/>
                <w:sz w:val="24"/>
              </w:rPr>
              <w:t>（</w:t>
            </w:r>
            <w:r>
              <w:rPr>
                <w:b/>
                <w:bCs/>
                <w:sz w:val="24"/>
              </w:rPr>
              <w:t>2</w:t>
            </w:r>
            <w:r>
              <w:rPr>
                <w:rFonts w:hAnsi="宋体"/>
                <w:b/>
                <w:bCs/>
                <w:sz w:val="24"/>
              </w:rPr>
              <w:t>）项目废水进入</w:t>
            </w:r>
            <w:r>
              <w:rPr>
                <w:rFonts w:hAnsi="宋体"/>
                <w:b/>
                <w:bCs/>
                <w:sz w:val="26"/>
                <w:szCs w:val="26"/>
              </w:rPr>
              <w:t>李渡大耍坝污水处理厂</w:t>
            </w:r>
            <w:r>
              <w:rPr>
                <w:rFonts w:hAnsi="宋体"/>
                <w:b/>
                <w:bCs/>
                <w:sz w:val="24"/>
              </w:rPr>
              <w:t>可行性分析</w:t>
            </w:r>
          </w:p>
          <w:p w14:paraId="40B5D010">
            <w:pPr>
              <w:pStyle w:val="77"/>
              <w:spacing w:line="480" w:lineRule="exact"/>
              <w:ind w:firstLine="480" w:firstLineChars="200"/>
              <w:jc w:val="both"/>
              <w:rPr>
                <w:rFonts w:ascii="Times New Roman" w:hAnsi="Times New Roman" w:eastAsiaTheme="minorEastAsia"/>
                <w:color w:val="auto"/>
              </w:rPr>
            </w:pPr>
            <w:r>
              <w:rPr>
                <w:rFonts w:ascii="Times New Roman" w:hAnsiTheme="minorEastAsia" w:eastAsiaTheme="minorEastAsia"/>
                <w:snapToGrid w:val="0"/>
                <w:color w:val="auto"/>
              </w:rPr>
              <w:t>重庆涪陵区李渡大耍坝污水处理厂位于重庆市涪陵区李渡街道石马村</w:t>
            </w:r>
            <w:r>
              <w:rPr>
                <w:rFonts w:ascii="Times New Roman" w:hAnsi="Times New Roman" w:eastAsiaTheme="minorEastAsia"/>
                <w:snapToGrid w:val="0"/>
                <w:color w:val="auto"/>
              </w:rPr>
              <w:t>8</w:t>
            </w:r>
            <w:r>
              <w:rPr>
                <w:rFonts w:ascii="Times New Roman" w:hAnsiTheme="minorEastAsia" w:eastAsiaTheme="minorEastAsia"/>
                <w:snapToGrid w:val="0"/>
                <w:color w:val="auto"/>
              </w:rPr>
              <w:t>组，</w:t>
            </w:r>
            <w:r>
              <w:rPr>
                <w:rFonts w:ascii="Times New Roman" w:hAnsiTheme="minorEastAsia" w:eastAsiaTheme="minorEastAsia"/>
                <w:color w:val="auto"/>
              </w:rPr>
              <w:t>位于项目东南侧</w:t>
            </w:r>
            <w:r>
              <w:rPr>
                <w:rFonts w:ascii="Times New Roman" w:hAnsi="Times New Roman" w:eastAsiaTheme="minorEastAsia"/>
                <w:color w:val="auto"/>
              </w:rPr>
              <w:t>2940m</w:t>
            </w:r>
            <w:r>
              <w:rPr>
                <w:rFonts w:ascii="Times New Roman" w:hAnsiTheme="minorEastAsia" w:eastAsiaTheme="minorEastAsia"/>
                <w:color w:val="auto"/>
              </w:rPr>
              <w:t>处，</w:t>
            </w:r>
            <w:r>
              <w:rPr>
                <w:rFonts w:ascii="Times New Roman" w:hAnsiTheme="minorEastAsia" w:eastAsiaTheme="minorEastAsia"/>
                <w:snapToGrid w:val="0"/>
                <w:color w:val="auto"/>
              </w:rPr>
              <w:t>于</w:t>
            </w:r>
            <w:r>
              <w:rPr>
                <w:rFonts w:ascii="Times New Roman" w:hAnsi="Times New Roman" w:eastAsiaTheme="minorEastAsia"/>
                <w:snapToGrid w:val="0"/>
                <w:color w:val="auto"/>
              </w:rPr>
              <w:t>2009</w:t>
            </w:r>
            <w:r>
              <w:rPr>
                <w:rFonts w:ascii="Times New Roman" w:hAnsiTheme="minorEastAsia" w:eastAsiaTheme="minorEastAsia"/>
                <w:snapToGrid w:val="0"/>
                <w:color w:val="auto"/>
              </w:rPr>
              <w:t>年</w:t>
            </w:r>
            <w:r>
              <w:rPr>
                <w:rFonts w:ascii="Times New Roman" w:hAnsi="Times New Roman" w:eastAsiaTheme="minorEastAsia"/>
                <w:snapToGrid w:val="0"/>
                <w:color w:val="auto"/>
              </w:rPr>
              <w:t>12</w:t>
            </w:r>
            <w:r>
              <w:rPr>
                <w:rFonts w:ascii="Times New Roman" w:hAnsiTheme="minorEastAsia" w:eastAsiaTheme="minorEastAsia"/>
                <w:snapToGrid w:val="0"/>
                <w:color w:val="auto"/>
              </w:rPr>
              <w:t>月</w:t>
            </w:r>
            <w:r>
              <w:rPr>
                <w:rFonts w:ascii="Times New Roman" w:hAnsi="Times New Roman" w:eastAsiaTheme="minorEastAsia"/>
                <w:snapToGrid w:val="0"/>
                <w:color w:val="auto"/>
              </w:rPr>
              <w:t>22</w:t>
            </w:r>
            <w:r>
              <w:rPr>
                <w:rFonts w:ascii="Times New Roman" w:hAnsiTheme="minorEastAsia" w:eastAsiaTheme="minorEastAsia"/>
                <w:snapToGrid w:val="0"/>
                <w:color w:val="auto"/>
              </w:rPr>
              <w:t>日开工建设，</w:t>
            </w:r>
            <w:r>
              <w:rPr>
                <w:rFonts w:ascii="Times New Roman" w:hAnsi="Times New Roman" w:eastAsiaTheme="minorEastAsia"/>
                <w:snapToGrid w:val="0"/>
                <w:color w:val="auto"/>
              </w:rPr>
              <w:t>2012</w:t>
            </w:r>
            <w:r>
              <w:rPr>
                <w:rFonts w:ascii="Times New Roman" w:hAnsiTheme="minorEastAsia" w:eastAsiaTheme="minorEastAsia"/>
                <w:snapToGrid w:val="0"/>
                <w:color w:val="auto"/>
              </w:rPr>
              <w:t>年</w:t>
            </w:r>
            <w:r>
              <w:rPr>
                <w:rFonts w:ascii="Times New Roman" w:hAnsi="Times New Roman" w:eastAsiaTheme="minorEastAsia"/>
                <w:snapToGrid w:val="0"/>
                <w:color w:val="auto"/>
              </w:rPr>
              <w:t>10</w:t>
            </w:r>
            <w:r>
              <w:rPr>
                <w:rFonts w:ascii="Times New Roman" w:hAnsiTheme="minorEastAsia" w:eastAsiaTheme="minorEastAsia"/>
                <w:snapToGrid w:val="0"/>
                <w:color w:val="auto"/>
              </w:rPr>
              <w:t>月正式投入使用，污水处理规模为</w:t>
            </w:r>
            <w:r>
              <w:rPr>
                <w:rFonts w:ascii="Times New Roman" w:hAnsi="Times New Roman" w:eastAsiaTheme="minorEastAsia"/>
                <w:snapToGrid w:val="0"/>
                <w:color w:val="auto"/>
              </w:rPr>
              <w:t>10</w:t>
            </w:r>
            <w:r>
              <w:rPr>
                <w:rFonts w:ascii="Times New Roman" w:hAnsiTheme="minorEastAsia" w:eastAsiaTheme="minorEastAsia"/>
                <w:snapToGrid w:val="0"/>
                <w:color w:val="auto"/>
              </w:rPr>
              <w:t>万吨</w:t>
            </w:r>
            <w:r>
              <w:rPr>
                <w:rFonts w:ascii="Times New Roman" w:hAnsi="Times New Roman" w:eastAsiaTheme="minorEastAsia"/>
                <w:snapToGrid w:val="0"/>
                <w:color w:val="auto"/>
              </w:rPr>
              <w:t>/</w:t>
            </w:r>
            <w:r>
              <w:rPr>
                <w:rFonts w:ascii="Times New Roman" w:hAnsiTheme="minorEastAsia" w:eastAsiaTheme="minorEastAsia"/>
                <w:snapToGrid w:val="0"/>
                <w:color w:val="auto"/>
              </w:rPr>
              <w:t>日，污水处理厂目前采取的处理工艺为</w:t>
            </w:r>
            <w:r>
              <w:rPr>
                <w:rFonts w:ascii="Times New Roman" w:hAnsi="Times New Roman" w:eastAsiaTheme="minorEastAsia"/>
                <w:snapToGrid w:val="0"/>
                <w:color w:val="auto"/>
              </w:rPr>
              <w:t>A2/O</w:t>
            </w:r>
            <w:r>
              <w:rPr>
                <w:rFonts w:ascii="Times New Roman" w:hAnsiTheme="minorEastAsia" w:eastAsiaTheme="minorEastAsia"/>
                <w:snapToGrid w:val="0"/>
                <w:color w:val="auto"/>
              </w:rPr>
              <w:t>改良氧化沟</w:t>
            </w:r>
            <w:r>
              <w:rPr>
                <w:rFonts w:ascii="Times New Roman" w:hAnsi="Times New Roman" w:eastAsiaTheme="minorEastAsia"/>
                <w:snapToGrid w:val="0"/>
                <w:color w:val="auto"/>
              </w:rPr>
              <w:t>+</w:t>
            </w:r>
            <w:r>
              <w:rPr>
                <w:rFonts w:ascii="Times New Roman" w:hAnsiTheme="minorEastAsia" w:eastAsiaTheme="minorEastAsia"/>
                <w:snapToGrid w:val="0"/>
                <w:color w:val="auto"/>
              </w:rPr>
              <w:t>高效澄清</w:t>
            </w:r>
            <w:r>
              <w:rPr>
                <w:rFonts w:ascii="Times New Roman" w:hAnsi="Times New Roman" w:eastAsiaTheme="minorEastAsia"/>
                <w:snapToGrid w:val="0"/>
                <w:color w:val="auto"/>
              </w:rPr>
              <w:t>+</w:t>
            </w:r>
            <w:r>
              <w:rPr>
                <w:rFonts w:ascii="Times New Roman" w:hAnsiTheme="minorEastAsia" w:eastAsiaTheme="minorEastAsia"/>
                <w:snapToGrid w:val="0"/>
                <w:color w:val="auto"/>
              </w:rPr>
              <w:t>曝气生物滤池深度处理工艺。目前，涪陵区李渡新区银滩路、聚贤大道、聚源大道两侧企业及长江师院、卫校、双溪五组团等处的工业和生活污水可全部收集入网，出水达</w:t>
            </w:r>
            <w:r>
              <w:rPr>
                <w:rFonts w:ascii="Times New Roman" w:hAnsiTheme="minorEastAsia" w:eastAsiaTheme="minorEastAsia"/>
                <w:color w:val="auto"/>
              </w:rPr>
              <w:t>到《城镇污水处理厂污染物排放标准》（</w:t>
            </w:r>
            <w:r>
              <w:rPr>
                <w:rFonts w:ascii="Times New Roman" w:hAnsi="Times New Roman" w:eastAsiaTheme="minorEastAsia"/>
                <w:color w:val="auto"/>
              </w:rPr>
              <w:t>GB18918-2002</w:t>
            </w:r>
            <w:r>
              <w:rPr>
                <w:rFonts w:ascii="Times New Roman" w:hAnsiTheme="minorEastAsia" w:eastAsiaTheme="minorEastAsia"/>
                <w:color w:val="auto"/>
              </w:rPr>
              <w:t>）一级</w:t>
            </w:r>
            <w:r>
              <w:rPr>
                <w:rFonts w:ascii="Times New Roman" w:hAnsi="Times New Roman" w:eastAsiaTheme="minorEastAsia"/>
                <w:color w:val="auto"/>
              </w:rPr>
              <w:t>B</w:t>
            </w:r>
            <w:r>
              <w:rPr>
                <w:rFonts w:ascii="Times New Roman" w:hAnsiTheme="minorEastAsia" w:eastAsiaTheme="minorEastAsia"/>
                <w:color w:val="auto"/>
              </w:rPr>
              <w:t>标准后排入长江。本项目建设完成后全厂污水最大排放量为</w:t>
            </w:r>
            <w:r>
              <w:rPr>
                <w:rFonts w:hint="eastAsia" w:ascii="Times New Roman" w:hAnsi="Times New Roman" w:eastAsiaTheme="minorEastAsia"/>
                <w:color w:val="auto"/>
              </w:rPr>
              <w:t>120.672</w:t>
            </w:r>
            <w:r>
              <w:rPr>
                <w:rFonts w:ascii="Times New Roman" w:hAnsi="Times New Roman" w:eastAsiaTheme="minorEastAsia"/>
                <w:color w:val="auto"/>
              </w:rPr>
              <w:t>m</w:t>
            </w:r>
            <w:r>
              <w:rPr>
                <w:rFonts w:ascii="Times New Roman" w:hAnsi="Times New Roman" w:eastAsiaTheme="minorEastAsia"/>
                <w:color w:val="auto"/>
                <w:vertAlign w:val="superscript"/>
              </w:rPr>
              <w:t>3</w:t>
            </w:r>
            <w:r>
              <w:rPr>
                <w:rFonts w:ascii="Times New Roman" w:hAnsi="Times New Roman" w:eastAsiaTheme="minorEastAsia"/>
                <w:color w:val="auto"/>
              </w:rPr>
              <w:t>/d</w:t>
            </w:r>
            <w:r>
              <w:rPr>
                <w:rFonts w:ascii="Times New Roman" w:hAnsiTheme="minorEastAsia" w:eastAsiaTheme="minorEastAsia"/>
                <w:color w:val="auto"/>
              </w:rPr>
              <w:t>，占大耍坝污水处理厂（近期）处理能力比例小，大耍坝污水处理厂设计能力及接纳范围能满足本项目外排废水需要。</w:t>
            </w:r>
          </w:p>
          <w:p w14:paraId="11B01622">
            <w:pPr>
              <w:snapToGrid w:val="0"/>
              <w:spacing w:line="480" w:lineRule="exact"/>
              <w:ind w:firstLine="522" w:firstLineChars="200"/>
              <w:rPr>
                <w:b/>
                <w:sz w:val="24"/>
              </w:rPr>
            </w:pPr>
            <w:r>
              <w:rPr>
                <w:b/>
                <w:snapToGrid w:val="0"/>
                <w:sz w:val="26"/>
                <w:szCs w:val="26"/>
              </w:rPr>
              <w:t>4.2.</w:t>
            </w:r>
            <w:r>
              <w:rPr>
                <w:rFonts w:hint="eastAsia"/>
                <w:b/>
                <w:snapToGrid w:val="0"/>
                <w:sz w:val="26"/>
                <w:szCs w:val="26"/>
              </w:rPr>
              <w:t>1</w:t>
            </w:r>
            <w:r>
              <w:rPr>
                <w:b/>
                <w:snapToGrid w:val="0"/>
                <w:sz w:val="26"/>
                <w:szCs w:val="26"/>
              </w:rPr>
              <w:t xml:space="preserve">.4 </w:t>
            </w:r>
            <w:r>
              <w:rPr>
                <w:rFonts w:hAnsi="宋体"/>
                <w:b/>
                <w:sz w:val="24"/>
              </w:rPr>
              <w:t>废水排放口设置情况</w:t>
            </w:r>
          </w:p>
          <w:p w14:paraId="0911D8DE">
            <w:pPr>
              <w:adjustRightInd w:val="0"/>
              <w:snapToGrid w:val="0"/>
              <w:spacing w:line="480" w:lineRule="exact"/>
              <w:ind w:firstLine="480" w:firstLineChars="200"/>
              <w:rPr>
                <w:sz w:val="24"/>
              </w:rPr>
            </w:pPr>
            <w:r>
              <w:rPr>
                <w:rFonts w:hAnsi="宋体"/>
                <w:sz w:val="24"/>
              </w:rPr>
              <w:t>本项目废水类别、污染物及污染治理设施信息见表</w:t>
            </w:r>
            <w:r>
              <w:rPr>
                <w:sz w:val="24"/>
              </w:rPr>
              <w:t>4.2-3</w:t>
            </w:r>
            <w:r>
              <w:rPr>
                <w:rFonts w:hAnsi="宋体"/>
                <w:sz w:val="24"/>
              </w:rPr>
              <w:t>。</w:t>
            </w:r>
          </w:p>
          <w:p w14:paraId="132B51C9">
            <w:pPr>
              <w:adjustRightInd w:val="0"/>
              <w:snapToGrid w:val="0"/>
              <w:spacing w:line="440" w:lineRule="exact"/>
              <w:jc w:val="center"/>
              <w:rPr>
                <w:b/>
                <w:szCs w:val="21"/>
              </w:rPr>
            </w:pPr>
            <w:r>
              <w:rPr>
                <w:rFonts w:hAnsi="宋体"/>
                <w:b/>
                <w:szCs w:val="21"/>
              </w:rPr>
              <w:t>表</w:t>
            </w:r>
            <w:r>
              <w:rPr>
                <w:b/>
                <w:szCs w:val="21"/>
              </w:rPr>
              <w:t xml:space="preserve">4.2-3  </w:t>
            </w:r>
            <w:r>
              <w:rPr>
                <w:rFonts w:hAnsi="宋体"/>
                <w:b/>
                <w:szCs w:val="21"/>
              </w:rPr>
              <w:t>废水类别、污染物及污染治理设施信息表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543"/>
              <w:gridCol w:w="1198"/>
              <w:gridCol w:w="718"/>
              <w:gridCol w:w="732"/>
              <w:gridCol w:w="900"/>
              <w:gridCol w:w="662"/>
              <w:gridCol w:w="627"/>
              <w:gridCol w:w="627"/>
              <w:gridCol w:w="581"/>
              <w:gridCol w:w="712"/>
              <w:gridCol w:w="649"/>
              <w:gridCol w:w="582"/>
            </w:tblGrid>
            <w:tr w14:paraId="74E71E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blHeader/>
              </w:trPr>
              <w:tc>
                <w:tcPr>
                  <w:tcW w:w="543" w:type="dxa"/>
                  <w:vMerge w:val="restart"/>
                  <w:vAlign w:val="center"/>
                </w:tcPr>
                <w:p w14:paraId="1CCF56E8">
                  <w:pPr>
                    <w:pStyle w:val="106"/>
                    <w:rPr>
                      <w:szCs w:val="21"/>
                    </w:rPr>
                  </w:pPr>
                  <w:r>
                    <w:rPr>
                      <w:szCs w:val="21"/>
                    </w:rPr>
                    <w:t>废水类别</w:t>
                  </w:r>
                </w:p>
              </w:tc>
              <w:tc>
                <w:tcPr>
                  <w:tcW w:w="1198" w:type="dxa"/>
                  <w:vMerge w:val="restart"/>
                  <w:vAlign w:val="center"/>
                </w:tcPr>
                <w:p w14:paraId="516E2916">
                  <w:pPr>
                    <w:pStyle w:val="106"/>
                    <w:rPr>
                      <w:szCs w:val="21"/>
                    </w:rPr>
                  </w:pPr>
                  <w:r>
                    <w:rPr>
                      <w:szCs w:val="21"/>
                    </w:rPr>
                    <w:t>污染物种类</w:t>
                  </w:r>
                </w:p>
              </w:tc>
              <w:tc>
                <w:tcPr>
                  <w:tcW w:w="3012" w:type="dxa"/>
                  <w:gridSpan w:val="4"/>
                  <w:vAlign w:val="center"/>
                </w:tcPr>
                <w:p w14:paraId="0125BF6B">
                  <w:pPr>
                    <w:pStyle w:val="106"/>
                    <w:rPr>
                      <w:szCs w:val="21"/>
                    </w:rPr>
                  </w:pPr>
                  <w:r>
                    <w:rPr>
                      <w:szCs w:val="21"/>
                    </w:rPr>
                    <w:t>污染防治设施</w:t>
                  </w:r>
                </w:p>
              </w:tc>
              <w:tc>
                <w:tcPr>
                  <w:tcW w:w="627" w:type="dxa"/>
                  <w:vMerge w:val="restart"/>
                  <w:vAlign w:val="center"/>
                </w:tcPr>
                <w:p w14:paraId="4FCFABCA">
                  <w:pPr>
                    <w:pStyle w:val="106"/>
                    <w:rPr>
                      <w:szCs w:val="21"/>
                    </w:rPr>
                  </w:pPr>
                  <w:r>
                    <w:rPr>
                      <w:szCs w:val="21"/>
                    </w:rPr>
                    <w:t>排放去向</w:t>
                  </w:r>
                </w:p>
              </w:tc>
              <w:tc>
                <w:tcPr>
                  <w:tcW w:w="627" w:type="dxa"/>
                  <w:vMerge w:val="restart"/>
                  <w:vAlign w:val="center"/>
                </w:tcPr>
                <w:p w14:paraId="105C2A78">
                  <w:pPr>
                    <w:pStyle w:val="106"/>
                    <w:rPr>
                      <w:szCs w:val="21"/>
                    </w:rPr>
                  </w:pPr>
                  <w:r>
                    <w:rPr>
                      <w:szCs w:val="21"/>
                    </w:rPr>
                    <w:t>排放方式</w:t>
                  </w:r>
                </w:p>
              </w:tc>
              <w:tc>
                <w:tcPr>
                  <w:tcW w:w="581" w:type="dxa"/>
                  <w:vMerge w:val="restart"/>
                  <w:vAlign w:val="center"/>
                </w:tcPr>
                <w:p w14:paraId="7226F0E1">
                  <w:pPr>
                    <w:pStyle w:val="106"/>
                    <w:rPr>
                      <w:szCs w:val="21"/>
                    </w:rPr>
                  </w:pPr>
                  <w:r>
                    <w:rPr>
                      <w:szCs w:val="21"/>
                    </w:rPr>
                    <w:t>排放规律</w:t>
                  </w:r>
                </w:p>
              </w:tc>
              <w:tc>
                <w:tcPr>
                  <w:tcW w:w="712" w:type="dxa"/>
                  <w:vMerge w:val="restart"/>
                  <w:vAlign w:val="center"/>
                </w:tcPr>
                <w:p w14:paraId="66D6FA33">
                  <w:pPr>
                    <w:pStyle w:val="106"/>
                    <w:rPr>
                      <w:szCs w:val="21"/>
                    </w:rPr>
                  </w:pPr>
                  <w:r>
                    <w:rPr>
                      <w:szCs w:val="21"/>
                    </w:rPr>
                    <w:t>排放口编号</w:t>
                  </w:r>
                </w:p>
              </w:tc>
              <w:tc>
                <w:tcPr>
                  <w:tcW w:w="649" w:type="dxa"/>
                  <w:vMerge w:val="restart"/>
                  <w:vAlign w:val="center"/>
                </w:tcPr>
                <w:p w14:paraId="5B239336">
                  <w:pPr>
                    <w:pStyle w:val="106"/>
                    <w:rPr>
                      <w:szCs w:val="21"/>
                    </w:rPr>
                  </w:pPr>
                  <w:r>
                    <w:rPr>
                      <w:szCs w:val="21"/>
                    </w:rPr>
                    <w:t>排放口设置是否符合要求</w:t>
                  </w:r>
                </w:p>
              </w:tc>
              <w:tc>
                <w:tcPr>
                  <w:tcW w:w="582" w:type="dxa"/>
                  <w:vMerge w:val="restart"/>
                  <w:vAlign w:val="center"/>
                </w:tcPr>
                <w:p w14:paraId="40A1EB11">
                  <w:pPr>
                    <w:pStyle w:val="106"/>
                    <w:rPr>
                      <w:szCs w:val="21"/>
                    </w:rPr>
                  </w:pPr>
                  <w:r>
                    <w:rPr>
                      <w:szCs w:val="21"/>
                    </w:rPr>
                    <w:t>排放口类型</w:t>
                  </w:r>
                </w:p>
              </w:tc>
            </w:tr>
            <w:tr w14:paraId="46293E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blHeader/>
              </w:trPr>
              <w:tc>
                <w:tcPr>
                  <w:tcW w:w="543" w:type="dxa"/>
                  <w:vMerge w:val="continue"/>
                  <w:vAlign w:val="center"/>
                </w:tcPr>
                <w:p w14:paraId="0D8336F9">
                  <w:pPr>
                    <w:pStyle w:val="106"/>
                    <w:rPr>
                      <w:szCs w:val="21"/>
                    </w:rPr>
                  </w:pPr>
                </w:p>
              </w:tc>
              <w:tc>
                <w:tcPr>
                  <w:tcW w:w="1198" w:type="dxa"/>
                  <w:vMerge w:val="continue"/>
                  <w:vAlign w:val="center"/>
                </w:tcPr>
                <w:p w14:paraId="5FCFC662">
                  <w:pPr>
                    <w:pStyle w:val="106"/>
                    <w:rPr>
                      <w:szCs w:val="21"/>
                    </w:rPr>
                  </w:pPr>
                </w:p>
              </w:tc>
              <w:tc>
                <w:tcPr>
                  <w:tcW w:w="718" w:type="dxa"/>
                  <w:vAlign w:val="center"/>
                </w:tcPr>
                <w:p w14:paraId="0218DB2A">
                  <w:pPr>
                    <w:pStyle w:val="106"/>
                    <w:rPr>
                      <w:szCs w:val="21"/>
                    </w:rPr>
                  </w:pPr>
                  <w:r>
                    <w:rPr>
                      <w:szCs w:val="21"/>
                    </w:rPr>
                    <w:t>污染防治设施编号</w:t>
                  </w:r>
                </w:p>
              </w:tc>
              <w:tc>
                <w:tcPr>
                  <w:tcW w:w="732" w:type="dxa"/>
                  <w:vAlign w:val="center"/>
                </w:tcPr>
                <w:p w14:paraId="4B675E9F">
                  <w:pPr>
                    <w:pStyle w:val="106"/>
                    <w:rPr>
                      <w:szCs w:val="21"/>
                    </w:rPr>
                  </w:pPr>
                  <w:r>
                    <w:rPr>
                      <w:szCs w:val="21"/>
                    </w:rPr>
                    <w:t>污染防治设施名称</w:t>
                  </w:r>
                </w:p>
              </w:tc>
              <w:tc>
                <w:tcPr>
                  <w:tcW w:w="900" w:type="dxa"/>
                  <w:vAlign w:val="center"/>
                </w:tcPr>
                <w:p w14:paraId="18EFC78B">
                  <w:pPr>
                    <w:pStyle w:val="106"/>
                    <w:rPr>
                      <w:szCs w:val="21"/>
                    </w:rPr>
                  </w:pPr>
                  <w:r>
                    <w:rPr>
                      <w:szCs w:val="21"/>
                    </w:rPr>
                    <w:t>污染防治设施工艺</w:t>
                  </w:r>
                </w:p>
              </w:tc>
              <w:tc>
                <w:tcPr>
                  <w:tcW w:w="662" w:type="dxa"/>
                  <w:vAlign w:val="center"/>
                </w:tcPr>
                <w:p w14:paraId="279DC024">
                  <w:pPr>
                    <w:pStyle w:val="106"/>
                    <w:rPr>
                      <w:szCs w:val="21"/>
                    </w:rPr>
                  </w:pPr>
                  <w:r>
                    <w:rPr>
                      <w:szCs w:val="21"/>
                    </w:rPr>
                    <w:t>是否为可行技术</w:t>
                  </w:r>
                </w:p>
              </w:tc>
              <w:tc>
                <w:tcPr>
                  <w:tcW w:w="627" w:type="dxa"/>
                  <w:vMerge w:val="continue"/>
                  <w:vAlign w:val="center"/>
                </w:tcPr>
                <w:p w14:paraId="5DD3AB6D">
                  <w:pPr>
                    <w:pStyle w:val="106"/>
                    <w:rPr>
                      <w:szCs w:val="21"/>
                    </w:rPr>
                  </w:pPr>
                </w:p>
              </w:tc>
              <w:tc>
                <w:tcPr>
                  <w:tcW w:w="627" w:type="dxa"/>
                  <w:vMerge w:val="continue"/>
                  <w:vAlign w:val="center"/>
                </w:tcPr>
                <w:p w14:paraId="46C8D866">
                  <w:pPr>
                    <w:pStyle w:val="106"/>
                    <w:rPr>
                      <w:szCs w:val="21"/>
                    </w:rPr>
                  </w:pPr>
                </w:p>
              </w:tc>
              <w:tc>
                <w:tcPr>
                  <w:tcW w:w="581" w:type="dxa"/>
                  <w:vMerge w:val="continue"/>
                  <w:vAlign w:val="center"/>
                </w:tcPr>
                <w:p w14:paraId="39B2CA52">
                  <w:pPr>
                    <w:pStyle w:val="106"/>
                    <w:rPr>
                      <w:szCs w:val="21"/>
                    </w:rPr>
                  </w:pPr>
                </w:p>
              </w:tc>
              <w:tc>
                <w:tcPr>
                  <w:tcW w:w="712" w:type="dxa"/>
                  <w:vMerge w:val="continue"/>
                  <w:vAlign w:val="center"/>
                </w:tcPr>
                <w:p w14:paraId="2B3AD8A6">
                  <w:pPr>
                    <w:pStyle w:val="106"/>
                    <w:rPr>
                      <w:szCs w:val="21"/>
                    </w:rPr>
                  </w:pPr>
                </w:p>
              </w:tc>
              <w:tc>
                <w:tcPr>
                  <w:tcW w:w="649" w:type="dxa"/>
                  <w:vMerge w:val="continue"/>
                  <w:vAlign w:val="center"/>
                </w:tcPr>
                <w:p w14:paraId="2F2B013B">
                  <w:pPr>
                    <w:pStyle w:val="106"/>
                    <w:rPr>
                      <w:szCs w:val="21"/>
                    </w:rPr>
                  </w:pPr>
                </w:p>
              </w:tc>
              <w:tc>
                <w:tcPr>
                  <w:tcW w:w="582" w:type="dxa"/>
                  <w:vMerge w:val="continue"/>
                  <w:vAlign w:val="center"/>
                </w:tcPr>
                <w:p w14:paraId="6ED66630">
                  <w:pPr>
                    <w:pStyle w:val="106"/>
                    <w:rPr>
                      <w:szCs w:val="21"/>
                    </w:rPr>
                  </w:pPr>
                </w:p>
              </w:tc>
            </w:tr>
            <w:tr w14:paraId="21CD05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43" w:type="dxa"/>
                  <w:vAlign w:val="center"/>
                </w:tcPr>
                <w:p w14:paraId="2A2CEC01">
                  <w:pPr>
                    <w:pStyle w:val="106"/>
                    <w:rPr>
                      <w:szCs w:val="21"/>
                    </w:rPr>
                  </w:pPr>
                  <w:r>
                    <w:rPr>
                      <w:rFonts w:hint="eastAsia"/>
                      <w:szCs w:val="21"/>
                    </w:rPr>
                    <w:t>综合废水</w:t>
                  </w:r>
                </w:p>
              </w:tc>
              <w:tc>
                <w:tcPr>
                  <w:tcW w:w="1198" w:type="dxa"/>
                  <w:vAlign w:val="center"/>
                </w:tcPr>
                <w:p w14:paraId="43A74FF6">
                  <w:pPr>
                    <w:pStyle w:val="106"/>
                    <w:rPr>
                      <w:szCs w:val="21"/>
                    </w:rPr>
                  </w:pPr>
                  <w:r>
                    <w:rPr>
                      <w:szCs w:val="21"/>
                    </w:rPr>
                    <w:t>COD</w:t>
                  </w:r>
                </w:p>
                <w:p w14:paraId="41969452">
                  <w:pPr>
                    <w:pStyle w:val="106"/>
                    <w:rPr>
                      <w:szCs w:val="21"/>
                    </w:rPr>
                  </w:pPr>
                  <w:r>
                    <w:rPr>
                      <w:szCs w:val="21"/>
                    </w:rPr>
                    <w:t>BOD</w:t>
                  </w:r>
                  <w:r>
                    <w:rPr>
                      <w:szCs w:val="21"/>
                      <w:vertAlign w:val="subscript"/>
                    </w:rPr>
                    <w:t>5</w:t>
                  </w:r>
                </w:p>
                <w:p w14:paraId="2B485297">
                  <w:pPr>
                    <w:pStyle w:val="106"/>
                    <w:rPr>
                      <w:szCs w:val="21"/>
                    </w:rPr>
                  </w:pPr>
                  <w:r>
                    <w:rPr>
                      <w:rFonts w:hint="eastAsia"/>
                      <w:szCs w:val="21"/>
                    </w:rPr>
                    <w:t>SS</w:t>
                  </w:r>
                </w:p>
                <w:p w14:paraId="6933F0EF">
                  <w:pPr>
                    <w:pStyle w:val="106"/>
                    <w:rPr>
                      <w:szCs w:val="21"/>
                    </w:rPr>
                  </w:pPr>
                  <w:r>
                    <w:rPr>
                      <w:szCs w:val="21"/>
                    </w:rPr>
                    <w:t>NH</w:t>
                  </w:r>
                  <w:r>
                    <w:rPr>
                      <w:szCs w:val="21"/>
                      <w:vertAlign w:val="subscript"/>
                    </w:rPr>
                    <w:t>3</w:t>
                  </w:r>
                  <w:r>
                    <w:rPr>
                      <w:szCs w:val="21"/>
                    </w:rPr>
                    <w:t>-N</w:t>
                  </w:r>
                </w:p>
                <w:p w14:paraId="1DFA4995">
                  <w:pPr>
                    <w:pStyle w:val="106"/>
                    <w:rPr>
                      <w:szCs w:val="21"/>
                    </w:rPr>
                  </w:pPr>
                  <w:r>
                    <w:rPr>
                      <w:rFonts w:hint="eastAsia"/>
                      <w:szCs w:val="21"/>
                    </w:rPr>
                    <w:t>动植物油</w:t>
                  </w:r>
                </w:p>
                <w:p w14:paraId="7A4F031E">
                  <w:pPr>
                    <w:pStyle w:val="106"/>
                    <w:rPr>
                      <w:szCs w:val="21"/>
                    </w:rPr>
                  </w:pPr>
                  <w:r>
                    <w:rPr>
                      <w:rFonts w:hint="eastAsia"/>
                      <w:szCs w:val="21"/>
                    </w:rPr>
                    <w:t>石油类</w:t>
                  </w:r>
                </w:p>
                <w:p w14:paraId="2ECC1B14">
                  <w:pPr>
                    <w:pStyle w:val="106"/>
                    <w:rPr>
                      <w:szCs w:val="21"/>
                    </w:rPr>
                  </w:pPr>
                  <w:r>
                    <w:rPr>
                      <w:rFonts w:hint="eastAsia"/>
                      <w:szCs w:val="21"/>
                    </w:rPr>
                    <w:t>总磷</w:t>
                  </w:r>
                </w:p>
              </w:tc>
              <w:tc>
                <w:tcPr>
                  <w:tcW w:w="718" w:type="dxa"/>
                  <w:vAlign w:val="center"/>
                </w:tcPr>
                <w:p w14:paraId="6BA17C41">
                  <w:pPr>
                    <w:pStyle w:val="106"/>
                    <w:rPr>
                      <w:szCs w:val="21"/>
                    </w:rPr>
                  </w:pPr>
                  <w:r>
                    <w:rPr>
                      <w:szCs w:val="21"/>
                    </w:rPr>
                    <w:t>TW001</w:t>
                  </w:r>
                </w:p>
              </w:tc>
              <w:tc>
                <w:tcPr>
                  <w:tcW w:w="732" w:type="dxa"/>
                  <w:vAlign w:val="center"/>
                </w:tcPr>
                <w:p w14:paraId="33C6F974">
                  <w:pPr>
                    <w:pStyle w:val="106"/>
                    <w:rPr>
                      <w:szCs w:val="21"/>
                    </w:rPr>
                  </w:pPr>
                  <w:r>
                    <w:rPr>
                      <w:rFonts w:hint="eastAsia"/>
                      <w:szCs w:val="21"/>
                    </w:rPr>
                    <w:t>生化池</w:t>
                  </w:r>
                </w:p>
              </w:tc>
              <w:tc>
                <w:tcPr>
                  <w:tcW w:w="900" w:type="dxa"/>
                  <w:vAlign w:val="center"/>
                </w:tcPr>
                <w:p w14:paraId="2F42E421">
                  <w:pPr>
                    <w:autoSpaceDE w:val="0"/>
                    <w:autoSpaceDN w:val="0"/>
                    <w:adjustRightInd w:val="0"/>
                    <w:jc w:val="center"/>
                    <w:rPr>
                      <w:szCs w:val="21"/>
                    </w:rPr>
                  </w:pPr>
                  <w:r>
                    <w:rPr>
                      <w:rFonts w:hint="eastAsia" w:ascii="宋体" w:cs="宋体"/>
                      <w:kern w:val="0"/>
                      <w:szCs w:val="21"/>
                    </w:rPr>
                    <w:t>生化池</w:t>
                  </w:r>
                </w:p>
              </w:tc>
              <w:tc>
                <w:tcPr>
                  <w:tcW w:w="662" w:type="dxa"/>
                  <w:vAlign w:val="center"/>
                </w:tcPr>
                <w:p w14:paraId="2BFB059D">
                  <w:pPr>
                    <w:pStyle w:val="106"/>
                    <w:rPr>
                      <w:szCs w:val="21"/>
                    </w:rPr>
                  </w:pPr>
                  <w:r>
                    <w:rPr>
                      <w:szCs w:val="21"/>
                    </w:rPr>
                    <w:t>是</w:t>
                  </w:r>
                </w:p>
              </w:tc>
              <w:tc>
                <w:tcPr>
                  <w:tcW w:w="627" w:type="dxa"/>
                  <w:vAlign w:val="center"/>
                </w:tcPr>
                <w:p w14:paraId="1FBE3E20">
                  <w:pPr>
                    <w:pStyle w:val="106"/>
                    <w:rPr>
                      <w:szCs w:val="21"/>
                    </w:rPr>
                  </w:pPr>
                  <w:r>
                    <w:rPr>
                      <w:kern w:val="0"/>
                      <w:szCs w:val="21"/>
                    </w:rPr>
                    <w:t>李渡大耍坝污水处理厂</w:t>
                  </w:r>
                </w:p>
              </w:tc>
              <w:tc>
                <w:tcPr>
                  <w:tcW w:w="627" w:type="dxa"/>
                  <w:vAlign w:val="center"/>
                </w:tcPr>
                <w:p w14:paraId="7DEDB9AA">
                  <w:pPr>
                    <w:pStyle w:val="106"/>
                    <w:rPr>
                      <w:szCs w:val="21"/>
                    </w:rPr>
                  </w:pPr>
                  <w:r>
                    <w:rPr>
                      <w:szCs w:val="21"/>
                    </w:rPr>
                    <w:t>间</w:t>
                  </w:r>
                  <w:r>
                    <w:rPr>
                      <w:rFonts w:hint="eastAsia"/>
                      <w:szCs w:val="21"/>
                    </w:rPr>
                    <w:t>断</w:t>
                  </w:r>
                </w:p>
                <w:p w14:paraId="17AC2D33">
                  <w:pPr>
                    <w:pStyle w:val="106"/>
                    <w:rPr>
                      <w:szCs w:val="21"/>
                    </w:rPr>
                  </w:pPr>
                  <w:r>
                    <w:rPr>
                      <w:szCs w:val="21"/>
                    </w:rPr>
                    <w:t>排放</w:t>
                  </w:r>
                </w:p>
              </w:tc>
              <w:tc>
                <w:tcPr>
                  <w:tcW w:w="581" w:type="dxa"/>
                  <w:vAlign w:val="center"/>
                </w:tcPr>
                <w:p w14:paraId="1F4C5B63">
                  <w:pPr>
                    <w:pStyle w:val="106"/>
                    <w:rPr>
                      <w:szCs w:val="21"/>
                    </w:rPr>
                  </w:pPr>
                  <w:r>
                    <w:rPr>
                      <w:rFonts w:hint="eastAsia"/>
                      <w:bCs/>
                    </w:rPr>
                    <w:t>流量不稳定无规律</w:t>
                  </w:r>
                </w:p>
              </w:tc>
              <w:tc>
                <w:tcPr>
                  <w:tcW w:w="712" w:type="dxa"/>
                  <w:vAlign w:val="center"/>
                </w:tcPr>
                <w:p w14:paraId="2EEEA14D">
                  <w:pPr>
                    <w:pStyle w:val="106"/>
                    <w:rPr>
                      <w:szCs w:val="21"/>
                    </w:rPr>
                  </w:pPr>
                  <w:r>
                    <w:rPr>
                      <w:szCs w:val="21"/>
                    </w:rPr>
                    <w:t>DW001</w:t>
                  </w:r>
                </w:p>
              </w:tc>
              <w:tc>
                <w:tcPr>
                  <w:tcW w:w="649" w:type="dxa"/>
                  <w:vAlign w:val="center"/>
                </w:tcPr>
                <w:p w14:paraId="64B3B013">
                  <w:pPr>
                    <w:pStyle w:val="106"/>
                    <w:rPr>
                      <w:szCs w:val="21"/>
                    </w:rPr>
                  </w:pPr>
                  <w:r>
                    <w:rPr>
                      <w:szCs w:val="21"/>
                    </w:rPr>
                    <w:t>是</w:t>
                  </w:r>
                </w:p>
              </w:tc>
              <w:tc>
                <w:tcPr>
                  <w:tcW w:w="582" w:type="dxa"/>
                  <w:vAlign w:val="center"/>
                </w:tcPr>
                <w:p w14:paraId="3E08969F">
                  <w:pPr>
                    <w:pStyle w:val="106"/>
                    <w:rPr>
                      <w:szCs w:val="21"/>
                    </w:rPr>
                  </w:pPr>
                  <w:r>
                    <w:rPr>
                      <w:szCs w:val="21"/>
                    </w:rPr>
                    <w:t>一般排放口-总排口</w:t>
                  </w:r>
                </w:p>
              </w:tc>
            </w:tr>
          </w:tbl>
          <w:p w14:paraId="083FF7BC">
            <w:pPr>
              <w:adjustRightInd w:val="0"/>
              <w:snapToGrid w:val="0"/>
              <w:spacing w:line="440" w:lineRule="exact"/>
              <w:jc w:val="center"/>
              <w:rPr>
                <w:b/>
                <w:szCs w:val="21"/>
              </w:rPr>
            </w:pPr>
            <w:r>
              <w:rPr>
                <w:b/>
                <w:szCs w:val="21"/>
              </w:rPr>
              <w:t>表4.2-4  废水间接排放口基本情况表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820"/>
              <w:gridCol w:w="1114"/>
              <w:gridCol w:w="1003"/>
              <w:gridCol w:w="959"/>
              <w:gridCol w:w="667"/>
              <w:gridCol w:w="842"/>
              <w:gridCol w:w="1305"/>
              <w:gridCol w:w="1821"/>
            </w:tblGrid>
            <w:tr w14:paraId="08942D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restart"/>
                  <w:vAlign w:val="center"/>
                </w:tcPr>
                <w:p w14:paraId="7778A996">
                  <w:pPr>
                    <w:pStyle w:val="106"/>
                  </w:pPr>
                  <w:r>
                    <w:t>排放口编号</w:t>
                  </w:r>
                </w:p>
              </w:tc>
              <w:tc>
                <w:tcPr>
                  <w:tcW w:w="2117" w:type="dxa"/>
                  <w:gridSpan w:val="2"/>
                  <w:vAlign w:val="center"/>
                </w:tcPr>
                <w:p w14:paraId="41A86B45">
                  <w:pPr>
                    <w:pStyle w:val="106"/>
                  </w:pPr>
                  <w:r>
                    <w:t>排放口地理坐标</w:t>
                  </w:r>
                </w:p>
              </w:tc>
              <w:tc>
                <w:tcPr>
                  <w:tcW w:w="959" w:type="dxa"/>
                  <w:vMerge w:val="restart"/>
                  <w:vAlign w:val="center"/>
                </w:tcPr>
                <w:p w14:paraId="3D47A064">
                  <w:pPr>
                    <w:pStyle w:val="106"/>
                  </w:pPr>
                  <w:r>
                    <w:t>排放</w:t>
                  </w:r>
                </w:p>
                <w:p w14:paraId="1F1E5358">
                  <w:pPr>
                    <w:pStyle w:val="106"/>
                  </w:pPr>
                  <w:r>
                    <w:t>去向</w:t>
                  </w:r>
                </w:p>
              </w:tc>
              <w:tc>
                <w:tcPr>
                  <w:tcW w:w="667" w:type="dxa"/>
                  <w:vMerge w:val="restart"/>
                  <w:vAlign w:val="center"/>
                </w:tcPr>
                <w:p w14:paraId="0149DE6F">
                  <w:pPr>
                    <w:pStyle w:val="106"/>
                  </w:pPr>
                  <w:r>
                    <w:t>排放</w:t>
                  </w:r>
                </w:p>
                <w:p w14:paraId="151BE6FF">
                  <w:pPr>
                    <w:pStyle w:val="106"/>
                  </w:pPr>
                  <w:r>
                    <w:t>规律</w:t>
                  </w:r>
                </w:p>
              </w:tc>
              <w:tc>
                <w:tcPr>
                  <w:tcW w:w="3968" w:type="dxa"/>
                  <w:gridSpan w:val="3"/>
                  <w:vAlign w:val="center"/>
                </w:tcPr>
                <w:p w14:paraId="18C63AB6">
                  <w:pPr>
                    <w:pStyle w:val="106"/>
                  </w:pPr>
                  <w:r>
                    <w:t>受纳污水处理厂信息</w:t>
                  </w:r>
                </w:p>
              </w:tc>
            </w:tr>
            <w:tr w14:paraId="2D78CB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1368CB48">
                  <w:pPr>
                    <w:pStyle w:val="106"/>
                  </w:pPr>
                </w:p>
              </w:tc>
              <w:tc>
                <w:tcPr>
                  <w:tcW w:w="1114" w:type="dxa"/>
                  <w:vAlign w:val="center"/>
                </w:tcPr>
                <w:p w14:paraId="3D2F82B0">
                  <w:pPr>
                    <w:pStyle w:val="106"/>
                  </w:pPr>
                  <w:r>
                    <w:t>经度</w:t>
                  </w:r>
                </w:p>
              </w:tc>
              <w:tc>
                <w:tcPr>
                  <w:tcW w:w="1003" w:type="dxa"/>
                  <w:vAlign w:val="center"/>
                </w:tcPr>
                <w:p w14:paraId="528FE6BC">
                  <w:pPr>
                    <w:pStyle w:val="106"/>
                  </w:pPr>
                  <w:r>
                    <w:t>纬度</w:t>
                  </w:r>
                </w:p>
              </w:tc>
              <w:tc>
                <w:tcPr>
                  <w:tcW w:w="959" w:type="dxa"/>
                  <w:vMerge w:val="continue"/>
                  <w:vAlign w:val="center"/>
                </w:tcPr>
                <w:p w14:paraId="2849AACB">
                  <w:pPr>
                    <w:pStyle w:val="106"/>
                  </w:pPr>
                </w:p>
              </w:tc>
              <w:tc>
                <w:tcPr>
                  <w:tcW w:w="667" w:type="dxa"/>
                  <w:vMerge w:val="continue"/>
                  <w:vAlign w:val="center"/>
                </w:tcPr>
                <w:p w14:paraId="60511FBD">
                  <w:pPr>
                    <w:pStyle w:val="106"/>
                  </w:pPr>
                </w:p>
              </w:tc>
              <w:tc>
                <w:tcPr>
                  <w:tcW w:w="842" w:type="dxa"/>
                  <w:vAlign w:val="center"/>
                </w:tcPr>
                <w:p w14:paraId="492FB9B1">
                  <w:pPr>
                    <w:pStyle w:val="106"/>
                  </w:pPr>
                  <w:r>
                    <w:t>名称</w:t>
                  </w:r>
                </w:p>
              </w:tc>
              <w:tc>
                <w:tcPr>
                  <w:tcW w:w="1305" w:type="dxa"/>
                  <w:vAlign w:val="center"/>
                </w:tcPr>
                <w:p w14:paraId="510AA551">
                  <w:pPr>
                    <w:pStyle w:val="106"/>
                  </w:pPr>
                  <w:r>
                    <w:t>污染物种类</w:t>
                  </w:r>
                </w:p>
              </w:tc>
              <w:tc>
                <w:tcPr>
                  <w:tcW w:w="1821" w:type="dxa"/>
                  <w:vAlign w:val="center"/>
                </w:tcPr>
                <w:p w14:paraId="1C70C181">
                  <w:pPr>
                    <w:pStyle w:val="106"/>
                  </w:pPr>
                  <w:r>
                    <w:t>国家或地方污染物排放标准浓度限值</w:t>
                  </w:r>
                </w:p>
              </w:tc>
            </w:tr>
            <w:tr w14:paraId="627972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restart"/>
                  <w:vAlign w:val="center"/>
                </w:tcPr>
                <w:p w14:paraId="791751DF">
                  <w:pPr>
                    <w:pStyle w:val="106"/>
                  </w:pPr>
                </w:p>
                <w:p w14:paraId="4391EA08">
                  <w:pPr>
                    <w:pStyle w:val="106"/>
                  </w:pPr>
                </w:p>
                <w:p w14:paraId="3D7AA917">
                  <w:pPr>
                    <w:pStyle w:val="106"/>
                  </w:pPr>
                  <w:r>
                    <w:t>DW001</w:t>
                  </w:r>
                </w:p>
                <w:p w14:paraId="18593DE0"/>
              </w:tc>
              <w:tc>
                <w:tcPr>
                  <w:tcW w:w="1114" w:type="dxa"/>
                  <w:vMerge w:val="restart"/>
                  <w:vAlign w:val="center"/>
                </w:tcPr>
                <w:p w14:paraId="314FF654">
                  <w:pPr>
                    <w:pStyle w:val="109"/>
                  </w:pPr>
                  <w:r>
                    <w:rPr>
                      <w:rFonts w:hint="eastAsia"/>
                    </w:rPr>
                    <w:t>107.242237</w:t>
                  </w:r>
                </w:p>
              </w:tc>
              <w:tc>
                <w:tcPr>
                  <w:tcW w:w="1003" w:type="dxa"/>
                  <w:vMerge w:val="restart"/>
                  <w:vAlign w:val="center"/>
                </w:tcPr>
                <w:p w14:paraId="4EA4DB9C">
                  <w:pPr>
                    <w:pStyle w:val="109"/>
                  </w:pPr>
                  <w:r>
                    <w:rPr>
                      <w:rFonts w:hint="eastAsia"/>
                    </w:rPr>
                    <w:t>29.744904</w:t>
                  </w:r>
                </w:p>
              </w:tc>
              <w:tc>
                <w:tcPr>
                  <w:tcW w:w="959" w:type="dxa"/>
                  <w:vMerge w:val="restart"/>
                  <w:vAlign w:val="center"/>
                </w:tcPr>
                <w:p w14:paraId="3CE67F1E">
                  <w:pPr>
                    <w:pStyle w:val="106"/>
                  </w:pPr>
                  <w:r>
                    <w:rPr>
                      <w:kern w:val="0"/>
                      <w:szCs w:val="21"/>
                    </w:rPr>
                    <w:t>李渡大耍坝污水处理厂</w:t>
                  </w:r>
                </w:p>
              </w:tc>
              <w:tc>
                <w:tcPr>
                  <w:tcW w:w="667" w:type="dxa"/>
                  <w:vMerge w:val="restart"/>
                  <w:vAlign w:val="center"/>
                </w:tcPr>
                <w:p w14:paraId="6C12BF11">
                  <w:pPr>
                    <w:pStyle w:val="106"/>
                  </w:pPr>
                </w:p>
                <w:p w14:paraId="682FFD9A">
                  <w:pPr>
                    <w:pStyle w:val="106"/>
                  </w:pPr>
                  <w:r>
                    <w:rPr>
                      <w:rFonts w:hint="eastAsia"/>
                      <w:bCs/>
                    </w:rPr>
                    <w:t>间断排放，流量不稳定无规律</w:t>
                  </w:r>
                </w:p>
              </w:tc>
              <w:tc>
                <w:tcPr>
                  <w:tcW w:w="842" w:type="dxa"/>
                  <w:vMerge w:val="restart"/>
                  <w:vAlign w:val="center"/>
                </w:tcPr>
                <w:p w14:paraId="7BA0DFA9">
                  <w:pPr>
                    <w:pStyle w:val="106"/>
                  </w:pPr>
                  <w:r>
                    <w:rPr>
                      <w:kern w:val="0"/>
                      <w:szCs w:val="21"/>
                    </w:rPr>
                    <w:t>李渡大耍坝污水处理厂</w:t>
                  </w:r>
                </w:p>
              </w:tc>
              <w:tc>
                <w:tcPr>
                  <w:tcW w:w="1305" w:type="dxa"/>
                  <w:vAlign w:val="center"/>
                </w:tcPr>
                <w:p w14:paraId="167EC076">
                  <w:pPr>
                    <w:pStyle w:val="106"/>
                  </w:pPr>
                  <w:r>
                    <w:t>pH值</w:t>
                  </w:r>
                </w:p>
              </w:tc>
              <w:tc>
                <w:tcPr>
                  <w:tcW w:w="1821" w:type="dxa"/>
                  <w:vAlign w:val="center"/>
                </w:tcPr>
                <w:p w14:paraId="433BF8BA">
                  <w:pPr>
                    <w:pStyle w:val="106"/>
                  </w:pPr>
                  <w:r>
                    <w:t>6-9</w:t>
                  </w:r>
                </w:p>
              </w:tc>
            </w:tr>
            <w:tr w14:paraId="6DEAE6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72560521">
                  <w:pPr>
                    <w:pStyle w:val="106"/>
                  </w:pPr>
                </w:p>
              </w:tc>
              <w:tc>
                <w:tcPr>
                  <w:tcW w:w="1114" w:type="dxa"/>
                  <w:vMerge w:val="continue"/>
                  <w:vAlign w:val="center"/>
                </w:tcPr>
                <w:p w14:paraId="4E058A96">
                  <w:pPr>
                    <w:pStyle w:val="106"/>
                  </w:pPr>
                </w:p>
              </w:tc>
              <w:tc>
                <w:tcPr>
                  <w:tcW w:w="1003" w:type="dxa"/>
                  <w:vMerge w:val="continue"/>
                  <w:vAlign w:val="center"/>
                </w:tcPr>
                <w:p w14:paraId="64CCF401">
                  <w:pPr>
                    <w:pStyle w:val="106"/>
                  </w:pPr>
                </w:p>
              </w:tc>
              <w:tc>
                <w:tcPr>
                  <w:tcW w:w="959" w:type="dxa"/>
                  <w:vMerge w:val="continue"/>
                  <w:vAlign w:val="center"/>
                </w:tcPr>
                <w:p w14:paraId="3EF46AF7">
                  <w:pPr>
                    <w:pStyle w:val="106"/>
                  </w:pPr>
                </w:p>
              </w:tc>
              <w:tc>
                <w:tcPr>
                  <w:tcW w:w="667" w:type="dxa"/>
                  <w:vMerge w:val="continue"/>
                  <w:vAlign w:val="center"/>
                </w:tcPr>
                <w:p w14:paraId="7611A491">
                  <w:pPr>
                    <w:pStyle w:val="106"/>
                  </w:pPr>
                </w:p>
              </w:tc>
              <w:tc>
                <w:tcPr>
                  <w:tcW w:w="842" w:type="dxa"/>
                  <w:vMerge w:val="continue"/>
                  <w:vAlign w:val="center"/>
                </w:tcPr>
                <w:p w14:paraId="049DCE17">
                  <w:pPr>
                    <w:pStyle w:val="106"/>
                  </w:pPr>
                </w:p>
              </w:tc>
              <w:tc>
                <w:tcPr>
                  <w:tcW w:w="1305" w:type="dxa"/>
                  <w:vAlign w:val="center"/>
                </w:tcPr>
                <w:p w14:paraId="40729EF0">
                  <w:pPr>
                    <w:pStyle w:val="106"/>
                  </w:pPr>
                  <w:r>
                    <w:t>COD</w:t>
                  </w:r>
                </w:p>
              </w:tc>
              <w:tc>
                <w:tcPr>
                  <w:tcW w:w="1821" w:type="dxa"/>
                  <w:vAlign w:val="center"/>
                </w:tcPr>
                <w:p w14:paraId="6359B0D7">
                  <w:pPr>
                    <w:pStyle w:val="106"/>
                  </w:pPr>
                  <w:r>
                    <w:rPr>
                      <w:rFonts w:hint="eastAsia"/>
                    </w:rPr>
                    <w:t>6</w:t>
                  </w:r>
                  <w:r>
                    <w:t>0mg/L</w:t>
                  </w:r>
                </w:p>
              </w:tc>
            </w:tr>
            <w:tr w14:paraId="56ACE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7F30F540">
                  <w:pPr>
                    <w:pStyle w:val="106"/>
                  </w:pPr>
                </w:p>
              </w:tc>
              <w:tc>
                <w:tcPr>
                  <w:tcW w:w="1114" w:type="dxa"/>
                  <w:vMerge w:val="continue"/>
                  <w:vAlign w:val="center"/>
                </w:tcPr>
                <w:p w14:paraId="3702EC9E">
                  <w:pPr>
                    <w:pStyle w:val="106"/>
                  </w:pPr>
                </w:p>
              </w:tc>
              <w:tc>
                <w:tcPr>
                  <w:tcW w:w="1003" w:type="dxa"/>
                  <w:vMerge w:val="continue"/>
                  <w:vAlign w:val="center"/>
                </w:tcPr>
                <w:p w14:paraId="4A980793">
                  <w:pPr>
                    <w:pStyle w:val="106"/>
                  </w:pPr>
                </w:p>
              </w:tc>
              <w:tc>
                <w:tcPr>
                  <w:tcW w:w="959" w:type="dxa"/>
                  <w:vMerge w:val="continue"/>
                  <w:vAlign w:val="center"/>
                </w:tcPr>
                <w:p w14:paraId="561F1698">
                  <w:pPr>
                    <w:pStyle w:val="106"/>
                  </w:pPr>
                </w:p>
              </w:tc>
              <w:tc>
                <w:tcPr>
                  <w:tcW w:w="667" w:type="dxa"/>
                  <w:vMerge w:val="continue"/>
                  <w:vAlign w:val="center"/>
                </w:tcPr>
                <w:p w14:paraId="60F15F65">
                  <w:pPr>
                    <w:pStyle w:val="106"/>
                  </w:pPr>
                </w:p>
              </w:tc>
              <w:tc>
                <w:tcPr>
                  <w:tcW w:w="842" w:type="dxa"/>
                  <w:vMerge w:val="continue"/>
                  <w:vAlign w:val="center"/>
                </w:tcPr>
                <w:p w14:paraId="5F987758">
                  <w:pPr>
                    <w:pStyle w:val="106"/>
                  </w:pPr>
                </w:p>
              </w:tc>
              <w:tc>
                <w:tcPr>
                  <w:tcW w:w="1305" w:type="dxa"/>
                  <w:vAlign w:val="center"/>
                </w:tcPr>
                <w:p w14:paraId="2337F5A8">
                  <w:pPr>
                    <w:pStyle w:val="106"/>
                  </w:pPr>
                  <w:r>
                    <w:t>BOD</w:t>
                  </w:r>
                  <w:r>
                    <w:rPr>
                      <w:vertAlign w:val="subscript"/>
                    </w:rPr>
                    <w:t>5</w:t>
                  </w:r>
                </w:p>
              </w:tc>
              <w:tc>
                <w:tcPr>
                  <w:tcW w:w="1821" w:type="dxa"/>
                  <w:vAlign w:val="center"/>
                </w:tcPr>
                <w:p w14:paraId="22FC6482">
                  <w:pPr>
                    <w:pStyle w:val="106"/>
                  </w:pPr>
                  <w:r>
                    <w:rPr>
                      <w:rFonts w:hint="eastAsia"/>
                    </w:rPr>
                    <w:t>2</w:t>
                  </w:r>
                  <w:r>
                    <w:t>0mg/L</w:t>
                  </w:r>
                </w:p>
              </w:tc>
            </w:tr>
            <w:tr w14:paraId="47BE5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7E12CAD3">
                  <w:pPr>
                    <w:pStyle w:val="106"/>
                  </w:pPr>
                </w:p>
              </w:tc>
              <w:tc>
                <w:tcPr>
                  <w:tcW w:w="1114" w:type="dxa"/>
                  <w:vMerge w:val="continue"/>
                  <w:vAlign w:val="center"/>
                </w:tcPr>
                <w:p w14:paraId="213A2027">
                  <w:pPr>
                    <w:pStyle w:val="106"/>
                  </w:pPr>
                </w:p>
              </w:tc>
              <w:tc>
                <w:tcPr>
                  <w:tcW w:w="1003" w:type="dxa"/>
                  <w:vMerge w:val="continue"/>
                  <w:vAlign w:val="center"/>
                </w:tcPr>
                <w:p w14:paraId="263C17E3">
                  <w:pPr>
                    <w:pStyle w:val="106"/>
                  </w:pPr>
                </w:p>
              </w:tc>
              <w:tc>
                <w:tcPr>
                  <w:tcW w:w="959" w:type="dxa"/>
                  <w:vMerge w:val="continue"/>
                  <w:vAlign w:val="center"/>
                </w:tcPr>
                <w:p w14:paraId="7E045AC4">
                  <w:pPr>
                    <w:pStyle w:val="106"/>
                  </w:pPr>
                </w:p>
              </w:tc>
              <w:tc>
                <w:tcPr>
                  <w:tcW w:w="667" w:type="dxa"/>
                  <w:vMerge w:val="continue"/>
                  <w:vAlign w:val="center"/>
                </w:tcPr>
                <w:p w14:paraId="3362EE24">
                  <w:pPr>
                    <w:pStyle w:val="106"/>
                  </w:pPr>
                </w:p>
              </w:tc>
              <w:tc>
                <w:tcPr>
                  <w:tcW w:w="842" w:type="dxa"/>
                  <w:vMerge w:val="continue"/>
                  <w:vAlign w:val="center"/>
                </w:tcPr>
                <w:p w14:paraId="4EB1F9FB">
                  <w:pPr>
                    <w:pStyle w:val="106"/>
                  </w:pPr>
                </w:p>
              </w:tc>
              <w:tc>
                <w:tcPr>
                  <w:tcW w:w="1305" w:type="dxa"/>
                  <w:vAlign w:val="center"/>
                </w:tcPr>
                <w:p w14:paraId="43123F98">
                  <w:pPr>
                    <w:pStyle w:val="106"/>
                  </w:pPr>
                  <w:r>
                    <w:t>SS</w:t>
                  </w:r>
                </w:p>
              </w:tc>
              <w:tc>
                <w:tcPr>
                  <w:tcW w:w="1821" w:type="dxa"/>
                  <w:vAlign w:val="center"/>
                </w:tcPr>
                <w:p w14:paraId="3394BAE6">
                  <w:pPr>
                    <w:pStyle w:val="106"/>
                  </w:pPr>
                  <w:r>
                    <w:rPr>
                      <w:rFonts w:hint="eastAsia"/>
                    </w:rPr>
                    <w:t>20</w:t>
                  </w:r>
                  <w:r>
                    <w:t>mg/L</w:t>
                  </w:r>
                </w:p>
              </w:tc>
            </w:tr>
            <w:tr w14:paraId="03092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449C791E">
                  <w:pPr>
                    <w:pStyle w:val="106"/>
                  </w:pPr>
                </w:p>
              </w:tc>
              <w:tc>
                <w:tcPr>
                  <w:tcW w:w="1114" w:type="dxa"/>
                  <w:vMerge w:val="continue"/>
                  <w:vAlign w:val="center"/>
                </w:tcPr>
                <w:p w14:paraId="799DCC63">
                  <w:pPr>
                    <w:pStyle w:val="106"/>
                  </w:pPr>
                </w:p>
              </w:tc>
              <w:tc>
                <w:tcPr>
                  <w:tcW w:w="1003" w:type="dxa"/>
                  <w:vMerge w:val="continue"/>
                  <w:vAlign w:val="center"/>
                </w:tcPr>
                <w:p w14:paraId="7EC43786">
                  <w:pPr>
                    <w:pStyle w:val="106"/>
                  </w:pPr>
                </w:p>
              </w:tc>
              <w:tc>
                <w:tcPr>
                  <w:tcW w:w="959" w:type="dxa"/>
                  <w:vMerge w:val="continue"/>
                  <w:vAlign w:val="center"/>
                </w:tcPr>
                <w:p w14:paraId="1150F15A">
                  <w:pPr>
                    <w:pStyle w:val="106"/>
                  </w:pPr>
                </w:p>
              </w:tc>
              <w:tc>
                <w:tcPr>
                  <w:tcW w:w="667" w:type="dxa"/>
                  <w:vMerge w:val="continue"/>
                  <w:vAlign w:val="center"/>
                </w:tcPr>
                <w:p w14:paraId="473BE2E6">
                  <w:pPr>
                    <w:pStyle w:val="106"/>
                  </w:pPr>
                </w:p>
              </w:tc>
              <w:tc>
                <w:tcPr>
                  <w:tcW w:w="842" w:type="dxa"/>
                  <w:vMerge w:val="continue"/>
                  <w:vAlign w:val="center"/>
                </w:tcPr>
                <w:p w14:paraId="6268B420">
                  <w:pPr>
                    <w:pStyle w:val="106"/>
                  </w:pPr>
                </w:p>
              </w:tc>
              <w:tc>
                <w:tcPr>
                  <w:tcW w:w="1305" w:type="dxa"/>
                  <w:vAlign w:val="center"/>
                </w:tcPr>
                <w:p w14:paraId="073BEB03">
                  <w:pPr>
                    <w:pStyle w:val="106"/>
                  </w:pPr>
                  <w:r>
                    <w:t>NH</w:t>
                  </w:r>
                  <w:r>
                    <w:rPr>
                      <w:vertAlign w:val="subscript"/>
                    </w:rPr>
                    <w:t>3</w:t>
                  </w:r>
                  <w:r>
                    <w:t>-N</w:t>
                  </w:r>
                </w:p>
              </w:tc>
              <w:tc>
                <w:tcPr>
                  <w:tcW w:w="1821" w:type="dxa"/>
                  <w:vAlign w:val="center"/>
                </w:tcPr>
                <w:p w14:paraId="2842810A">
                  <w:pPr>
                    <w:pStyle w:val="106"/>
                  </w:pPr>
                  <w:r>
                    <w:rPr>
                      <w:rFonts w:hint="eastAsia"/>
                    </w:rPr>
                    <w:t>8</w:t>
                  </w:r>
                  <w:r>
                    <w:t>mg/L</w:t>
                  </w:r>
                </w:p>
              </w:tc>
            </w:tr>
            <w:tr w14:paraId="0A633A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30B057BE">
                  <w:pPr>
                    <w:pStyle w:val="106"/>
                  </w:pPr>
                </w:p>
              </w:tc>
              <w:tc>
                <w:tcPr>
                  <w:tcW w:w="1114" w:type="dxa"/>
                  <w:vMerge w:val="continue"/>
                  <w:vAlign w:val="center"/>
                </w:tcPr>
                <w:p w14:paraId="124AA4EC">
                  <w:pPr>
                    <w:pStyle w:val="106"/>
                  </w:pPr>
                </w:p>
              </w:tc>
              <w:tc>
                <w:tcPr>
                  <w:tcW w:w="1003" w:type="dxa"/>
                  <w:vMerge w:val="continue"/>
                  <w:vAlign w:val="center"/>
                </w:tcPr>
                <w:p w14:paraId="2776B831">
                  <w:pPr>
                    <w:pStyle w:val="106"/>
                  </w:pPr>
                </w:p>
              </w:tc>
              <w:tc>
                <w:tcPr>
                  <w:tcW w:w="959" w:type="dxa"/>
                  <w:vMerge w:val="continue"/>
                  <w:vAlign w:val="center"/>
                </w:tcPr>
                <w:p w14:paraId="5B2B81A2">
                  <w:pPr>
                    <w:pStyle w:val="106"/>
                  </w:pPr>
                </w:p>
              </w:tc>
              <w:tc>
                <w:tcPr>
                  <w:tcW w:w="667" w:type="dxa"/>
                  <w:vMerge w:val="continue"/>
                  <w:vAlign w:val="center"/>
                </w:tcPr>
                <w:p w14:paraId="2CC33E95">
                  <w:pPr>
                    <w:pStyle w:val="106"/>
                  </w:pPr>
                </w:p>
              </w:tc>
              <w:tc>
                <w:tcPr>
                  <w:tcW w:w="842" w:type="dxa"/>
                  <w:vMerge w:val="continue"/>
                  <w:vAlign w:val="center"/>
                </w:tcPr>
                <w:p w14:paraId="657E4B03">
                  <w:pPr>
                    <w:pStyle w:val="106"/>
                  </w:pPr>
                </w:p>
              </w:tc>
              <w:tc>
                <w:tcPr>
                  <w:tcW w:w="1305" w:type="dxa"/>
                  <w:vAlign w:val="center"/>
                </w:tcPr>
                <w:p w14:paraId="31FA1789">
                  <w:pPr>
                    <w:pStyle w:val="106"/>
                  </w:pPr>
                  <w:r>
                    <w:rPr>
                      <w:rFonts w:hint="eastAsia"/>
                    </w:rPr>
                    <w:t>动植物油</w:t>
                  </w:r>
                </w:p>
              </w:tc>
              <w:tc>
                <w:tcPr>
                  <w:tcW w:w="1821" w:type="dxa"/>
                </w:tcPr>
                <w:p w14:paraId="7121A824">
                  <w:pPr>
                    <w:jc w:val="center"/>
                  </w:pPr>
                  <w:r>
                    <w:rPr>
                      <w:rFonts w:hint="eastAsia"/>
                    </w:rPr>
                    <w:t>3</w:t>
                  </w:r>
                  <w:r>
                    <w:t>mg/L</w:t>
                  </w:r>
                </w:p>
              </w:tc>
            </w:tr>
            <w:tr w14:paraId="5EED6D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52643C93">
                  <w:pPr>
                    <w:pStyle w:val="106"/>
                  </w:pPr>
                </w:p>
              </w:tc>
              <w:tc>
                <w:tcPr>
                  <w:tcW w:w="1114" w:type="dxa"/>
                  <w:vMerge w:val="continue"/>
                  <w:vAlign w:val="center"/>
                </w:tcPr>
                <w:p w14:paraId="18672F08">
                  <w:pPr>
                    <w:pStyle w:val="106"/>
                  </w:pPr>
                </w:p>
              </w:tc>
              <w:tc>
                <w:tcPr>
                  <w:tcW w:w="1003" w:type="dxa"/>
                  <w:vMerge w:val="continue"/>
                  <w:vAlign w:val="center"/>
                </w:tcPr>
                <w:p w14:paraId="452B96A7">
                  <w:pPr>
                    <w:pStyle w:val="106"/>
                  </w:pPr>
                </w:p>
              </w:tc>
              <w:tc>
                <w:tcPr>
                  <w:tcW w:w="959" w:type="dxa"/>
                  <w:vMerge w:val="continue"/>
                  <w:vAlign w:val="center"/>
                </w:tcPr>
                <w:p w14:paraId="2AA4E43D">
                  <w:pPr>
                    <w:pStyle w:val="106"/>
                  </w:pPr>
                </w:p>
              </w:tc>
              <w:tc>
                <w:tcPr>
                  <w:tcW w:w="667" w:type="dxa"/>
                  <w:vMerge w:val="continue"/>
                  <w:vAlign w:val="center"/>
                </w:tcPr>
                <w:p w14:paraId="595742CE">
                  <w:pPr>
                    <w:pStyle w:val="106"/>
                  </w:pPr>
                </w:p>
              </w:tc>
              <w:tc>
                <w:tcPr>
                  <w:tcW w:w="842" w:type="dxa"/>
                  <w:vMerge w:val="continue"/>
                  <w:vAlign w:val="center"/>
                </w:tcPr>
                <w:p w14:paraId="2816EA09">
                  <w:pPr>
                    <w:pStyle w:val="106"/>
                  </w:pPr>
                </w:p>
              </w:tc>
              <w:tc>
                <w:tcPr>
                  <w:tcW w:w="1305" w:type="dxa"/>
                  <w:vAlign w:val="center"/>
                </w:tcPr>
                <w:p w14:paraId="5ACD6C7E">
                  <w:pPr>
                    <w:pStyle w:val="106"/>
                  </w:pPr>
                  <w:r>
                    <w:rPr>
                      <w:rFonts w:hint="eastAsia"/>
                    </w:rPr>
                    <w:t>总磷</w:t>
                  </w:r>
                </w:p>
              </w:tc>
              <w:tc>
                <w:tcPr>
                  <w:tcW w:w="1821" w:type="dxa"/>
                </w:tcPr>
                <w:p w14:paraId="0AC121D7">
                  <w:pPr>
                    <w:jc w:val="center"/>
                  </w:pPr>
                  <w:r>
                    <w:rPr>
                      <w:rFonts w:hint="eastAsia"/>
                    </w:rPr>
                    <w:t>1</w:t>
                  </w:r>
                  <w:r>
                    <w:t>mg/L</w:t>
                  </w:r>
                </w:p>
              </w:tc>
            </w:tr>
            <w:tr w14:paraId="3ABF93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20" w:type="dxa"/>
                  <w:vMerge w:val="continue"/>
                  <w:vAlign w:val="center"/>
                </w:tcPr>
                <w:p w14:paraId="5D22AEDF">
                  <w:pPr>
                    <w:pStyle w:val="106"/>
                  </w:pPr>
                </w:p>
              </w:tc>
              <w:tc>
                <w:tcPr>
                  <w:tcW w:w="1114" w:type="dxa"/>
                  <w:vMerge w:val="continue"/>
                  <w:vAlign w:val="center"/>
                </w:tcPr>
                <w:p w14:paraId="35BD54B0">
                  <w:pPr>
                    <w:pStyle w:val="106"/>
                  </w:pPr>
                </w:p>
              </w:tc>
              <w:tc>
                <w:tcPr>
                  <w:tcW w:w="1003" w:type="dxa"/>
                  <w:vMerge w:val="continue"/>
                  <w:vAlign w:val="center"/>
                </w:tcPr>
                <w:p w14:paraId="6C37E529">
                  <w:pPr>
                    <w:pStyle w:val="106"/>
                  </w:pPr>
                </w:p>
              </w:tc>
              <w:tc>
                <w:tcPr>
                  <w:tcW w:w="959" w:type="dxa"/>
                  <w:vMerge w:val="continue"/>
                  <w:vAlign w:val="center"/>
                </w:tcPr>
                <w:p w14:paraId="45E2C12A">
                  <w:pPr>
                    <w:pStyle w:val="106"/>
                  </w:pPr>
                </w:p>
              </w:tc>
              <w:tc>
                <w:tcPr>
                  <w:tcW w:w="667" w:type="dxa"/>
                  <w:vMerge w:val="continue"/>
                  <w:vAlign w:val="center"/>
                </w:tcPr>
                <w:p w14:paraId="6D1D227B">
                  <w:pPr>
                    <w:pStyle w:val="106"/>
                  </w:pPr>
                </w:p>
              </w:tc>
              <w:tc>
                <w:tcPr>
                  <w:tcW w:w="842" w:type="dxa"/>
                  <w:vMerge w:val="continue"/>
                  <w:vAlign w:val="center"/>
                </w:tcPr>
                <w:p w14:paraId="470F1268">
                  <w:pPr>
                    <w:pStyle w:val="106"/>
                  </w:pPr>
                </w:p>
              </w:tc>
              <w:tc>
                <w:tcPr>
                  <w:tcW w:w="1305" w:type="dxa"/>
                  <w:vAlign w:val="center"/>
                </w:tcPr>
                <w:p w14:paraId="78FC4557">
                  <w:pPr>
                    <w:pStyle w:val="106"/>
                  </w:pPr>
                  <w:r>
                    <w:rPr>
                      <w:rFonts w:hint="eastAsia"/>
                    </w:rPr>
                    <w:t>石油类</w:t>
                  </w:r>
                </w:p>
              </w:tc>
              <w:tc>
                <w:tcPr>
                  <w:tcW w:w="1821" w:type="dxa"/>
                </w:tcPr>
                <w:p w14:paraId="13A55BB1">
                  <w:pPr>
                    <w:jc w:val="center"/>
                  </w:pPr>
                  <w:r>
                    <w:rPr>
                      <w:rFonts w:hint="eastAsia"/>
                    </w:rPr>
                    <w:t>3</w:t>
                  </w:r>
                  <w:r>
                    <w:t>mg/L</w:t>
                  </w:r>
                </w:p>
              </w:tc>
            </w:tr>
          </w:tbl>
          <w:p w14:paraId="1B58C632">
            <w:pPr>
              <w:adjustRightInd w:val="0"/>
              <w:snapToGrid w:val="0"/>
              <w:spacing w:line="440" w:lineRule="exact"/>
              <w:ind w:firstLine="522" w:firstLineChars="200"/>
              <w:rPr>
                <w:b/>
                <w:sz w:val="24"/>
              </w:rPr>
            </w:pPr>
            <w:r>
              <w:rPr>
                <w:b/>
                <w:snapToGrid w:val="0"/>
                <w:sz w:val="26"/>
                <w:szCs w:val="26"/>
              </w:rPr>
              <w:t>4.2.</w:t>
            </w:r>
            <w:r>
              <w:rPr>
                <w:rFonts w:hint="eastAsia"/>
                <w:b/>
                <w:snapToGrid w:val="0"/>
                <w:sz w:val="26"/>
                <w:szCs w:val="26"/>
              </w:rPr>
              <w:t>1</w:t>
            </w:r>
            <w:r>
              <w:rPr>
                <w:b/>
                <w:snapToGrid w:val="0"/>
                <w:sz w:val="26"/>
                <w:szCs w:val="26"/>
              </w:rPr>
              <w:t>.</w:t>
            </w:r>
            <w:r>
              <w:rPr>
                <w:rFonts w:hint="eastAsia"/>
                <w:b/>
                <w:snapToGrid w:val="0"/>
                <w:sz w:val="26"/>
                <w:szCs w:val="26"/>
              </w:rPr>
              <w:t xml:space="preserve">5 </w:t>
            </w:r>
            <w:r>
              <w:rPr>
                <w:b/>
                <w:sz w:val="24"/>
              </w:rPr>
              <w:t>排污口规范化设置要求</w:t>
            </w:r>
          </w:p>
          <w:p w14:paraId="2DDF7C97">
            <w:pPr>
              <w:adjustRightInd w:val="0"/>
              <w:snapToGrid w:val="0"/>
              <w:spacing w:line="440" w:lineRule="exact"/>
              <w:ind w:firstLine="480" w:firstLineChars="200"/>
              <w:rPr>
                <w:sz w:val="24"/>
              </w:rPr>
            </w:pPr>
            <w:r>
              <w:rPr>
                <w:sz w:val="24"/>
              </w:rPr>
              <w:t>根据《关于开展排放口规范化整治工作的通知》(环发[1999]24号)以及重庆市环保局《重庆市排放污染物许可证管理办法》(渝环发[2001]559号)中排污口规范化整治方案要求，现就本项目废水排放口的设计提出如下方案：</w:t>
            </w:r>
          </w:p>
          <w:p w14:paraId="657745A2">
            <w:pPr>
              <w:adjustRightInd w:val="0"/>
              <w:snapToGrid w:val="0"/>
              <w:spacing w:line="440" w:lineRule="exact"/>
              <w:ind w:firstLine="480" w:firstLineChars="200"/>
              <w:rPr>
                <w:sz w:val="24"/>
              </w:rPr>
            </w:pPr>
            <w:r>
              <w:rPr>
                <w:rFonts w:hint="eastAsia" w:ascii="宋体" w:hAnsi="宋体" w:cs="宋体"/>
                <w:sz w:val="24"/>
              </w:rPr>
              <w:t>①</w:t>
            </w:r>
            <w:r>
              <w:rPr>
                <w:sz w:val="24"/>
              </w:rPr>
              <w:t xml:space="preserve"> 排放口应具备采样和流量测定条件，按照《污染源监测技术规范》设置采样点；</w:t>
            </w:r>
          </w:p>
          <w:p w14:paraId="5CC947E1">
            <w:pPr>
              <w:adjustRightInd w:val="0"/>
              <w:snapToGrid w:val="0"/>
              <w:spacing w:line="440" w:lineRule="exact"/>
              <w:ind w:firstLine="480" w:firstLineChars="200"/>
              <w:rPr>
                <w:sz w:val="24"/>
              </w:rPr>
            </w:pPr>
            <w:r>
              <w:rPr>
                <w:rFonts w:hint="eastAsia" w:ascii="宋体" w:hAnsi="宋体" w:cs="宋体"/>
                <w:sz w:val="24"/>
              </w:rPr>
              <w:t>②</w:t>
            </w:r>
            <w:r>
              <w:rPr>
                <w:sz w:val="24"/>
              </w:rPr>
              <w:t xml:space="preserve"> 排污口可以矩形、圆筒形或梯形，保证水深不低于0.1m，流速不小于0.05m/s；</w:t>
            </w:r>
          </w:p>
          <w:p w14:paraId="1A40C5FB">
            <w:pPr>
              <w:adjustRightInd w:val="0"/>
              <w:snapToGrid w:val="0"/>
              <w:spacing w:line="440" w:lineRule="exact"/>
              <w:ind w:firstLine="480" w:firstLineChars="200"/>
              <w:rPr>
                <w:sz w:val="24"/>
              </w:rPr>
            </w:pPr>
            <w:r>
              <w:rPr>
                <w:rFonts w:hint="eastAsia" w:ascii="宋体" w:hAnsi="宋体" w:cs="宋体"/>
                <w:sz w:val="24"/>
              </w:rPr>
              <w:t>③</w:t>
            </w:r>
            <w:r>
              <w:rPr>
                <w:sz w:val="24"/>
              </w:rPr>
              <w:t xml:space="preserve"> 设置规范的、便于测量流量、流速的测流段。测流段直线长度应是其水面宽度的6倍以上，最小1.5倍以上；</w:t>
            </w:r>
          </w:p>
          <w:p w14:paraId="53FD17BB">
            <w:pPr>
              <w:adjustRightInd w:val="0"/>
              <w:snapToGrid w:val="0"/>
              <w:spacing w:line="440" w:lineRule="exact"/>
              <w:ind w:firstLine="480" w:firstLineChars="200"/>
              <w:rPr>
                <w:sz w:val="24"/>
              </w:rPr>
            </w:pPr>
            <w:r>
              <w:rPr>
                <w:rFonts w:hint="eastAsia" w:ascii="宋体" w:hAnsi="宋体" w:cs="宋体"/>
                <w:sz w:val="24"/>
              </w:rPr>
              <w:t>④</w:t>
            </w:r>
            <w:r>
              <w:rPr>
                <w:sz w:val="24"/>
              </w:rPr>
              <w:t xml:space="preserve"> 排污口必须按照国家颁布有关污染物强制性排放标准的要求，在厂区排放口设置排放口标志牌。</w:t>
            </w:r>
          </w:p>
          <w:p w14:paraId="12DE216E">
            <w:pPr>
              <w:adjustRightInd w:val="0"/>
              <w:snapToGrid w:val="0"/>
              <w:spacing w:line="440" w:lineRule="exact"/>
              <w:ind w:firstLine="482" w:firstLineChars="200"/>
              <w:rPr>
                <w:b/>
                <w:sz w:val="24"/>
              </w:rPr>
            </w:pPr>
            <w:r>
              <w:rPr>
                <w:b/>
                <w:sz w:val="24"/>
              </w:rPr>
              <w:t xml:space="preserve"> </w:t>
            </w:r>
            <w:r>
              <w:rPr>
                <w:b/>
                <w:snapToGrid w:val="0"/>
                <w:sz w:val="26"/>
                <w:szCs w:val="26"/>
              </w:rPr>
              <w:t>4.2.</w:t>
            </w:r>
            <w:r>
              <w:rPr>
                <w:rFonts w:hint="eastAsia"/>
                <w:b/>
                <w:snapToGrid w:val="0"/>
                <w:sz w:val="26"/>
                <w:szCs w:val="26"/>
              </w:rPr>
              <w:t>1</w:t>
            </w:r>
            <w:r>
              <w:rPr>
                <w:b/>
                <w:snapToGrid w:val="0"/>
                <w:sz w:val="26"/>
                <w:szCs w:val="26"/>
              </w:rPr>
              <w:t>.</w:t>
            </w:r>
            <w:r>
              <w:rPr>
                <w:rFonts w:hint="eastAsia"/>
                <w:b/>
                <w:snapToGrid w:val="0"/>
                <w:sz w:val="26"/>
                <w:szCs w:val="26"/>
              </w:rPr>
              <w:t>6</w:t>
            </w:r>
            <w:r>
              <w:rPr>
                <w:b/>
                <w:sz w:val="24"/>
              </w:rPr>
              <w:t xml:space="preserve"> 废水自行监测计划</w:t>
            </w:r>
          </w:p>
          <w:p w14:paraId="57AF3D9C">
            <w:pPr>
              <w:adjustRightInd w:val="0"/>
              <w:snapToGrid w:val="0"/>
              <w:spacing w:line="440" w:lineRule="exact"/>
              <w:ind w:firstLine="480" w:firstLineChars="200"/>
              <w:rPr>
                <w:sz w:val="24"/>
              </w:rPr>
            </w:pPr>
            <w:r>
              <w:rPr>
                <w:sz w:val="24"/>
              </w:rPr>
              <w:t>根据</w:t>
            </w:r>
            <w:r>
              <w:rPr>
                <w:rFonts w:hint="eastAsia"/>
                <w:sz w:val="24"/>
              </w:rPr>
              <w:t>《排污单位自行监测技术指南总则》（</w:t>
            </w:r>
            <w:r>
              <w:rPr>
                <w:sz w:val="24"/>
              </w:rPr>
              <w:t>HJ 819-2017</w:t>
            </w:r>
            <w:r>
              <w:rPr>
                <w:rFonts w:hint="eastAsia"/>
                <w:sz w:val="24"/>
              </w:rPr>
              <w:t>）、排污单位自行监测技术指南 印刷工业（H</w:t>
            </w:r>
            <w:r>
              <w:rPr>
                <w:sz w:val="24"/>
              </w:rPr>
              <w:t>J1246-2022</w:t>
            </w:r>
            <w:r>
              <w:rPr>
                <w:rFonts w:hint="eastAsia"/>
                <w:sz w:val="24"/>
              </w:rPr>
              <w:t>）</w:t>
            </w:r>
            <w:r>
              <w:rPr>
                <w:sz w:val="24"/>
              </w:rPr>
              <w:t>，本项目污水总排放口为一般排放口，且为</w:t>
            </w:r>
            <w:r>
              <w:rPr>
                <w:rFonts w:hint="eastAsia"/>
                <w:sz w:val="24"/>
              </w:rPr>
              <w:t>间断</w:t>
            </w:r>
            <w:r>
              <w:rPr>
                <w:sz w:val="24"/>
              </w:rPr>
              <w:t>排放，运营期废水自行监测方案见表4.2-5。</w:t>
            </w:r>
          </w:p>
          <w:p w14:paraId="5E4240B2">
            <w:pPr>
              <w:adjustRightInd w:val="0"/>
              <w:snapToGrid w:val="0"/>
              <w:spacing w:line="440" w:lineRule="exact"/>
              <w:jc w:val="center"/>
              <w:rPr>
                <w:b/>
                <w:szCs w:val="21"/>
              </w:rPr>
            </w:pPr>
            <w:r>
              <w:rPr>
                <w:b/>
                <w:szCs w:val="21"/>
              </w:rPr>
              <w:t>表4.2-5 营运期废水自行监测方案</w:t>
            </w:r>
          </w:p>
          <w:tbl>
            <w:tblPr>
              <w:tblStyle w:val="24"/>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552"/>
              <w:gridCol w:w="2438"/>
              <w:gridCol w:w="1731"/>
            </w:tblGrid>
            <w:tr w14:paraId="2790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1241" w:type="dxa"/>
                  <w:tcMar>
                    <w:top w:w="28" w:type="dxa"/>
                    <w:left w:w="28" w:type="dxa"/>
                    <w:bottom w:w="28" w:type="dxa"/>
                    <w:right w:w="28" w:type="dxa"/>
                  </w:tcMar>
                  <w:vAlign w:val="center"/>
                </w:tcPr>
                <w:p w14:paraId="64A8ABBD">
                  <w:pPr>
                    <w:pStyle w:val="94"/>
                    <w:spacing w:line="240" w:lineRule="auto"/>
                    <w:rPr>
                      <w:szCs w:val="21"/>
                    </w:rPr>
                  </w:pPr>
                  <w:r>
                    <w:rPr>
                      <w:rFonts w:hAnsi="宋体"/>
                      <w:szCs w:val="21"/>
                    </w:rPr>
                    <w:t>监测位置</w:t>
                  </w:r>
                </w:p>
              </w:tc>
              <w:tc>
                <w:tcPr>
                  <w:tcW w:w="2552" w:type="dxa"/>
                  <w:tcMar>
                    <w:top w:w="28" w:type="dxa"/>
                    <w:left w:w="28" w:type="dxa"/>
                    <w:bottom w:w="28" w:type="dxa"/>
                    <w:right w:w="28" w:type="dxa"/>
                  </w:tcMar>
                  <w:vAlign w:val="center"/>
                </w:tcPr>
                <w:p w14:paraId="2F2F5DB9">
                  <w:pPr>
                    <w:pStyle w:val="94"/>
                    <w:spacing w:line="240" w:lineRule="auto"/>
                    <w:rPr>
                      <w:szCs w:val="21"/>
                    </w:rPr>
                  </w:pPr>
                  <w:r>
                    <w:rPr>
                      <w:rFonts w:hAnsi="宋体"/>
                      <w:szCs w:val="21"/>
                    </w:rPr>
                    <w:t>监测因子</w:t>
                  </w:r>
                </w:p>
              </w:tc>
              <w:tc>
                <w:tcPr>
                  <w:tcW w:w="2438" w:type="dxa"/>
                  <w:tcMar>
                    <w:top w:w="28" w:type="dxa"/>
                    <w:left w:w="28" w:type="dxa"/>
                    <w:bottom w:w="28" w:type="dxa"/>
                    <w:right w:w="28" w:type="dxa"/>
                  </w:tcMar>
                  <w:vAlign w:val="center"/>
                </w:tcPr>
                <w:p w14:paraId="39A5C4C9">
                  <w:pPr>
                    <w:pStyle w:val="94"/>
                    <w:spacing w:line="240" w:lineRule="auto"/>
                    <w:rPr>
                      <w:szCs w:val="21"/>
                    </w:rPr>
                  </w:pPr>
                  <w:r>
                    <w:rPr>
                      <w:rFonts w:hAnsi="宋体"/>
                      <w:szCs w:val="21"/>
                    </w:rPr>
                    <w:t>执行标准</w:t>
                  </w:r>
                </w:p>
              </w:tc>
              <w:tc>
                <w:tcPr>
                  <w:tcW w:w="1731" w:type="dxa"/>
                  <w:tcMar>
                    <w:top w:w="28" w:type="dxa"/>
                    <w:left w:w="28" w:type="dxa"/>
                    <w:bottom w:w="28" w:type="dxa"/>
                    <w:right w:w="28" w:type="dxa"/>
                  </w:tcMar>
                  <w:vAlign w:val="center"/>
                </w:tcPr>
                <w:p w14:paraId="4D48911C">
                  <w:pPr>
                    <w:pStyle w:val="94"/>
                    <w:spacing w:line="240" w:lineRule="auto"/>
                    <w:rPr>
                      <w:szCs w:val="21"/>
                    </w:rPr>
                  </w:pPr>
                  <w:r>
                    <w:rPr>
                      <w:rFonts w:hAnsi="宋体"/>
                      <w:szCs w:val="21"/>
                    </w:rPr>
                    <w:t>监测频次</w:t>
                  </w:r>
                </w:p>
              </w:tc>
            </w:tr>
            <w:tr w14:paraId="178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1241" w:type="dxa"/>
                  <w:tcMar>
                    <w:top w:w="28" w:type="dxa"/>
                    <w:left w:w="28" w:type="dxa"/>
                    <w:bottom w:w="28" w:type="dxa"/>
                    <w:right w:w="28" w:type="dxa"/>
                  </w:tcMar>
                  <w:vAlign w:val="center"/>
                </w:tcPr>
                <w:p w14:paraId="31337910">
                  <w:pPr>
                    <w:pStyle w:val="94"/>
                    <w:spacing w:line="240" w:lineRule="auto"/>
                    <w:rPr>
                      <w:szCs w:val="21"/>
                    </w:rPr>
                  </w:pPr>
                  <w:r>
                    <w:rPr>
                      <w:rFonts w:hint="eastAsia"/>
                      <w:szCs w:val="21"/>
                    </w:rPr>
                    <w:t>厂区</w:t>
                  </w:r>
                  <w:r>
                    <w:rPr>
                      <w:rFonts w:hAnsi="宋体"/>
                      <w:szCs w:val="21"/>
                    </w:rPr>
                    <w:t>生化池排口</w:t>
                  </w:r>
                </w:p>
              </w:tc>
              <w:tc>
                <w:tcPr>
                  <w:tcW w:w="2552" w:type="dxa"/>
                  <w:tcMar>
                    <w:top w:w="28" w:type="dxa"/>
                    <w:left w:w="28" w:type="dxa"/>
                    <w:bottom w:w="28" w:type="dxa"/>
                    <w:right w:w="28" w:type="dxa"/>
                  </w:tcMar>
                  <w:vAlign w:val="center"/>
                </w:tcPr>
                <w:p w14:paraId="3D3B24A0">
                  <w:pPr>
                    <w:pStyle w:val="94"/>
                    <w:spacing w:line="240" w:lineRule="auto"/>
                    <w:rPr>
                      <w:szCs w:val="21"/>
                    </w:rPr>
                  </w:pPr>
                  <w:r>
                    <w:rPr>
                      <w:szCs w:val="21"/>
                    </w:rPr>
                    <w:t>pH</w:t>
                  </w:r>
                  <w:r>
                    <w:rPr>
                      <w:rFonts w:hAnsi="宋体"/>
                      <w:szCs w:val="21"/>
                    </w:rPr>
                    <w:t>、</w:t>
                  </w:r>
                  <w:r>
                    <w:rPr>
                      <w:szCs w:val="21"/>
                    </w:rPr>
                    <w:t>COD</w:t>
                  </w:r>
                  <w:r>
                    <w:rPr>
                      <w:rFonts w:hAnsi="宋体"/>
                      <w:szCs w:val="21"/>
                    </w:rPr>
                    <w:t>、</w:t>
                  </w:r>
                  <w:r>
                    <w:rPr>
                      <w:szCs w:val="21"/>
                    </w:rPr>
                    <w:t>BOD</w:t>
                  </w:r>
                  <w:r>
                    <w:rPr>
                      <w:szCs w:val="21"/>
                      <w:vertAlign w:val="subscript"/>
                    </w:rPr>
                    <w:t>5</w:t>
                  </w:r>
                  <w:r>
                    <w:rPr>
                      <w:rFonts w:hAnsi="宋体"/>
                      <w:szCs w:val="21"/>
                    </w:rPr>
                    <w:t>、</w:t>
                  </w:r>
                  <w:r>
                    <w:rPr>
                      <w:szCs w:val="21"/>
                    </w:rPr>
                    <w:t>SS</w:t>
                  </w:r>
                  <w:r>
                    <w:rPr>
                      <w:rFonts w:hAnsi="宋体"/>
                      <w:szCs w:val="21"/>
                    </w:rPr>
                    <w:t>、氨氮</w:t>
                  </w:r>
                  <w:r>
                    <w:rPr>
                      <w:rFonts w:hint="eastAsia" w:hAnsi="宋体"/>
                      <w:szCs w:val="21"/>
                    </w:rPr>
                    <w:t>、动植物油、总磷、石油类</w:t>
                  </w:r>
                </w:p>
              </w:tc>
              <w:tc>
                <w:tcPr>
                  <w:tcW w:w="2438" w:type="dxa"/>
                  <w:tcMar>
                    <w:top w:w="28" w:type="dxa"/>
                    <w:left w:w="28" w:type="dxa"/>
                    <w:bottom w:w="28" w:type="dxa"/>
                    <w:right w:w="28" w:type="dxa"/>
                  </w:tcMar>
                  <w:vAlign w:val="center"/>
                </w:tcPr>
                <w:p w14:paraId="11684ACD">
                  <w:pPr>
                    <w:pStyle w:val="94"/>
                    <w:spacing w:line="240" w:lineRule="auto"/>
                    <w:rPr>
                      <w:szCs w:val="21"/>
                    </w:rPr>
                  </w:pPr>
                  <w:r>
                    <w:rPr>
                      <w:rFonts w:hAnsi="宋体"/>
                      <w:szCs w:val="21"/>
                    </w:rPr>
                    <w:t>《污水综合排放标准》</w:t>
                  </w:r>
                </w:p>
                <w:p w14:paraId="78BC5859">
                  <w:pPr>
                    <w:pStyle w:val="94"/>
                    <w:spacing w:line="240" w:lineRule="auto"/>
                    <w:rPr>
                      <w:szCs w:val="21"/>
                    </w:rPr>
                  </w:pPr>
                  <w:r>
                    <w:rPr>
                      <w:rFonts w:hAnsi="宋体"/>
                      <w:szCs w:val="21"/>
                    </w:rPr>
                    <w:t>（</w:t>
                  </w:r>
                  <w:r>
                    <w:rPr>
                      <w:szCs w:val="21"/>
                    </w:rPr>
                    <w:t>GB8978-1996</w:t>
                  </w:r>
                  <w:r>
                    <w:rPr>
                      <w:rFonts w:hAnsi="宋体"/>
                      <w:szCs w:val="21"/>
                    </w:rPr>
                    <w:t>）三级标准</w:t>
                  </w:r>
                </w:p>
              </w:tc>
              <w:tc>
                <w:tcPr>
                  <w:tcW w:w="1731" w:type="dxa"/>
                  <w:tcMar>
                    <w:top w:w="28" w:type="dxa"/>
                    <w:left w:w="28" w:type="dxa"/>
                    <w:bottom w:w="28" w:type="dxa"/>
                    <w:right w:w="28" w:type="dxa"/>
                  </w:tcMar>
                  <w:vAlign w:val="center"/>
                </w:tcPr>
                <w:p w14:paraId="39810CDB">
                  <w:pPr>
                    <w:pStyle w:val="94"/>
                    <w:spacing w:line="240" w:lineRule="auto"/>
                    <w:rPr>
                      <w:szCs w:val="21"/>
                    </w:rPr>
                  </w:pPr>
                  <w:r>
                    <w:rPr>
                      <w:rFonts w:hint="eastAsia"/>
                      <w:szCs w:val="21"/>
                    </w:rPr>
                    <w:t>投产时验收1次，以后</w:t>
                  </w:r>
                  <w:r>
                    <w:rPr>
                      <w:szCs w:val="21"/>
                    </w:rPr>
                    <w:t>1</w:t>
                  </w:r>
                  <w:r>
                    <w:rPr>
                      <w:rFonts w:hAnsi="宋体"/>
                      <w:szCs w:val="21"/>
                    </w:rPr>
                    <w:t>次</w:t>
                  </w:r>
                  <w:r>
                    <w:rPr>
                      <w:szCs w:val="21"/>
                    </w:rPr>
                    <w:t>/</w:t>
                  </w:r>
                  <w:r>
                    <w:rPr>
                      <w:rFonts w:hAnsi="宋体"/>
                      <w:szCs w:val="21"/>
                    </w:rPr>
                    <w:t>年</w:t>
                  </w:r>
                </w:p>
              </w:tc>
            </w:tr>
          </w:tbl>
          <w:p w14:paraId="59BE1E9F">
            <w:pPr>
              <w:adjustRightInd w:val="0"/>
              <w:snapToGrid w:val="0"/>
              <w:rPr>
                <w:rFonts w:ascii="宋体" w:hAnsi="宋体" w:cs="宋体"/>
                <w:b/>
                <w:bCs/>
                <w:spacing w:val="-10"/>
                <w:sz w:val="24"/>
              </w:rPr>
            </w:pPr>
          </w:p>
          <w:p w14:paraId="5BBBA18A">
            <w:pPr>
              <w:adjustRightInd w:val="0"/>
              <w:snapToGrid w:val="0"/>
              <w:rPr>
                <w:rFonts w:ascii="宋体" w:hAnsi="宋体" w:cs="宋体"/>
                <w:b/>
                <w:bCs/>
                <w:spacing w:val="-10"/>
                <w:sz w:val="24"/>
              </w:rPr>
            </w:pPr>
          </w:p>
          <w:p w14:paraId="183DC9C3">
            <w:pPr>
              <w:adjustRightInd w:val="0"/>
              <w:snapToGrid w:val="0"/>
              <w:rPr>
                <w:rFonts w:ascii="宋体" w:hAnsi="宋体" w:cs="宋体"/>
                <w:b/>
                <w:bCs/>
                <w:spacing w:val="-10"/>
                <w:sz w:val="24"/>
              </w:rPr>
            </w:pPr>
          </w:p>
          <w:p w14:paraId="4EF50435">
            <w:pPr>
              <w:overflowPunct w:val="0"/>
              <w:jc w:val="center"/>
              <w:rPr>
                <w:sz w:val="24"/>
              </w:rPr>
            </w:pPr>
          </w:p>
        </w:tc>
      </w:tr>
    </w:tbl>
    <w:p w14:paraId="5BBD5C18">
      <w:pPr>
        <w:adjustRightInd w:val="0"/>
        <w:snapToGrid w:val="0"/>
        <w:spacing w:line="360" w:lineRule="auto"/>
        <w:rPr>
          <w:rFonts w:ascii="宋体" w:cs="宋体"/>
          <w:b/>
          <w:kern w:val="0"/>
          <w:sz w:val="28"/>
          <w:szCs w:val="28"/>
        </w:rPr>
        <w:sectPr>
          <w:pgSz w:w="11907" w:h="16840"/>
          <w:pgMar w:top="1418" w:right="1418" w:bottom="1418" w:left="1418" w:header="851" w:footer="851" w:gutter="0"/>
          <w:cols w:space="720" w:num="1"/>
          <w:docGrid w:linePitch="312" w:charSpace="0"/>
        </w:sect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3710"/>
      </w:tblGrid>
      <w:tr w14:paraId="7221F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44" w:type="dxa"/>
            <w:tcMar>
              <w:left w:w="28" w:type="dxa"/>
              <w:right w:w="28" w:type="dxa"/>
            </w:tcMar>
            <w:vAlign w:val="center"/>
          </w:tcPr>
          <w:p w14:paraId="300C9AE9">
            <w:pPr>
              <w:adjustRightInd w:val="0"/>
              <w:snapToGrid w:val="0"/>
              <w:jc w:val="center"/>
              <w:rPr>
                <w:rFonts w:ascii="宋体" w:hAnsi="宋体" w:cs="宋体"/>
                <w:bCs/>
                <w:sz w:val="24"/>
              </w:rPr>
            </w:pPr>
            <w:r>
              <w:rPr>
                <w:rFonts w:hint="eastAsia" w:ascii="宋体" w:hAnsi="宋体" w:cs="宋体"/>
                <w:bCs/>
                <w:sz w:val="24"/>
              </w:rPr>
              <w:t>运营</w:t>
            </w:r>
          </w:p>
          <w:p w14:paraId="3D22B87B">
            <w:pPr>
              <w:adjustRightInd w:val="0"/>
              <w:snapToGrid w:val="0"/>
              <w:jc w:val="center"/>
              <w:rPr>
                <w:rFonts w:ascii="宋体" w:hAnsi="宋体" w:cs="宋体"/>
                <w:bCs/>
                <w:sz w:val="24"/>
              </w:rPr>
            </w:pPr>
            <w:r>
              <w:rPr>
                <w:rFonts w:hint="eastAsia" w:ascii="宋体" w:hAnsi="宋体" w:cs="宋体"/>
                <w:bCs/>
                <w:sz w:val="24"/>
              </w:rPr>
              <w:t>期环</w:t>
            </w:r>
          </w:p>
          <w:p w14:paraId="6E41FAC7">
            <w:pPr>
              <w:adjustRightInd w:val="0"/>
              <w:snapToGrid w:val="0"/>
              <w:jc w:val="center"/>
              <w:rPr>
                <w:rFonts w:ascii="宋体" w:hAnsi="宋体" w:cs="宋体"/>
                <w:bCs/>
                <w:sz w:val="24"/>
              </w:rPr>
            </w:pPr>
            <w:r>
              <w:rPr>
                <w:rFonts w:hint="eastAsia" w:ascii="宋体" w:hAnsi="宋体" w:cs="宋体"/>
                <w:bCs/>
                <w:sz w:val="24"/>
              </w:rPr>
              <w:t>境影</w:t>
            </w:r>
          </w:p>
          <w:p w14:paraId="69E289F3">
            <w:pPr>
              <w:adjustRightInd w:val="0"/>
              <w:snapToGrid w:val="0"/>
              <w:jc w:val="center"/>
              <w:rPr>
                <w:rFonts w:ascii="宋体" w:hAnsi="宋体" w:cs="宋体"/>
                <w:bCs/>
                <w:sz w:val="24"/>
              </w:rPr>
            </w:pPr>
            <w:r>
              <w:rPr>
                <w:rFonts w:hint="eastAsia" w:ascii="宋体" w:hAnsi="宋体" w:cs="宋体"/>
                <w:bCs/>
                <w:sz w:val="24"/>
              </w:rPr>
              <w:t>响和</w:t>
            </w:r>
          </w:p>
          <w:p w14:paraId="22927E32">
            <w:pPr>
              <w:adjustRightInd w:val="0"/>
              <w:snapToGrid w:val="0"/>
              <w:jc w:val="center"/>
              <w:rPr>
                <w:rFonts w:ascii="宋体" w:hAnsi="宋体" w:cs="宋体"/>
                <w:bCs/>
                <w:sz w:val="24"/>
              </w:rPr>
            </w:pPr>
            <w:r>
              <w:rPr>
                <w:rFonts w:hint="eastAsia" w:ascii="宋体" w:hAnsi="宋体" w:cs="宋体"/>
                <w:bCs/>
                <w:sz w:val="24"/>
              </w:rPr>
              <w:t>保护</w:t>
            </w:r>
          </w:p>
          <w:p w14:paraId="1E20D590">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14163" w:type="dxa"/>
            <w:vAlign w:val="center"/>
          </w:tcPr>
          <w:p w14:paraId="38B21EE5">
            <w:pPr>
              <w:adjustRightInd w:val="0"/>
              <w:snapToGrid w:val="0"/>
              <w:spacing w:line="480" w:lineRule="exact"/>
              <w:rPr>
                <w:b/>
                <w:spacing w:val="-10"/>
                <w:sz w:val="24"/>
              </w:rPr>
            </w:pPr>
            <w:r>
              <w:rPr>
                <w:b/>
                <w:spacing w:val="-10"/>
                <w:sz w:val="24"/>
              </w:rPr>
              <w:t>4.2.2 大气环境影响和保护措施</w:t>
            </w:r>
          </w:p>
          <w:p w14:paraId="166C01BD">
            <w:pPr>
              <w:pStyle w:val="20"/>
              <w:spacing w:before="0" w:beforeAutospacing="0" w:after="0" w:afterAutospacing="0" w:line="480" w:lineRule="exact"/>
              <w:ind w:firstLine="522" w:firstLineChars="200"/>
              <w:outlineLvl w:val="0"/>
              <w:rPr>
                <w:rFonts w:ascii="Times New Roman" w:hAnsi="Times New Roman"/>
                <w:b/>
                <w:snapToGrid w:val="0"/>
                <w:sz w:val="26"/>
                <w:szCs w:val="26"/>
              </w:rPr>
            </w:pPr>
            <w:r>
              <w:rPr>
                <w:rFonts w:ascii="Times New Roman" w:hAnsi="Times New Roman"/>
                <w:b/>
                <w:snapToGrid w:val="0"/>
                <w:sz w:val="26"/>
                <w:szCs w:val="26"/>
              </w:rPr>
              <w:t>4.2.</w:t>
            </w:r>
            <w:r>
              <w:rPr>
                <w:rFonts w:hint="eastAsia" w:ascii="Times New Roman" w:hAnsi="Times New Roman"/>
                <w:b/>
                <w:snapToGrid w:val="0"/>
                <w:sz w:val="26"/>
                <w:szCs w:val="26"/>
              </w:rPr>
              <w:t>2</w:t>
            </w:r>
            <w:r>
              <w:rPr>
                <w:rFonts w:ascii="Times New Roman" w:hAnsi="Times New Roman"/>
                <w:b/>
                <w:snapToGrid w:val="0"/>
                <w:sz w:val="26"/>
                <w:szCs w:val="26"/>
              </w:rPr>
              <w:t>.1废</w:t>
            </w:r>
            <w:r>
              <w:rPr>
                <w:rFonts w:hint="eastAsia" w:ascii="Times New Roman" w:hAnsi="Times New Roman"/>
                <w:b/>
                <w:snapToGrid w:val="0"/>
                <w:sz w:val="26"/>
                <w:szCs w:val="26"/>
              </w:rPr>
              <w:t>气</w:t>
            </w:r>
            <w:r>
              <w:rPr>
                <w:rFonts w:ascii="Times New Roman" w:hAnsi="Times New Roman"/>
                <w:b/>
                <w:snapToGrid w:val="0"/>
                <w:sz w:val="26"/>
                <w:szCs w:val="26"/>
              </w:rPr>
              <w:t>污染物排放信息</w:t>
            </w:r>
          </w:p>
          <w:p w14:paraId="117938DD">
            <w:pPr>
              <w:pStyle w:val="20"/>
              <w:spacing w:before="0" w:beforeAutospacing="0" w:after="0" w:afterAutospacing="0" w:line="480" w:lineRule="exact"/>
              <w:ind w:firstLine="520" w:firstLineChars="200"/>
              <w:outlineLvl w:val="0"/>
              <w:rPr>
                <w:rFonts w:ascii="Times New Roman" w:hAnsi="Times New Roman"/>
                <w:kern w:val="2"/>
                <w:sz w:val="26"/>
                <w:szCs w:val="26"/>
              </w:rPr>
            </w:pPr>
            <w:r>
              <w:rPr>
                <w:rFonts w:ascii="Times New Roman" w:hAnsi="Times New Roman"/>
                <w:kern w:val="2"/>
                <w:sz w:val="26"/>
                <w:szCs w:val="26"/>
              </w:rPr>
              <w:t>废水污染物产排情况及治理设施信息见表4.2-</w:t>
            </w:r>
            <w:r>
              <w:rPr>
                <w:rFonts w:hint="eastAsia" w:ascii="Times New Roman" w:hAnsi="Times New Roman"/>
                <w:kern w:val="2"/>
                <w:sz w:val="26"/>
                <w:szCs w:val="26"/>
              </w:rPr>
              <w:t>6</w:t>
            </w:r>
            <w:r>
              <w:rPr>
                <w:rFonts w:ascii="Times New Roman" w:hAnsi="Times New Roman"/>
                <w:kern w:val="2"/>
                <w:sz w:val="26"/>
                <w:szCs w:val="26"/>
              </w:rPr>
              <w:t>。</w:t>
            </w:r>
          </w:p>
          <w:p w14:paraId="56D8B691">
            <w:pPr>
              <w:pStyle w:val="20"/>
              <w:spacing w:before="0" w:beforeAutospacing="0" w:after="0" w:afterAutospacing="0" w:line="480" w:lineRule="exact"/>
              <w:jc w:val="center"/>
              <w:outlineLvl w:val="0"/>
              <w:rPr>
                <w:rFonts w:ascii="Times New Roman"/>
                <w:b/>
                <w:snapToGrid w:val="0"/>
                <w:sz w:val="21"/>
                <w:szCs w:val="21"/>
              </w:rPr>
            </w:pPr>
            <w:r>
              <w:rPr>
                <w:rFonts w:ascii="Times New Roman"/>
                <w:b/>
                <w:kern w:val="2"/>
                <w:sz w:val="21"/>
                <w:szCs w:val="21"/>
              </w:rPr>
              <w:t>表</w:t>
            </w:r>
            <w:r>
              <w:rPr>
                <w:rFonts w:ascii="Times New Roman" w:hAnsi="Times New Roman"/>
                <w:b/>
                <w:kern w:val="2"/>
                <w:sz w:val="21"/>
                <w:szCs w:val="21"/>
              </w:rPr>
              <w:t>4.2-</w:t>
            </w:r>
            <w:r>
              <w:rPr>
                <w:rFonts w:hint="eastAsia" w:ascii="Times New Roman" w:hAnsi="Times New Roman"/>
                <w:b/>
                <w:kern w:val="2"/>
                <w:sz w:val="21"/>
                <w:szCs w:val="21"/>
              </w:rPr>
              <w:t>6</w:t>
            </w:r>
            <w:r>
              <w:rPr>
                <w:rFonts w:ascii="Times New Roman"/>
                <w:b/>
                <w:snapToGrid w:val="0"/>
                <w:sz w:val="21"/>
                <w:szCs w:val="21"/>
              </w:rPr>
              <w:t>废</w:t>
            </w:r>
            <w:r>
              <w:rPr>
                <w:rFonts w:hint="eastAsia" w:ascii="Times New Roman"/>
                <w:b/>
                <w:snapToGrid w:val="0"/>
                <w:sz w:val="21"/>
                <w:szCs w:val="21"/>
              </w:rPr>
              <w:t>气</w:t>
            </w:r>
            <w:r>
              <w:rPr>
                <w:rFonts w:ascii="Times New Roman"/>
                <w:b/>
                <w:snapToGrid w:val="0"/>
                <w:sz w:val="21"/>
                <w:szCs w:val="21"/>
              </w:rPr>
              <w:t>污染物源强核算结果及相关参数一览表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13"/>
              <w:gridCol w:w="960"/>
              <w:gridCol w:w="939"/>
              <w:gridCol w:w="966"/>
              <w:gridCol w:w="966"/>
              <w:gridCol w:w="1504"/>
              <w:gridCol w:w="678"/>
              <w:gridCol w:w="690"/>
              <w:gridCol w:w="991"/>
              <w:gridCol w:w="974"/>
              <w:gridCol w:w="987"/>
              <w:gridCol w:w="967"/>
              <w:gridCol w:w="967"/>
            </w:tblGrid>
            <w:tr w14:paraId="1E1A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shd w:val="clear" w:color="auto" w:fill="auto"/>
                  <w:vAlign w:val="center"/>
                </w:tcPr>
                <w:p w14:paraId="03B2A217">
                  <w:pPr>
                    <w:pStyle w:val="77"/>
                    <w:jc w:val="center"/>
                    <w:rPr>
                      <w:rFonts w:ascii="Times New Roman" w:hAnsi="Times New Roman" w:cs="宋体"/>
                      <w:color w:val="auto"/>
                      <w:sz w:val="21"/>
                      <w:szCs w:val="21"/>
                    </w:rPr>
                  </w:pPr>
                  <w:r>
                    <w:rPr>
                      <w:rFonts w:ascii="Times New Roman" w:hAnsi="Times New Roman" w:cs="宋体"/>
                      <w:color w:val="auto"/>
                      <w:sz w:val="21"/>
                      <w:szCs w:val="21"/>
                    </w:rPr>
                    <w:t>排放源</w:t>
                  </w:r>
                </w:p>
              </w:tc>
              <w:tc>
                <w:tcPr>
                  <w:tcW w:w="1276" w:type="dxa"/>
                  <w:vMerge w:val="restart"/>
                  <w:shd w:val="clear" w:color="auto" w:fill="auto"/>
                  <w:vAlign w:val="center"/>
                </w:tcPr>
                <w:p w14:paraId="754CC338">
                  <w:pPr>
                    <w:pStyle w:val="77"/>
                    <w:jc w:val="center"/>
                    <w:rPr>
                      <w:rFonts w:ascii="Times New Roman" w:hAnsi="Times New Roman" w:cs="宋体"/>
                      <w:color w:val="auto"/>
                      <w:sz w:val="21"/>
                      <w:szCs w:val="21"/>
                    </w:rPr>
                  </w:pPr>
                  <w:r>
                    <w:rPr>
                      <w:rFonts w:ascii="Times New Roman" w:hAnsi="Times New Roman" w:cs="宋体"/>
                      <w:color w:val="auto"/>
                      <w:sz w:val="21"/>
                      <w:szCs w:val="21"/>
                    </w:rPr>
                    <w:t>产污点</w:t>
                  </w:r>
                </w:p>
              </w:tc>
              <w:tc>
                <w:tcPr>
                  <w:tcW w:w="995" w:type="dxa"/>
                  <w:vMerge w:val="restart"/>
                  <w:shd w:val="clear" w:color="auto" w:fill="auto"/>
                  <w:vAlign w:val="center"/>
                </w:tcPr>
                <w:p w14:paraId="65D87374">
                  <w:pPr>
                    <w:pStyle w:val="77"/>
                    <w:jc w:val="center"/>
                    <w:rPr>
                      <w:rFonts w:ascii="Times New Roman" w:hAnsi="Times New Roman" w:cs="宋体"/>
                      <w:color w:val="auto"/>
                      <w:sz w:val="21"/>
                      <w:szCs w:val="21"/>
                    </w:rPr>
                  </w:pPr>
                  <w:r>
                    <w:rPr>
                      <w:rFonts w:ascii="Times New Roman" w:hAnsi="Times New Roman" w:cs="宋体"/>
                      <w:color w:val="auto"/>
                      <w:sz w:val="21"/>
                      <w:szCs w:val="21"/>
                    </w:rPr>
                    <w:t>产污时数h/a</w:t>
                  </w:r>
                </w:p>
              </w:tc>
              <w:tc>
                <w:tcPr>
                  <w:tcW w:w="995" w:type="dxa"/>
                  <w:vMerge w:val="restart"/>
                  <w:shd w:val="clear" w:color="auto" w:fill="auto"/>
                  <w:vAlign w:val="center"/>
                </w:tcPr>
                <w:p w14:paraId="6FB44889">
                  <w:pPr>
                    <w:pStyle w:val="77"/>
                    <w:jc w:val="center"/>
                    <w:rPr>
                      <w:rFonts w:ascii="Times New Roman" w:hAnsi="Times New Roman" w:cs="宋体"/>
                      <w:color w:val="auto"/>
                      <w:sz w:val="21"/>
                      <w:szCs w:val="21"/>
                    </w:rPr>
                  </w:pPr>
                  <w:r>
                    <w:rPr>
                      <w:rFonts w:ascii="Times New Roman" w:hAnsi="Times New Roman" w:cs="宋体"/>
                      <w:color w:val="auto"/>
                      <w:sz w:val="21"/>
                      <w:szCs w:val="21"/>
                    </w:rPr>
                    <w:t>污染因子</w:t>
                  </w:r>
                </w:p>
              </w:tc>
              <w:tc>
                <w:tcPr>
                  <w:tcW w:w="996" w:type="dxa"/>
                  <w:vMerge w:val="restart"/>
                  <w:shd w:val="clear" w:color="auto" w:fill="auto"/>
                  <w:vAlign w:val="center"/>
                </w:tcPr>
                <w:p w14:paraId="77A33EFB">
                  <w:pPr>
                    <w:pStyle w:val="77"/>
                    <w:jc w:val="center"/>
                    <w:rPr>
                      <w:rFonts w:ascii="Times New Roman" w:hAnsi="Times New Roman" w:cs="宋体"/>
                      <w:color w:val="auto"/>
                      <w:sz w:val="21"/>
                      <w:szCs w:val="21"/>
                    </w:rPr>
                  </w:pPr>
                  <w:r>
                    <w:rPr>
                      <w:rFonts w:ascii="Times New Roman" w:hAnsi="Times New Roman" w:cs="宋体"/>
                      <w:color w:val="auto"/>
                      <w:sz w:val="21"/>
                      <w:szCs w:val="21"/>
                    </w:rPr>
                    <w:t>产生量t/a</w:t>
                  </w:r>
                </w:p>
              </w:tc>
              <w:tc>
                <w:tcPr>
                  <w:tcW w:w="996" w:type="dxa"/>
                  <w:vMerge w:val="restart"/>
                  <w:shd w:val="clear" w:color="auto" w:fill="auto"/>
                  <w:vAlign w:val="center"/>
                </w:tcPr>
                <w:p w14:paraId="5FAFE27D">
                  <w:pPr>
                    <w:pStyle w:val="77"/>
                    <w:jc w:val="center"/>
                    <w:rPr>
                      <w:rFonts w:ascii="Times New Roman" w:hAnsi="Times New Roman" w:cs="宋体"/>
                      <w:color w:val="auto"/>
                      <w:sz w:val="21"/>
                      <w:szCs w:val="21"/>
                    </w:rPr>
                  </w:pPr>
                  <w:r>
                    <w:rPr>
                      <w:rFonts w:ascii="Times New Roman" w:hAnsi="Times New Roman" w:cs="宋体"/>
                      <w:color w:val="auto"/>
                      <w:sz w:val="21"/>
                      <w:szCs w:val="21"/>
                    </w:rPr>
                    <w:t>产生速率kg/h</w:t>
                  </w:r>
                </w:p>
              </w:tc>
              <w:tc>
                <w:tcPr>
                  <w:tcW w:w="1544" w:type="dxa"/>
                  <w:vMerge w:val="restart"/>
                  <w:shd w:val="clear" w:color="auto" w:fill="auto"/>
                  <w:vAlign w:val="center"/>
                </w:tcPr>
                <w:p w14:paraId="56C48696">
                  <w:pPr>
                    <w:pStyle w:val="77"/>
                    <w:jc w:val="center"/>
                    <w:rPr>
                      <w:rFonts w:ascii="Times New Roman" w:hAnsi="Times New Roman" w:cs="宋体"/>
                      <w:color w:val="auto"/>
                      <w:sz w:val="21"/>
                      <w:szCs w:val="21"/>
                    </w:rPr>
                  </w:pPr>
                  <w:r>
                    <w:rPr>
                      <w:rFonts w:ascii="Times New Roman" w:hAnsi="Times New Roman" w:cs="宋体"/>
                      <w:color w:val="auto"/>
                      <w:sz w:val="21"/>
                      <w:szCs w:val="21"/>
                    </w:rPr>
                    <w:t>治理措施</w:t>
                  </w:r>
                </w:p>
              </w:tc>
              <w:tc>
                <w:tcPr>
                  <w:tcW w:w="700" w:type="dxa"/>
                  <w:vMerge w:val="restart"/>
                  <w:shd w:val="clear" w:color="auto" w:fill="auto"/>
                  <w:vAlign w:val="center"/>
                </w:tcPr>
                <w:p w14:paraId="2E41191C">
                  <w:pPr>
                    <w:pStyle w:val="77"/>
                    <w:jc w:val="center"/>
                    <w:rPr>
                      <w:rFonts w:ascii="Times New Roman" w:hAnsi="Times New Roman" w:cs="宋体"/>
                      <w:color w:val="auto"/>
                      <w:sz w:val="21"/>
                      <w:szCs w:val="21"/>
                    </w:rPr>
                  </w:pPr>
                  <w:r>
                    <w:rPr>
                      <w:rFonts w:ascii="Times New Roman" w:hAnsi="Times New Roman" w:cs="宋体"/>
                      <w:color w:val="auto"/>
                      <w:sz w:val="21"/>
                      <w:szCs w:val="21"/>
                    </w:rPr>
                    <w:t>收集效率</w:t>
                  </w:r>
                </w:p>
              </w:tc>
              <w:tc>
                <w:tcPr>
                  <w:tcW w:w="701" w:type="dxa"/>
                  <w:vMerge w:val="restart"/>
                  <w:shd w:val="clear" w:color="auto" w:fill="auto"/>
                  <w:vAlign w:val="center"/>
                </w:tcPr>
                <w:p w14:paraId="41587544">
                  <w:pPr>
                    <w:pStyle w:val="77"/>
                    <w:jc w:val="center"/>
                    <w:rPr>
                      <w:rFonts w:ascii="Times New Roman" w:hAnsi="Times New Roman" w:cs="宋体"/>
                      <w:color w:val="auto"/>
                      <w:sz w:val="21"/>
                      <w:szCs w:val="21"/>
                    </w:rPr>
                  </w:pPr>
                  <w:r>
                    <w:rPr>
                      <w:rFonts w:ascii="Times New Roman" w:hAnsi="Times New Roman" w:cs="宋体"/>
                      <w:color w:val="auto"/>
                      <w:sz w:val="21"/>
                      <w:szCs w:val="21"/>
                    </w:rPr>
                    <w:t>处理效率</w:t>
                  </w:r>
                </w:p>
              </w:tc>
              <w:tc>
                <w:tcPr>
                  <w:tcW w:w="1038" w:type="dxa"/>
                  <w:vMerge w:val="restart"/>
                  <w:shd w:val="clear" w:color="auto" w:fill="auto"/>
                  <w:vAlign w:val="center"/>
                </w:tcPr>
                <w:p w14:paraId="2709E5BD">
                  <w:pPr>
                    <w:pStyle w:val="77"/>
                    <w:jc w:val="center"/>
                    <w:rPr>
                      <w:rFonts w:ascii="Times New Roman" w:hAnsi="Times New Roman" w:cs="宋体"/>
                      <w:color w:val="auto"/>
                      <w:sz w:val="21"/>
                      <w:szCs w:val="21"/>
                    </w:rPr>
                  </w:pPr>
                  <w:r>
                    <w:rPr>
                      <w:rFonts w:ascii="Times New Roman" w:hAnsi="Times New Roman" w:cs="宋体"/>
                      <w:color w:val="auto"/>
                      <w:sz w:val="21"/>
                      <w:szCs w:val="21"/>
                    </w:rPr>
                    <w:t>是否为可行技术</w:t>
                  </w:r>
                </w:p>
              </w:tc>
              <w:tc>
                <w:tcPr>
                  <w:tcW w:w="2989" w:type="dxa"/>
                  <w:gridSpan w:val="3"/>
                  <w:shd w:val="clear" w:color="auto" w:fill="auto"/>
                  <w:vAlign w:val="center"/>
                </w:tcPr>
                <w:p w14:paraId="494AEB42">
                  <w:pPr>
                    <w:pStyle w:val="77"/>
                    <w:jc w:val="center"/>
                    <w:rPr>
                      <w:rFonts w:ascii="Times New Roman" w:hAnsi="Times New Roman" w:cs="宋体"/>
                      <w:color w:val="auto"/>
                      <w:sz w:val="21"/>
                      <w:szCs w:val="21"/>
                    </w:rPr>
                  </w:pPr>
                  <w:r>
                    <w:rPr>
                      <w:rFonts w:ascii="Times New Roman" w:hAnsi="Times New Roman" w:cs="宋体"/>
                      <w:color w:val="auto"/>
                      <w:sz w:val="21"/>
                      <w:szCs w:val="21"/>
                    </w:rPr>
                    <w:t>有组织排放</w:t>
                  </w:r>
                </w:p>
              </w:tc>
              <w:tc>
                <w:tcPr>
                  <w:tcW w:w="997" w:type="dxa"/>
                  <w:shd w:val="clear" w:color="auto" w:fill="auto"/>
                  <w:vAlign w:val="center"/>
                </w:tcPr>
                <w:p w14:paraId="19646C93">
                  <w:pPr>
                    <w:pStyle w:val="77"/>
                    <w:jc w:val="center"/>
                    <w:rPr>
                      <w:rFonts w:ascii="Times New Roman" w:hAnsi="Times New Roman" w:cs="宋体"/>
                      <w:color w:val="auto"/>
                      <w:sz w:val="21"/>
                      <w:szCs w:val="21"/>
                    </w:rPr>
                  </w:pPr>
                  <w:r>
                    <w:rPr>
                      <w:rFonts w:ascii="Times New Roman" w:hAnsi="Times New Roman" w:cs="宋体"/>
                      <w:color w:val="auto"/>
                      <w:sz w:val="21"/>
                      <w:szCs w:val="21"/>
                    </w:rPr>
                    <w:t>无组织排放</w:t>
                  </w:r>
                </w:p>
              </w:tc>
            </w:tr>
            <w:tr w14:paraId="0563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shd w:val="clear" w:color="auto" w:fill="auto"/>
                  <w:vAlign w:val="center"/>
                </w:tcPr>
                <w:p w14:paraId="21759A6D">
                  <w:pPr>
                    <w:pStyle w:val="77"/>
                    <w:jc w:val="center"/>
                    <w:rPr>
                      <w:rFonts w:ascii="Times New Roman" w:hAnsi="Times New Roman" w:cs="宋体"/>
                      <w:color w:val="auto"/>
                      <w:sz w:val="21"/>
                      <w:szCs w:val="21"/>
                    </w:rPr>
                  </w:pPr>
                </w:p>
              </w:tc>
              <w:tc>
                <w:tcPr>
                  <w:tcW w:w="1276" w:type="dxa"/>
                  <w:vMerge w:val="continue"/>
                  <w:shd w:val="clear" w:color="auto" w:fill="auto"/>
                  <w:vAlign w:val="center"/>
                </w:tcPr>
                <w:p w14:paraId="0F9DC2F9">
                  <w:pPr>
                    <w:pStyle w:val="77"/>
                    <w:jc w:val="center"/>
                    <w:rPr>
                      <w:rFonts w:ascii="Times New Roman" w:hAnsi="Times New Roman" w:cs="宋体"/>
                      <w:color w:val="auto"/>
                      <w:sz w:val="21"/>
                      <w:szCs w:val="21"/>
                    </w:rPr>
                  </w:pPr>
                </w:p>
              </w:tc>
              <w:tc>
                <w:tcPr>
                  <w:tcW w:w="995" w:type="dxa"/>
                  <w:vMerge w:val="continue"/>
                  <w:shd w:val="clear" w:color="auto" w:fill="auto"/>
                </w:tcPr>
                <w:p w14:paraId="275A7370">
                  <w:pPr>
                    <w:pStyle w:val="77"/>
                    <w:jc w:val="center"/>
                    <w:rPr>
                      <w:rFonts w:ascii="Times New Roman" w:hAnsi="Times New Roman" w:cs="宋体"/>
                      <w:color w:val="auto"/>
                      <w:sz w:val="21"/>
                      <w:szCs w:val="21"/>
                    </w:rPr>
                  </w:pPr>
                </w:p>
              </w:tc>
              <w:tc>
                <w:tcPr>
                  <w:tcW w:w="995" w:type="dxa"/>
                  <w:vMerge w:val="continue"/>
                  <w:shd w:val="clear" w:color="auto" w:fill="auto"/>
                  <w:vAlign w:val="center"/>
                </w:tcPr>
                <w:p w14:paraId="4ABE1F5E">
                  <w:pPr>
                    <w:pStyle w:val="77"/>
                    <w:jc w:val="center"/>
                    <w:rPr>
                      <w:rFonts w:ascii="Times New Roman" w:hAnsi="Times New Roman" w:cs="宋体"/>
                      <w:color w:val="auto"/>
                      <w:sz w:val="21"/>
                      <w:szCs w:val="21"/>
                    </w:rPr>
                  </w:pPr>
                </w:p>
              </w:tc>
              <w:tc>
                <w:tcPr>
                  <w:tcW w:w="996" w:type="dxa"/>
                  <w:vMerge w:val="continue"/>
                  <w:shd w:val="clear" w:color="auto" w:fill="auto"/>
                  <w:vAlign w:val="center"/>
                </w:tcPr>
                <w:p w14:paraId="186677E1">
                  <w:pPr>
                    <w:pStyle w:val="77"/>
                    <w:jc w:val="center"/>
                    <w:rPr>
                      <w:rFonts w:ascii="Times New Roman" w:hAnsi="Times New Roman" w:cs="宋体"/>
                      <w:color w:val="auto"/>
                      <w:sz w:val="21"/>
                      <w:szCs w:val="21"/>
                    </w:rPr>
                  </w:pPr>
                </w:p>
              </w:tc>
              <w:tc>
                <w:tcPr>
                  <w:tcW w:w="996" w:type="dxa"/>
                  <w:vMerge w:val="continue"/>
                  <w:shd w:val="clear" w:color="auto" w:fill="auto"/>
                  <w:vAlign w:val="center"/>
                </w:tcPr>
                <w:p w14:paraId="6AD57598">
                  <w:pPr>
                    <w:pStyle w:val="77"/>
                    <w:jc w:val="center"/>
                    <w:rPr>
                      <w:rFonts w:ascii="Times New Roman" w:hAnsi="Times New Roman" w:cs="宋体"/>
                      <w:color w:val="auto"/>
                      <w:sz w:val="21"/>
                      <w:szCs w:val="21"/>
                    </w:rPr>
                  </w:pPr>
                </w:p>
              </w:tc>
              <w:tc>
                <w:tcPr>
                  <w:tcW w:w="1544" w:type="dxa"/>
                  <w:vMerge w:val="continue"/>
                  <w:shd w:val="clear" w:color="auto" w:fill="auto"/>
                  <w:vAlign w:val="center"/>
                </w:tcPr>
                <w:p w14:paraId="43670F5A">
                  <w:pPr>
                    <w:pStyle w:val="77"/>
                    <w:jc w:val="center"/>
                    <w:rPr>
                      <w:rFonts w:ascii="Times New Roman" w:hAnsi="Times New Roman" w:cs="宋体"/>
                      <w:color w:val="auto"/>
                      <w:sz w:val="21"/>
                      <w:szCs w:val="21"/>
                    </w:rPr>
                  </w:pPr>
                </w:p>
              </w:tc>
              <w:tc>
                <w:tcPr>
                  <w:tcW w:w="700" w:type="dxa"/>
                  <w:vMerge w:val="continue"/>
                  <w:shd w:val="clear" w:color="auto" w:fill="auto"/>
                  <w:vAlign w:val="center"/>
                </w:tcPr>
                <w:p w14:paraId="56DD1851">
                  <w:pPr>
                    <w:pStyle w:val="77"/>
                    <w:jc w:val="center"/>
                    <w:rPr>
                      <w:rFonts w:ascii="Times New Roman" w:hAnsi="Times New Roman" w:cs="宋体"/>
                      <w:color w:val="auto"/>
                      <w:sz w:val="21"/>
                      <w:szCs w:val="21"/>
                    </w:rPr>
                  </w:pPr>
                </w:p>
              </w:tc>
              <w:tc>
                <w:tcPr>
                  <w:tcW w:w="701" w:type="dxa"/>
                  <w:vMerge w:val="continue"/>
                  <w:shd w:val="clear" w:color="auto" w:fill="auto"/>
                  <w:vAlign w:val="center"/>
                </w:tcPr>
                <w:p w14:paraId="390715F0">
                  <w:pPr>
                    <w:pStyle w:val="77"/>
                    <w:jc w:val="center"/>
                    <w:rPr>
                      <w:rFonts w:ascii="Times New Roman" w:hAnsi="Times New Roman" w:cs="宋体"/>
                      <w:color w:val="auto"/>
                      <w:sz w:val="21"/>
                      <w:szCs w:val="21"/>
                    </w:rPr>
                  </w:pPr>
                </w:p>
              </w:tc>
              <w:tc>
                <w:tcPr>
                  <w:tcW w:w="1038" w:type="dxa"/>
                  <w:vMerge w:val="continue"/>
                  <w:shd w:val="clear" w:color="auto" w:fill="auto"/>
                  <w:vAlign w:val="center"/>
                </w:tcPr>
                <w:p w14:paraId="4A01C3BA">
                  <w:pPr>
                    <w:pStyle w:val="77"/>
                    <w:jc w:val="center"/>
                    <w:rPr>
                      <w:rFonts w:ascii="Times New Roman" w:hAnsi="Times New Roman" w:cs="宋体"/>
                      <w:color w:val="auto"/>
                      <w:sz w:val="21"/>
                      <w:szCs w:val="21"/>
                    </w:rPr>
                  </w:pPr>
                </w:p>
              </w:tc>
              <w:tc>
                <w:tcPr>
                  <w:tcW w:w="996" w:type="dxa"/>
                  <w:shd w:val="clear" w:color="auto" w:fill="auto"/>
                  <w:vAlign w:val="center"/>
                </w:tcPr>
                <w:p w14:paraId="03B3C5A2">
                  <w:pPr>
                    <w:widowControl/>
                    <w:jc w:val="center"/>
                    <w:rPr>
                      <w:kern w:val="0"/>
                      <w:szCs w:val="21"/>
                    </w:rPr>
                  </w:pPr>
                  <w:r>
                    <w:rPr>
                      <w:szCs w:val="21"/>
                    </w:rPr>
                    <w:t>排放浓度mg/m</w:t>
                  </w:r>
                  <w:r>
                    <w:rPr>
                      <w:szCs w:val="21"/>
                      <w:vertAlign w:val="superscript"/>
                    </w:rPr>
                    <w:t>3</w:t>
                  </w:r>
                </w:p>
              </w:tc>
              <w:tc>
                <w:tcPr>
                  <w:tcW w:w="996" w:type="dxa"/>
                  <w:shd w:val="clear" w:color="auto" w:fill="auto"/>
                  <w:vAlign w:val="center"/>
                </w:tcPr>
                <w:p w14:paraId="4BDCCD6B">
                  <w:pPr>
                    <w:jc w:val="center"/>
                    <w:rPr>
                      <w:szCs w:val="21"/>
                    </w:rPr>
                  </w:pPr>
                  <w:r>
                    <w:rPr>
                      <w:szCs w:val="21"/>
                    </w:rPr>
                    <w:t>排放速率kg/h</w:t>
                  </w:r>
                </w:p>
              </w:tc>
              <w:tc>
                <w:tcPr>
                  <w:tcW w:w="997" w:type="dxa"/>
                  <w:shd w:val="clear" w:color="auto" w:fill="auto"/>
                  <w:vAlign w:val="center"/>
                </w:tcPr>
                <w:p w14:paraId="18FACD86">
                  <w:pPr>
                    <w:jc w:val="center"/>
                    <w:rPr>
                      <w:szCs w:val="21"/>
                    </w:rPr>
                  </w:pPr>
                  <w:r>
                    <w:rPr>
                      <w:szCs w:val="21"/>
                    </w:rPr>
                    <w:t>排放量t/a</w:t>
                  </w:r>
                </w:p>
              </w:tc>
              <w:tc>
                <w:tcPr>
                  <w:tcW w:w="997" w:type="dxa"/>
                  <w:shd w:val="clear" w:color="auto" w:fill="auto"/>
                  <w:vAlign w:val="center"/>
                </w:tcPr>
                <w:p w14:paraId="706EA48D">
                  <w:pPr>
                    <w:pStyle w:val="77"/>
                    <w:jc w:val="center"/>
                    <w:rPr>
                      <w:rFonts w:ascii="Times New Roman" w:hAnsi="Times New Roman" w:cs="宋体"/>
                      <w:color w:val="auto"/>
                      <w:sz w:val="21"/>
                      <w:szCs w:val="21"/>
                    </w:rPr>
                  </w:pPr>
                  <w:r>
                    <w:rPr>
                      <w:rFonts w:ascii="Times New Roman" w:hAnsi="Times New Roman" w:cs="宋体"/>
                      <w:color w:val="auto"/>
                      <w:sz w:val="21"/>
                      <w:szCs w:val="21"/>
                    </w:rPr>
                    <w:t>排放量t/a</w:t>
                  </w:r>
                </w:p>
              </w:tc>
            </w:tr>
            <w:tr w14:paraId="7076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4360846B">
                  <w:pPr>
                    <w:pStyle w:val="77"/>
                    <w:jc w:val="center"/>
                    <w:rPr>
                      <w:rFonts w:ascii="Times New Roman" w:hAnsi="Times New Roman" w:cs="宋体"/>
                      <w:color w:val="auto"/>
                      <w:sz w:val="21"/>
                      <w:szCs w:val="21"/>
                    </w:rPr>
                  </w:pPr>
                  <w:r>
                    <w:rPr>
                      <w:rFonts w:ascii="Times New Roman" w:hAnsi="Times New Roman" w:cs="宋体"/>
                      <w:color w:val="auto"/>
                      <w:sz w:val="21"/>
                      <w:szCs w:val="21"/>
                    </w:rPr>
                    <w:t>1#排气筒</w:t>
                  </w:r>
                </w:p>
              </w:tc>
              <w:tc>
                <w:tcPr>
                  <w:tcW w:w="1276" w:type="dxa"/>
                  <w:shd w:val="clear" w:color="auto" w:fill="auto"/>
                  <w:vAlign w:val="center"/>
                </w:tcPr>
                <w:p w14:paraId="52243632">
                  <w:pPr>
                    <w:pStyle w:val="77"/>
                    <w:jc w:val="center"/>
                    <w:rPr>
                      <w:rFonts w:ascii="Times New Roman" w:hAnsi="Times New Roman" w:cs="宋体"/>
                      <w:color w:val="auto"/>
                      <w:sz w:val="21"/>
                      <w:szCs w:val="21"/>
                    </w:rPr>
                  </w:pPr>
                  <w:r>
                    <w:rPr>
                      <w:rFonts w:hint="eastAsia"/>
                      <w:color w:val="auto"/>
                      <w:sz w:val="21"/>
                      <w:szCs w:val="21"/>
                    </w:rPr>
                    <w:t>印刷、润版、清洁、过油废气</w:t>
                  </w:r>
                </w:p>
              </w:tc>
              <w:tc>
                <w:tcPr>
                  <w:tcW w:w="995" w:type="dxa"/>
                  <w:shd w:val="clear" w:color="auto" w:fill="auto"/>
                  <w:vAlign w:val="center"/>
                </w:tcPr>
                <w:p w14:paraId="3EFAE046">
                  <w:pPr>
                    <w:widowControl/>
                    <w:jc w:val="center"/>
                    <w:rPr>
                      <w:kern w:val="0"/>
                      <w:szCs w:val="21"/>
                    </w:rPr>
                  </w:pPr>
                  <w:r>
                    <w:rPr>
                      <w:rFonts w:hint="eastAsia"/>
                      <w:szCs w:val="21"/>
                    </w:rPr>
                    <w:t>4000</w:t>
                  </w:r>
                </w:p>
              </w:tc>
              <w:tc>
                <w:tcPr>
                  <w:tcW w:w="995" w:type="dxa"/>
                  <w:shd w:val="clear" w:color="auto" w:fill="auto"/>
                  <w:vAlign w:val="center"/>
                </w:tcPr>
                <w:p w14:paraId="54BC635C">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非甲烷总烃</w:t>
                  </w:r>
                </w:p>
              </w:tc>
              <w:tc>
                <w:tcPr>
                  <w:tcW w:w="996" w:type="dxa"/>
                  <w:shd w:val="clear" w:color="auto" w:fill="auto"/>
                  <w:vAlign w:val="center"/>
                </w:tcPr>
                <w:p w14:paraId="4F1CE3FF">
                  <w:pPr>
                    <w:jc w:val="center"/>
                    <w:rPr>
                      <w:szCs w:val="21"/>
                    </w:rPr>
                  </w:pPr>
                  <w:r>
                    <w:rPr>
                      <w:rFonts w:hint="eastAsia"/>
                      <w:szCs w:val="21"/>
                    </w:rPr>
                    <w:t>2.73</w:t>
                  </w:r>
                </w:p>
              </w:tc>
              <w:tc>
                <w:tcPr>
                  <w:tcW w:w="996" w:type="dxa"/>
                  <w:shd w:val="clear" w:color="auto" w:fill="auto"/>
                  <w:vAlign w:val="center"/>
                </w:tcPr>
                <w:p w14:paraId="1AEB3D23">
                  <w:pPr>
                    <w:widowControl/>
                    <w:jc w:val="center"/>
                    <w:rPr>
                      <w:kern w:val="0"/>
                      <w:szCs w:val="21"/>
                    </w:rPr>
                  </w:pPr>
                  <w:r>
                    <w:rPr>
                      <w:rFonts w:hint="eastAsia"/>
                      <w:kern w:val="0"/>
                      <w:szCs w:val="21"/>
                    </w:rPr>
                    <w:t>0.683</w:t>
                  </w:r>
                </w:p>
              </w:tc>
              <w:tc>
                <w:tcPr>
                  <w:tcW w:w="1544" w:type="dxa"/>
                  <w:shd w:val="clear" w:color="auto" w:fill="auto"/>
                  <w:vAlign w:val="center"/>
                </w:tcPr>
                <w:p w14:paraId="18D03B12">
                  <w:pPr>
                    <w:pStyle w:val="77"/>
                    <w:jc w:val="both"/>
                    <w:rPr>
                      <w:rFonts w:ascii="Times New Roman" w:hAnsi="Times New Roman" w:cs="宋体"/>
                      <w:color w:val="auto"/>
                      <w:sz w:val="21"/>
                      <w:szCs w:val="21"/>
                    </w:rPr>
                  </w:pPr>
                  <w:r>
                    <w:rPr>
                      <w:rFonts w:ascii="Times New Roman" w:hAnsi="Times New Roman" w:cs="宋体"/>
                      <w:color w:val="auto"/>
                      <w:sz w:val="21"/>
                      <w:szCs w:val="21"/>
                    </w:rPr>
                    <w:t>经集气装置收集后</w:t>
                  </w:r>
                  <w:r>
                    <w:rPr>
                      <w:rFonts w:hint="eastAsia" w:ascii="Times New Roman" w:hAnsi="Times New Roman" w:cs="宋体"/>
                      <w:color w:val="auto"/>
                      <w:sz w:val="21"/>
                      <w:szCs w:val="21"/>
                    </w:rPr>
                    <w:t>进入“二级活性炭吸附”装置处理后</w:t>
                  </w:r>
                  <w:r>
                    <w:rPr>
                      <w:rFonts w:ascii="Times New Roman" w:hAnsi="Times New Roman" w:cs="宋体"/>
                      <w:color w:val="auto"/>
                      <w:sz w:val="21"/>
                      <w:szCs w:val="21"/>
                    </w:rPr>
                    <w:t>以1根</w:t>
                  </w:r>
                  <w:r>
                    <w:rPr>
                      <w:rFonts w:hint="eastAsia" w:ascii="Times New Roman" w:hAnsi="Times New Roman" w:cs="宋体"/>
                      <w:color w:val="auto"/>
                      <w:sz w:val="21"/>
                      <w:szCs w:val="21"/>
                    </w:rPr>
                    <w:t>1</w:t>
                  </w:r>
                  <w:r>
                    <w:rPr>
                      <w:rFonts w:ascii="Times New Roman" w:hAnsi="Times New Roman" w:cs="宋体"/>
                      <w:color w:val="auto"/>
                      <w:sz w:val="21"/>
                      <w:szCs w:val="21"/>
                    </w:rPr>
                    <w:t>5m高1</w:t>
                  </w:r>
                  <w:r>
                    <w:rPr>
                      <w:rFonts w:hint="eastAsia" w:ascii="Times New Roman" w:hAnsi="Times New Roman" w:cs="宋体"/>
                      <w:color w:val="auto"/>
                      <w:sz w:val="21"/>
                      <w:szCs w:val="21"/>
                    </w:rPr>
                    <w:t>#</w:t>
                  </w:r>
                  <w:r>
                    <w:rPr>
                      <w:rFonts w:ascii="Times New Roman" w:hAnsi="Times New Roman" w:cs="宋体"/>
                      <w:color w:val="auto"/>
                      <w:sz w:val="21"/>
                      <w:szCs w:val="21"/>
                    </w:rPr>
                    <w:t>排气筒排放，风机风量为</w:t>
                  </w:r>
                  <w:r>
                    <w:rPr>
                      <w:rFonts w:hint="eastAsia" w:ascii="Times New Roman" w:hAnsi="Times New Roman" w:cs="宋体"/>
                      <w:color w:val="auto"/>
                      <w:sz w:val="21"/>
                      <w:szCs w:val="21"/>
                    </w:rPr>
                    <w:t>46600</w:t>
                  </w:r>
                  <w:r>
                    <w:rPr>
                      <w:rFonts w:ascii="Times New Roman" w:hAnsi="Times New Roman" w:cs="宋体"/>
                      <w:color w:val="auto"/>
                      <w:sz w:val="21"/>
                      <w:szCs w:val="21"/>
                    </w:rPr>
                    <w:t>m</w:t>
                  </w:r>
                  <w:r>
                    <w:rPr>
                      <w:rFonts w:ascii="Times New Roman" w:hAnsi="Times New Roman" w:cs="宋体"/>
                      <w:color w:val="auto"/>
                      <w:sz w:val="21"/>
                      <w:szCs w:val="21"/>
                      <w:vertAlign w:val="superscript"/>
                    </w:rPr>
                    <w:t>3</w:t>
                  </w:r>
                  <w:r>
                    <w:rPr>
                      <w:rFonts w:ascii="Times New Roman" w:hAnsi="Times New Roman" w:cs="宋体"/>
                      <w:color w:val="auto"/>
                      <w:sz w:val="21"/>
                      <w:szCs w:val="21"/>
                    </w:rPr>
                    <w:t>/h</w:t>
                  </w:r>
                </w:p>
              </w:tc>
              <w:tc>
                <w:tcPr>
                  <w:tcW w:w="700" w:type="dxa"/>
                  <w:shd w:val="clear" w:color="auto" w:fill="auto"/>
                  <w:vAlign w:val="center"/>
                </w:tcPr>
                <w:p w14:paraId="001E492B">
                  <w:pPr>
                    <w:pStyle w:val="77"/>
                    <w:jc w:val="center"/>
                    <w:rPr>
                      <w:rFonts w:ascii="Times New Roman" w:hAnsi="Times New Roman" w:cs="宋体"/>
                      <w:color w:val="auto"/>
                      <w:sz w:val="21"/>
                      <w:szCs w:val="21"/>
                    </w:rPr>
                  </w:pPr>
                  <w:r>
                    <w:rPr>
                      <w:rFonts w:ascii="Times New Roman" w:hAnsi="Times New Roman" w:cs="宋体"/>
                      <w:color w:val="auto"/>
                      <w:sz w:val="21"/>
                      <w:szCs w:val="21"/>
                    </w:rPr>
                    <w:t>0.8</w:t>
                  </w:r>
                </w:p>
              </w:tc>
              <w:tc>
                <w:tcPr>
                  <w:tcW w:w="701" w:type="dxa"/>
                  <w:shd w:val="clear" w:color="auto" w:fill="auto"/>
                  <w:vAlign w:val="center"/>
                </w:tcPr>
                <w:p w14:paraId="553142FC">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0.28</w:t>
                  </w:r>
                </w:p>
              </w:tc>
              <w:tc>
                <w:tcPr>
                  <w:tcW w:w="1038" w:type="dxa"/>
                  <w:shd w:val="clear" w:color="auto" w:fill="auto"/>
                  <w:vAlign w:val="center"/>
                </w:tcPr>
                <w:p w14:paraId="29A5E5F8">
                  <w:pPr>
                    <w:pStyle w:val="77"/>
                    <w:jc w:val="center"/>
                    <w:rPr>
                      <w:rFonts w:ascii="Times New Roman" w:hAnsi="Times New Roman" w:cs="宋体"/>
                      <w:color w:val="auto"/>
                      <w:sz w:val="21"/>
                      <w:szCs w:val="21"/>
                    </w:rPr>
                  </w:pPr>
                  <w:r>
                    <w:rPr>
                      <w:rFonts w:ascii="Times New Roman" w:hAnsi="Times New Roman" w:cs="宋体"/>
                      <w:color w:val="auto"/>
                      <w:sz w:val="21"/>
                      <w:szCs w:val="21"/>
                    </w:rPr>
                    <w:t>是</w:t>
                  </w:r>
                  <w:r>
                    <w:rPr>
                      <w:rFonts w:ascii="Segoe UI Symbol" w:hAnsi="Segoe UI Symbol" w:cs="Segoe UI Symbol"/>
                      <w:color w:val="auto"/>
                      <w:sz w:val="21"/>
                      <w:szCs w:val="21"/>
                    </w:rPr>
                    <w:t>☑</w:t>
                  </w:r>
                </w:p>
                <w:p w14:paraId="738A0015">
                  <w:pPr>
                    <w:pStyle w:val="77"/>
                    <w:jc w:val="center"/>
                    <w:rPr>
                      <w:rFonts w:ascii="Times New Roman" w:hAnsi="Times New Roman" w:cs="宋体"/>
                      <w:color w:val="auto"/>
                      <w:sz w:val="21"/>
                      <w:szCs w:val="21"/>
                    </w:rPr>
                  </w:pPr>
                  <w:r>
                    <w:rPr>
                      <w:rFonts w:ascii="Times New Roman" w:hAnsi="Times New Roman" w:cs="宋体"/>
                      <w:color w:val="auto"/>
                      <w:sz w:val="21"/>
                      <w:szCs w:val="21"/>
                    </w:rPr>
                    <w:t>否□</w:t>
                  </w:r>
                </w:p>
              </w:tc>
              <w:tc>
                <w:tcPr>
                  <w:tcW w:w="996" w:type="dxa"/>
                  <w:shd w:val="clear" w:color="auto" w:fill="auto"/>
                  <w:vAlign w:val="center"/>
                </w:tcPr>
                <w:p w14:paraId="40B4F7F3">
                  <w:pPr>
                    <w:adjustRightInd w:val="0"/>
                    <w:snapToGrid w:val="0"/>
                    <w:jc w:val="center"/>
                    <w:rPr>
                      <w:szCs w:val="21"/>
                    </w:rPr>
                  </w:pPr>
                  <w:r>
                    <w:rPr>
                      <w:rFonts w:hint="eastAsia"/>
                      <w:szCs w:val="21"/>
                    </w:rPr>
                    <w:t>10.5</w:t>
                  </w:r>
                </w:p>
                <w:p w14:paraId="03A7C13E">
                  <w:pPr>
                    <w:widowControl/>
                    <w:jc w:val="center"/>
                    <w:rPr>
                      <w:szCs w:val="21"/>
                    </w:rPr>
                  </w:pPr>
                  <w:r>
                    <w:rPr>
                      <w:rFonts w:hint="eastAsia"/>
                      <w:szCs w:val="21"/>
                    </w:rPr>
                    <w:t xml:space="preserve">（最大47） </w:t>
                  </w:r>
                </w:p>
              </w:tc>
              <w:tc>
                <w:tcPr>
                  <w:tcW w:w="996" w:type="dxa"/>
                  <w:shd w:val="clear" w:color="auto" w:fill="auto"/>
                  <w:vAlign w:val="center"/>
                </w:tcPr>
                <w:p w14:paraId="223AC75A">
                  <w:pPr>
                    <w:adjustRightInd w:val="0"/>
                    <w:snapToGrid w:val="0"/>
                    <w:jc w:val="center"/>
                    <w:rPr>
                      <w:szCs w:val="21"/>
                    </w:rPr>
                  </w:pPr>
                  <w:r>
                    <w:rPr>
                      <w:rFonts w:hint="eastAsia"/>
                      <w:szCs w:val="21"/>
                    </w:rPr>
                    <w:t>0.492</w:t>
                  </w:r>
                </w:p>
                <w:p w14:paraId="1D244AA9">
                  <w:pPr>
                    <w:widowControl/>
                    <w:jc w:val="center"/>
                    <w:rPr>
                      <w:szCs w:val="21"/>
                    </w:rPr>
                  </w:pPr>
                  <w:r>
                    <w:rPr>
                      <w:rFonts w:hint="eastAsia"/>
                      <w:szCs w:val="21"/>
                    </w:rPr>
                    <w:t>（最大2.189）</w:t>
                  </w:r>
                </w:p>
              </w:tc>
              <w:tc>
                <w:tcPr>
                  <w:tcW w:w="997" w:type="dxa"/>
                  <w:shd w:val="clear" w:color="auto" w:fill="auto"/>
                  <w:vAlign w:val="center"/>
                </w:tcPr>
                <w:p w14:paraId="55ED178A">
                  <w:pPr>
                    <w:widowControl/>
                    <w:jc w:val="center"/>
                    <w:rPr>
                      <w:szCs w:val="21"/>
                    </w:rPr>
                  </w:pPr>
                  <w:r>
                    <w:rPr>
                      <w:rFonts w:hint="eastAsia"/>
                      <w:szCs w:val="21"/>
                    </w:rPr>
                    <w:t>1.966</w:t>
                  </w:r>
                </w:p>
              </w:tc>
              <w:tc>
                <w:tcPr>
                  <w:tcW w:w="997" w:type="dxa"/>
                  <w:shd w:val="clear" w:color="auto" w:fill="auto"/>
                  <w:vAlign w:val="center"/>
                </w:tcPr>
                <w:p w14:paraId="799800E1">
                  <w:pPr>
                    <w:jc w:val="center"/>
                    <w:rPr>
                      <w:szCs w:val="21"/>
                    </w:rPr>
                  </w:pPr>
                  <w:r>
                    <w:rPr>
                      <w:rFonts w:hint="eastAsia"/>
                      <w:szCs w:val="21"/>
                    </w:rPr>
                    <w:t xml:space="preserve">0.683 </w:t>
                  </w:r>
                </w:p>
              </w:tc>
            </w:tr>
            <w:tr w14:paraId="32AE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4AADFBBF">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厂界</w:t>
                  </w:r>
                </w:p>
              </w:tc>
              <w:tc>
                <w:tcPr>
                  <w:tcW w:w="1276" w:type="dxa"/>
                  <w:shd w:val="clear" w:color="auto" w:fill="auto"/>
                  <w:vAlign w:val="center"/>
                </w:tcPr>
                <w:p w14:paraId="638EBB5F">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喷粉粉尘</w:t>
                  </w:r>
                </w:p>
              </w:tc>
              <w:tc>
                <w:tcPr>
                  <w:tcW w:w="995" w:type="dxa"/>
                  <w:shd w:val="clear" w:color="auto" w:fill="auto"/>
                  <w:vAlign w:val="center"/>
                </w:tcPr>
                <w:p w14:paraId="22487700">
                  <w:pPr>
                    <w:jc w:val="center"/>
                    <w:rPr>
                      <w:szCs w:val="21"/>
                    </w:rPr>
                  </w:pPr>
                  <w:r>
                    <w:rPr>
                      <w:rFonts w:hint="eastAsia"/>
                      <w:szCs w:val="21"/>
                    </w:rPr>
                    <w:t>4000</w:t>
                  </w:r>
                </w:p>
              </w:tc>
              <w:tc>
                <w:tcPr>
                  <w:tcW w:w="995" w:type="dxa"/>
                  <w:shd w:val="clear" w:color="auto" w:fill="auto"/>
                  <w:vAlign w:val="center"/>
                </w:tcPr>
                <w:p w14:paraId="5520977D">
                  <w:pPr>
                    <w:jc w:val="center"/>
                    <w:rPr>
                      <w:szCs w:val="21"/>
                    </w:rPr>
                  </w:pPr>
                  <w:r>
                    <w:rPr>
                      <w:szCs w:val="21"/>
                    </w:rPr>
                    <w:t>颗粒物</w:t>
                  </w:r>
                </w:p>
              </w:tc>
              <w:tc>
                <w:tcPr>
                  <w:tcW w:w="996" w:type="dxa"/>
                  <w:shd w:val="clear" w:color="auto" w:fill="auto"/>
                  <w:vAlign w:val="center"/>
                </w:tcPr>
                <w:p w14:paraId="3556E773">
                  <w:pPr>
                    <w:widowControl/>
                    <w:jc w:val="center"/>
                    <w:rPr>
                      <w:kern w:val="0"/>
                      <w:szCs w:val="21"/>
                    </w:rPr>
                  </w:pPr>
                  <w:r>
                    <w:rPr>
                      <w:rFonts w:hint="eastAsia"/>
                      <w:szCs w:val="21"/>
                    </w:rPr>
                    <w:t>0.01</w:t>
                  </w:r>
                </w:p>
              </w:tc>
              <w:tc>
                <w:tcPr>
                  <w:tcW w:w="996" w:type="dxa"/>
                  <w:shd w:val="clear" w:color="auto" w:fill="auto"/>
                  <w:vAlign w:val="center"/>
                </w:tcPr>
                <w:p w14:paraId="251FCDF9">
                  <w:pPr>
                    <w:jc w:val="center"/>
                    <w:rPr>
                      <w:szCs w:val="21"/>
                    </w:rPr>
                  </w:pPr>
                  <w:r>
                    <w:rPr>
                      <w:rFonts w:hint="eastAsia"/>
                      <w:szCs w:val="21"/>
                    </w:rPr>
                    <w:t>0.003</w:t>
                  </w:r>
                </w:p>
              </w:tc>
              <w:tc>
                <w:tcPr>
                  <w:tcW w:w="1544" w:type="dxa"/>
                  <w:shd w:val="clear" w:color="auto" w:fill="auto"/>
                  <w:vAlign w:val="center"/>
                </w:tcPr>
                <w:p w14:paraId="40CCBD20">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喷粉回收装置</w:t>
                  </w:r>
                </w:p>
              </w:tc>
              <w:tc>
                <w:tcPr>
                  <w:tcW w:w="1401" w:type="dxa"/>
                  <w:gridSpan w:val="2"/>
                  <w:shd w:val="clear" w:color="auto" w:fill="auto"/>
                  <w:vAlign w:val="center"/>
                </w:tcPr>
                <w:p w14:paraId="3FEFCC4D">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收集回收率99%</w:t>
                  </w:r>
                </w:p>
              </w:tc>
              <w:tc>
                <w:tcPr>
                  <w:tcW w:w="1038" w:type="dxa"/>
                  <w:shd w:val="clear" w:color="auto" w:fill="auto"/>
                  <w:vAlign w:val="center"/>
                </w:tcPr>
                <w:p w14:paraId="36DB7B15">
                  <w:pPr>
                    <w:pStyle w:val="77"/>
                    <w:jc w:val="center"/>
                    <w:rPr>
                      <w:rFonts w:ascii="Times New Roman" w:hAnsi="Times New Roman" w:cs="宋体"/>
                      <w:color w:val="auto"/>
                      <w:sz w:val="21"/>
                      <w:szCs w:val="21"/>
                    </w:rPr>
                  </w:pPr>
                  <w:r>
                    <w:rPr>
                      <w:rFonts w:ascii="Times New Roman" w:hAnsi="Times New Roman" w:cs="宋体"/>
                      <w:color w:val="auto"/>
                      <w:sz w:val="21"/>
                      <w:szCs w:val="21"/>
                    </w:rPr>
                    <w:t>是</w:t>
                  </w:r>
                  <w:r>
                    <w:rPr>
                      <w:rFonts w:ascii="Segoe UI Symbol" w:hAnsi="Segoe UI Symbol" w:cs="Segoe UI Symbol"/>
                      <w:color w:val="auto"/>
                      <w:sz w:val="21"/>
                      <w:szCs w:val="21"/>
                    </w:rPr>
                    <w:t>☑</w:t>
                  </w:r>
                </w:p>
                <w:p w14:paraId="29BDAE67">
                  <w:pPr>
                    <w:pStyle w:val="77"/>
                    <w:jc w:val="center"/>
                    <w:rPr>
                      <w:rFonts w:ascii="Times New Roman" w:hAnsi="Times New Roman" w:cs="宋体"/>
                      <w:color w:val="auto"/>
                      <w:sz w:val="21"/>
                      <w:szCs w:val="21"/>
                    </w:rPr>
                  </w:pPr>
                  <w:r>
                    <w:rPr>
                      <w:rFonts w:ascii="Times New Roman" w:hAnsi="Times New Roman" w:cs="宋体"/>
                      <w:color w:val="auto"/>
                      <w:sz w:val="21"/>
                      <w:szCs w:val="21"/>
                    </w:rPr>
                    <w:t>否□</w:t>
                  </w:r>
                </w:p>
              </w:tc>
              <w:tc>
                <w:tcPr>
                  <w:tcW w:w="996" w:type="dxa"/>
                  <w:shd w:val="clear" w:color="auto" w:fill="auto"/>
                  <w:vAlign w:val="center"/>
                </w:tcPr>
                <w:p w14:paraId="01143F1A">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w:t>
                  </w:r>
                </w:p>
              </w:tc>
              <w:tc>
                <w:tcPr>
                  <w:tcW w:w="996" w:type="dxa"/>
                  <w:shd w:val="clear" w:color="auto" w:fill="auto"/>
                  <w:vAlign w:val="center"/>
                </w:tcPr>
                <w:p w14:paraId="13A86389">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w:t>
                  </w:r>
                </w:p>
              </w:tc>
              <w:tc>
                <w:tcPr>
                  <w:tcW w:w="997" w:type="dxa"/>
                  <w:shd w:val="clear" w:color="auto" w:fill="auto"/>
                  <w:vAlign w:val="center"/>
                </w:tcPr>
                <w:p w14:paraId="30A6F977">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w:t>
                  </w:r>
                </w:p>
              </w:tc>
              <w:tc>
                <w:tcPr>
                  <w:tcW w:w="997" w:type="dxa"/>
                  <w:shd w:val="clear" w:color="auto" w:fill="auto"/>
                  <w:vAlign w:val="center"/>
                </w:tcPr>
                <w:p w14:paraId="0CE96767">
                  <w:pPr>
                    <w:jc w:val="center"/>
                    <w:rPr>
                      <w:szCs w:val="21"/>
                    </w:rPr>
                  </w:pPr>
                  <w:r>
                    <w:rPr>
                      <w:rFonts w:hint="eastAsia"/>
                      <w:szCs w:val="21"/>
                    </w:rPr>
                    <w:t>0.01</w:t>
                  </w:r>
                </w:p>
              </w:tc>
            </w:tr>
            <w:tr w14:paraId="3D63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52C6FCDA">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厂界</w:t>
                  </w:r>
                </w:p>
              </w:tc>
              <w:tc>
                <w:tcPr>
                  <w:tcW w:w="1276" w:type="dxa"/>
                  <w:shd w:val="clear" w:color="auto" w:fill="auto"/>
                  <w:vAlign w:val="center"/>
                </w:tcPr>
                <w:p w14:paraId="05FB9020">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过粘胶废气</w:t>
                  </w:r>
                </w:p>
              </w:tc>
              <w:tc>
                <w:tcPr>
                  <w:tcW w:w="995" w:type="dxa"/>
                  <w:shd w:val="clear" w:color="auto" w:fill="auto"/>
                  <w:vAlign w:val="center"/>
                </w:tcPr>
                <w:p w14:paraId="1F8E70A8">
                  <w:pPr>
                    <w:jc w:val="center"/>
                    <w:rPr>
                      <w:szCs w:val="21"/>
                    </w:rPr>
                  </w:pPr>
                  <w:r>
                    <w:rPr>
                      <w:rFonts w:hint="eastAsia"/>
                      <w:szCs w:val="21"/>
                    </w:rPr>
                    <w:t>5000</w:t>
                  </w:r>
                </w:p>
              </w:tc>
              <w:tc>
                <w:tcPr>
                  <w:tcW w:w="995" w:type="dxa"/>
                  <w:shd w:val="clear" w:color="auto" w:fill="auto"/>
                  <w:vAlign w:val="center"/>
                </w:tcPr>
                <w:p w14:paraId="4CE1A46A">
                  <w:pPr>
                    <w:widowControl/>
                    <w:jc w:val="center"/>
                    <w:rPr>
                      <w:szCs w:val="21"/>
                    </w:rPr>
                  </w:pPr>
                  <w:r>
                    <w:rPr>
                      <w:rFonts w:hint="eastAsia"/>
                      <w:szCs w:val="21"/>
                    </w:rPr>
                    <w:t>非甲烷总烃</w:t>
                  </w:r>
                </w:p>
              </w:tc>
              <w:tc>
                <w:tcPr>
                  <w:tcW w:w="996" w:type="dxa"/>
                  <w:shd w:val="clear" w:color="auto" w:fill="auto"/>
                  <w:vAlign w:val="center"/>
                </w:tcPr>
                <w:p w14:paraId="27E9CF07">
                  <w:pPr>
                    <w:adjustRightInd w:val="0"/>
                    <w:snapToGrid w:val="0"/>
                    <w:jc w:val="center"/>
                    <w:rPr>
                      <w:rFonts w:eastAsiaTheme="minorEastAsia"/>
                      <w:szCs w:val="21"/>
                    </w:rPr>
                  </w:pPr>
                  <w:r>
                    <w:rPr>
                      <w:rFonts w:hint="eastAsia" w:eastAsiaTheme="minorEastAsia"/>
                      <w:szCs w:val="21"/>
                    </w:rPr>
                    <w:t>0.6</w:t>
                  </w:r>
                </w:p>
              </w:tc>
              <w:tc>
                <w:tcPr>
                  <w:tcW w:w="996" w:type="dxa"/>
                  <w:shd w:val="clear" w:color="auto" w:fill="auto"/>
                  <w:vAlign w:val="center"/>
                </w:tcPr>
                <w:p w14:paraId="32E75F1E">
                  <w:pPr>
                    <w:adjustRightInd w:val="0"/>
                    <w:snapToGrid w:val="0"/>
                    <w:jc w:val="center"/>
                    <w:rPr>
                      <w:rFonts w:eastAsiaTheme="minorEastAsia"/>
                      <w:szCs w:val="21"/>
                    </w:rPr>
                  </w:pPr>
                  <w:r>
                    <w:rPr>
                      <w:rFonts w:hint="eastAsia" w:eastAsiaTheme="minorEastAsia"/>
                      <w:szCs w:val="21"/>
                    </w:rPr>
                    <w:t>0.12</w:t>
                  </w:r>
                </w:p>
              </w:tc>
              <w:tc>
                <w:tcPr>
                  <w:tcW w:w="1544" w:type="dxa"/>
                  <w:shd w:val="clear" w:color="auto" w:fill="auto"/>
                  <w:vAlign w:val="center"/>
                </w:tcPr>
                <w:p w14:paraId="4D46AB01">
                  <w:pPr>
                    <w:jc w:val="center"/>
                  </w:pPr>
                  <w:r>
                    <w:rPr>
                      <w:rFonts w:hint="eastAsia" w:cs="宋体"/>
                      <w:szCs w:val="21"/>
                    </w:rPr>
                    <w:t>厂房通风</w:t>
                  </w:r>
                </w:p>
              </w:tc>
              <w:tc>
                <w:tcPr>
                  <w:tcW w:w="700" w:type="dxa"/>
                  <w:shd w:val="clear" w:color="auto" w:fill="auto"/>
                  <w:vAlign w:val="center"/>
                </w:tcPr>
                <w:p w14:paraId="0D49C8E1">
                  <w:pPr>
                    <w:jc w:val="center"/>
                  </w:pPr>
                  <w:r>
                    <w:rPr>
                      <w:rFonts w:hint="eastAsia"/>
                      <w:szCs w:val="21"/>
                    </w:rPr>
                    <w:t>/</w:t>
                  </w:r>
                </w:p>
              </w:tc>
              <w:tc>
                <w:tcPr>
                  <w:tcW w:w="701" w:type="dxa"/>
                  <w:shd w:val="clear" w:color="auto" w:fill="auto"/>
                  <w:vAlign w:val="center"/>
                </w:tcPr>
                <w:p w14:paraId="6B22C638">
                  <w:pPr>
                    <w:jc w:val="center"/>
                  </w:pPr>
                  <w:r>
                    <w:rPr>
                      <w:rFonts w:hint="eastAsia"/>
                      <w:szCs w:val="21"/>
                    </w:rPr>
                    <w:t>/</w:t>
                  </w:r>
                </w:p>
              </w:tc>
              <w:tc>
                <w:tcPr>
                  <w:tcW w:w="1038" w:type="dxa"/>
                  <w:shd w:val="clear" w:color="auto" w:fill="auto"/>
                  <w:vAlign w:val="center"/>
                </w:tcPr>
                <w:p w14:paraId="71B5CC5B">
                  <w:pPr>
                    <w:jc w:val="center"/>
                  </w:pPr>
                  <w:r>
                    <w:rPr>
                      <w:rFonts w:hint="eastAsia"/>
                      <w:szCs w:val="21"/>
                    </w:rPr>
                    <w:t>/</w:t>
                  </w:r>
                </w:p>
              </w:tc>
              <w:tc>
                <w:tcPr>
                  <w:tcW w:w="996" w:type="dxa"/>
                  <w:shd w:val="clear" w:color="auto" w:fill="auto"/>
                  <w:vAlign w:val="center"/>
                </w:tcPr>
                <w:p w14:paraId="20A28BF8">
                  <w:pPr>
                    <w:jc w:val="center"/>
                  </w:pPr>
                  <w:r>
                    <w:rPr>
                      <w:rFonts w:hint="eastAsia"/>
                      <w:szCs w:val="21"/>
                    </w:rPr>
                    <w:t>/</w:t>
                  </w:r>
                </w:p>
              </w:tc>
              <w:tc>
                <w:tcPr>
                  <w:tcW w:w="996" w:type="dxa"/>
                  <w:shd w:val="clear" w:color="auto" w:fill="auto"/>
                  <w:vAlign w:val="center"/>
                </w:tcPr>
                <w:p w14:paraId="6183D5AC">
                  <w:pPr>
                    <w:jc w:val="center"/>
                  </w:pPr>
                  <w:r>
                    <w:rPr>
                      <w:rFonts w:hint="eastAsia"/>
                      <w:szCs w:val="21"/>
                    </w:rPr>
                    <w:t>/</w:t>
                  </w:r>
                </w:p>
              </w:tc>
              <w:tc>
                <w:tcPr>
                  <w:tcW w:w="997" w:type="dxa"/>
                  <w:shd w:val="clear" w:color="auto" w:fill="auto"/>
                  <w:vAlign w:val="center"/>
                </w:tcPr>
                <w:p w14:paraId="4B69616A">
                  <w:pPr>
                    <w:jc w:val="center"/>
                  </w:pPr>
                  <w:r>
                    <w:rPr>
                      <w:rFonts w:hint="eastAsia"/>
                      <w:szCs w:val="21"/>
                    </w:rPr>
                    <w:t>/</w:t>
                  </w:r>
                </w:p>
              </w:tc>
              <w:tc>
                <w:tcPr>
                  <w:tcW w:w="997" w:type="dxa"/>
                  <w:shd w:val="clear" w:color="auto" w:fill="auto"/>
                  <w:vAlign w:val="center"/>
                </w:tcPr>
                <w:p w14:paraId="704AF9BF">
                  <w:pPr>
                    <w:jc w:val="center"/>
                    <w:rPr>
                      <w:szCs w:val="21"/>
                    </w:rPr>
                  </w:pPr>
                  <w:r>
                    <w:rPr>
                      <w:rFonts w:hint="eastAsia"/>
                      <w:szCs w:val="21"/>
                    </w:rPr>
                    <w:t>0.6</w:t>
                  </w:r>
                </w:p>
              </w:tc>
            </w:tr>
            <w:tr w14:paraId="4298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restart"/>
                  <w:shd w:val="clear" w:color="auto" w:fill="auto"/>
                  <w:vAlign w:val="center"/>
                </w:tcPr>
                <w:p w14:paraId="2227C340">
                  <w:pPr>
                    <w:pStyle w:val="77"/>
                    <w:jc w:val="center"/>
                    <w:rPr>
                      <w:rFonts w:ascii="Times New Roman" w:hAnsi="Times New Roman" w:cs="宋体"/>
                      <w:color w:val="auto"/>
                      <w:sz w:val="21"/>
                      <w:szCs w:val="21"/>
                    </w:rPr>
                  </w:pPr>
                  <w:r>
                    <w:rPr>
                      <w:rFonts w:hint="eastAsia" w:ascii="Times New Roman" w:hAnsi="Times New Roman" w:cs="宋体"/>
                      <w:color w:val="auto"/>
                      <w:sz w:val="21"/>
                      <w:szCs w:val="21"/>
                    </w:rPr>
                    <w:t>食堂油烟</w:t>
                  </w:r>
                </w:p>
              </w:tc>
              <w:tc>
                <w:tcPr>
                  <w:tcW w:w="995" w:type="dxa"/>
                  <w:vMerge w:val="restart"/>
                  <w:shd w:val="clear" w:color="auto" w:fill="auto"/>
                  <w:vAlign w:val="center"/>
                </w:tcPr>
                <w:p w14:paraId="43B6F886">
                  <w:pPr>
                    <w:jc w:val="center"/>
                    <w:rPr>
                      <w:szCs w:val="21"/>
                    </w:rPr>
                  </w:pPr>
                  <w:r>
                    <w:rPr>
                      <w:rFonts w:hint="eastAsia"/>
                      <w:szCs w:val="21"/>
                    </w:rPr>
                    <w:t>1500</w:t>
                  </w:r>
                </w:p>
              </w:tc>
              <w:tc>
                <w:tcPr>
                  <w:tcW w:w="995" w:type="dxa"/>
                  <w:shd w:val="clear" w:color="auto" w:fill="auto"/>
                  <w:vAlign w:val="center"/>
                </w:tcPr>
                <w:p w14:paraId="36C66AFD">
                  <w:pPr>
                    <w:widowControl/>
                    <w:jc w:val="center"/>
                    <w:rPr>
                      <w:szCs w:val="21"/>
                    </w:rPr>
                  </w:pPr>
                  <w:r>
                    <w:rPr>
                      <w:rFonts w:hint="eastAsia"/>
                      <w:szCs w:val="21"/>
                    </w:rPr>
                    <w:t>油烟</w:t>
                  </w:r>
                </w:p>
              </w:tc>
              <w:tc>
                <w:tcPr>
                  <w:tcW w:w="996" w:type="dxa"/>
                  <w:shd w:val="clear" w:color="auto" w:fill="auto"/>
                  <w:vAlign w:val="center"/>
                </w:tcPr>
                <w:p w14:paraId="7B57FCD6">
                  <w:pPr>
                    <w:widowControl/>
                    <w:jc w:val="center"/>
                    <w:rPr>
                      <w:szCs w:val="21"/>
                    </w:rPr>
                  </w:pPr>
                  <w:r>
                    <w:rPr>
                      <w:rFonts w:hint="eastAsia"/>
                      <w:szCs w:val="21"/>
                    </w:rPr>
                    <w:t>0.225</w:t>
                  </w:r>
                </w:p>
              </w:tc>
              <w:tc>
                <w:tcPr>
                  <w:tcW w:w="996" w:type="dxa"/>
                  <w:shd w:val="clear" w:color="auto" w:fill="auto"/>
                  <w:vAlign w:val="center"/>
                </w:tcPr>
                <w:p w14:paraId="2F2F22A1">
                  <w:pPr>
                    <w:jc w:val="center"/>
                    <w:rPr>
                      <w:szCs w:val="21"/>
                    </w:rPr>
                  </w:pPr>
                  <w:r>
                    <w:rPr>
                      <w:rFonts w:hint="eastAsia"/>
                      <w:szCs w:val="21"/>
                    </w:rPr>
                    <w:t>0.15</w:t>
                  </w:r>
                </w:p>
              </w:tc>
              <w:tc>
                <w:tcPr>
                  <w:tcW w:w="1544" w:type="dxa"/>
                  <w:vMerge w:val="restart"/>
                  <w:shd w:val="clear" w:color="auto" w:fill="auto"/>
                  <w:vAlign w:val="center"/>
                </w:tcPr>
                <w:p w14:paraId="5FDFA5B5">
                  <w:pPr>
                    <w:jc w:val="center"/>
                    <w:rPr>
                      <w:rFonts w:cs="宋体"/>
                      <w:szCs w:val="21"/>
                    </w:rPr>
                  </w:pPr>
                  <w:r>
                    <w:rPr>
                      <w:rFonts w:hint="eastAsia" w:cs="宋体"/>
                      <w:szCs w:val="21"/>
                    </w:rPr>
                    <w:t>油烟净化器</w:t>
                  </w:r>
                </w:p>
              </w:tc>
              <w:tc>
                <w:tcPr>
                  <w:tcW w:w="700" w:type="dxa"/>
                  <w:vMerge w:val="restart"/>
                  <w:shd w:val="clear" w:color="auto" w:fill="auto"/>
                  <w:vAlign w:val="center"/>
                </w:tcPr>
                <w:p w14:paraId="262EE798">
                  <w:pPr>
                    <w:jc w:val="center"/>
                    <w:rPr>
                      <w:szCs w:val="21"/>
                    </w:rPr>
                  </w:pPr>
                  <w:r>
                    <w:rPr>
                      <w:rFonts w:hint="eastAsia"/>
                      <w:szCs w:val="21"/>
                    </w:rPr>
                    <w:t>/</w:t>
                  </w:r>
                </w:p>
              </w:tc>
              <w:tc>
                <w:tcPr>
                  <w:tcW w:w="701" w:type="dxa"/>
                  <w:shd w:val="clear" w:color="auto" w:fill="auto"/>
                  <w:vAlign w:val="center"/>
                </w:tcPr>
                <w:p w14:paraId="618BFBC6">
                  <w:pPr>
                    <w:jc w:val="center"/>
                    <w:rPr>
                      <w:szCs w:val="21"/>
                    </w:rPr>
                  </w:pPr>
                  <w:r>
                    <w:rPr>
                      <w:rFonts w:hint="eastAsia"/>
                      <w:szCs w:val="21"/>
                    </w:rPr>
                    <w:t>0.90</w:t>
                  </w:r>
                </w:p>
              </w:tc>
              <w:tc>
                <w:tcPr>
                  <w:tcW w:w="1038" w:type="dxa"/>
                  <w:vMerge w:val="restart"/>
                  <w:shd w:val="clear" w:color="auto" w:fill="auto"/>
                  <w:vAlign w:val="center"/>
                </w:tcPr>
                <w:p w14:paraId="2F60A613">
                  <w:pPr>
                    <w:jc w:val="center"/>
                    <w:rPr>
                      <w:szCs w:val="21"/>
                    </w:rPr>
                  </w:pPr>
                  <w:r>
                    <w:rPr>
                      <w:rFonts w:hint="eastAsia"/>
                      <w:szCs w:val="21"/>
                    </w:rPr>
                    <w:t>/</w:t>
                  </w:r>
                </w:p>
              </w:tc>
              <w:tc>
                <w:tcPr>
                  <w:tcW w:w="996" w:type="dxa"/>
                  <w:shd w:val="clear" w:color="auto" w:fill="auto"/>
                  <w:vAlign w:val="center"/>
                </w:tcPr>
                <w:p w14:paraId="37ACB5D6">
                  <w:pPr>
                    <w:jc w:val="center"/>
                    <w:rPr>
                      <w:szCs w:val="21"/>
                    </w:rPr>
                  </w:pPr>
                  <w:r>
                    <w:rPr>
                      <w:rFonts w:hint="eastAsia"/>
                      <w:szCs w:val="21"/>
                    </w:rPr>
                    <w:t>0.85</w:t>
                  </w:r>
                </w:p>
              </w:tc>
              <w:tc>
                <w:tcPr>
                  <w:tcW w:w="996" w:type="dxa"/>
                  <w:shd w:val="clear" w:color="auto" w:fill="auto"/>
                  <w:vAlign w:val="center"/>
                </w:tcPr>
                <w:p w14:paraId="633099CD">
                  <w:pPr>
                    <w:jc w:val="center"/>
                    <w:rPr>
                      <w:szCs w:val="21"/>
                    </w:rPr>
                  </w:pPr>
                  <w:r>
                    <w:rPr>
                      <w:rFonts w:hint="eastAsia"/>
                      <w:szCs w:val="21"/>
                    </w:rPr>
                    <w:t>0.015</w:t>
                  </w:r>
                </w:p>
              </w:tc>
              <w:tc>
                <w:tcPr>
                  <w:tcW w:w="997" w:type="dxa"/>
                  <w:shd w:val="clear" w:color="auto" w:fill="auto"/>
                  <w:vAlign w:val="center"/>
                </w:tcPr>
                <w:p w14:paraId="2E1427EE">
                  <w:pPr>
                    <w:jc w:val="center"/>
                    <w:rPr>
                      <w:szCs w:val="21"/>
                    </w:rPr>
                  </w:pPr>
                  <w:r>
                    <w:rPr>
                      <w:rFonts w:hint="eastAsia"/>
                      <w:szCs w:val="21"/>
                    </w:rPr>
                    <w:t>0.023</w:t>
                  </w:r>
                </w:p>
              </w:tc>
              <w:tc>
                <w:tcPr>
                  <w:tcW w:w="997" w:type="dxa"/>
                  <w:shd w:val="clear" w:color="auto" w:fill="auto"/>
                  <w:vAlign w:val="center"/>
                </w:tcPr>
                <w:p w14:paraId="034F6326">
                  <w:pPr>
                    <w:jc w:val="center"/>
                    <w:rPr>
                      <w:szCs w:val="21"/>
                    </w:rPr>
                  </w:pPr>
                  <w:r>
                    <w:rPr>
                      <w:rFonts w:hint="eastAsia"/>
                      <w:szCs w:val="21"/>
                    </w:rPr>
                    <w:t>/</w:t>
                  </w:r>
                </w:p>
              </w:tc>
            </w:tr>
            <w:tr w14:paraId="4C66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vMerge w:val="continue"/>
                  <w:shd w:val="clear" w:color="auto" w:fill="auto"/>
                  <w:vAlign w:val="center"/>
                </w:tcPr>
                <w:p w14:paraId="1DAFBDB6">
                  <w:pPr>
                    <w:pStyle w:val="77"/>
                    <w:jc w:val="center"/>
                    <w:rPr>
                      <w:rFonts w:ascii="Times New Roman" w:hAnsi="Times New Roman" w:cs="宋体"/>
                      <w:color w:val="auto"/>
                      <w:sz w:val="21"/>
                      <w:szCs w:val="21"/>
                    </w:rPr>
                  </w:pPr>
                </w:p>
              </w:tc>
              <w:tc>
                <w:tcPr>
                  <w:tcW w:w="995" w:type="dxa"/>
                  <w:vMerge w:val="continue"/>
                  <w:shd w:val="clear" w:color="auto" w:fill="auto"/>
                  <w:vAlign w:val="center"/>
                </w:tcPr>
                <w:p w14:paraId="67E0FC98">
                  <w:pPr>
                    <w:jc w:val="center"/>
                    <w:rPr>
                      <w:szCs w:val="21"/>
                    </w:rPr>
                  </w:pPr>
                </w:p>
              </w:tc>
              <w:tc>
                <w:tcPr>
                  <w:tcW w:w="995" w:type="dxa"/>
                  <w:shd w:val="clear" w:color="auto" w:fill="auto"/>
                  <w:vAlign w:val="center"/>
                </w:tcPr>
                <w:p w14:paraId="662CEAF4">
                  <w:pPr>
                    <w:widowControl/>
                    <w:jc w:val="center"/>
                    <w:rPr>
                      <w:szCs w:val="21"/>
                    </w:rPr>
                  </w:pPr>
                  <w:r>
                    <w:rPr>
                      <w:rFonts w:hint="eastAsia"/>
                      <w:szCs w:val="21"/>
                    </w:rPr>
                    <w:t>非甲烷总烃</w:t>
                  </w:r>
                </w:p>
              </w:tc>
              <w:tc>
                <w:tcPr>
                  <w:tcW w:w="996" w:type="dxa"/>
                  <w:shd w:val="clear" w:color="auto" w:fill="auto"/>
                  <w:vAlign w:val="center"/>
                </w:tcPr>
                <w:p w14:paraId="4DE824CC">
                  <w:pPr>
                    <w:widowControl/>
                    <w:jc w:val="center"/>
                    <w:rPr>
                      <w:szCs w:val="21"/>
                    </w:rPr>
                  </w:pPr>
                  <w:r>
                    <w:rPr>
                      <w:rFonts w:hint="eastAsia"/>
                      <w:szCs w:val="21"/>
                    </w:rPr>
                    <w:t>0.405</w:t>
                  </w:r>
                </w:p>
              </w:tc>
              <w:tc>
                <w:tcPr>
                  <w:tcW w:w="996" w:type="dxa"/>
                  <w:shd w:val="clear" w:color="auto" w:fill="auto"/>
                  <w:vAlign w:val="center"/>
                </w:tcPr>
                <w:p w14:paraId="0375FA78">
                  <w:pPr>
                    <w:jc w:val="center"/>
                    <w:rPr>
                      <w:szCs w:val="21"/>
                    </w:rPr>
                  </w:pPr>
                  <w:r>
                    <w:rPr>
                      <w:rFonts w:hint="eastAsia"/>
                      <w:szCs w:val="21"/>
                    </w:rPr>
                    <w:t>0.27</w:t>
                  </w:r>
                </w:p>
              </w:tc>
              <w:tc>
                <w:tcPr>
                  <w:tcW w:w="1544" w:type="dxa"/>
                  <w:vMerge w:val="continue"/>
                  <w:shd w:val="clear" w:color="auto" w:fill="auto"/>
                  <w:vAlign w:val="center"/>
                </w:tcPr>
                <w:p w14:paraId="05A05FA4">
                  <w:pPr>
                    <w:jc w:val="center"/>
                    <w:rPr>
                      <w:rFonts w:cs="宋体"/>
                      <w:szCs w:val="21"/>
                    </w:rPr>
                  </w:pPr>
                </w:p>
              </w:tc>
              <w:tc>
                <w:tcPr>
                  <w:tcW w:w="700" w:type="dxa"/>
                  <w:vMerge w:val="continue"/>
                  <w:shd w:val="clear" w:color="auto" w:fill="auto"/>
                  <w:vAlign w:val="center"/>
                </w:tcPr>
                <w:p w14:paraId="22E449E6">
                  <w:pPr>
                    <w:jc w:val="center"/>
                    <w:rPr>
                      <w:szCs w:val="21"/>
                    </w:rPr>
                  </w:pPr>
                </w:p>
              </w:tc>
              <w:tc>
                <w:tcPr>
                  <w:tcW w:w="701" w:type="dxa"/>
                  <w:shd w:val="clear" w:color="auto" w:fill="auto"/>
                  <w:vAlign w:val="center"/>
                </w:tcPr>
                <w:p w14:paraId="7F0470D2">
                  <w:pPr>
                    <w:jc w:val="center"/>
                    <w:rPr>
                      <w:szCs w:val="21"/>
                    </w:rPr>
                  </w:pPr>
                  <w:r>
                    <w:rPr>
                      <w:rFonts w:hint="eastAsia"/>
                      <w:szCs w:val="21"/>
                    </w:rPr>
                    <w:t>0.75</w:t>
                  </w:r>
                </w:p>
              </w:tc>
              <w:tc>
                <w:tcPr>
                  <w:tcW w:w="1038" w:type="dxa"/>
                  <w:vMerge w:val="continue"/>
                  <w:shd w:val="clear" w:color="auto" w:fill="auto"/>
                  <w:vAlign w:val="center"/>
                </w:tcPr>
                <w:p w14:paraId="3225016C">
                  <w:pPr>
                    <w:jc w:val="center"/>
                    <w:rPr>
                      <w:szCs w:val="21"/>
                    </w:rPr>
                  </w:pPr>
                </w:p>
              </w:tc>
              <w:tc>
                <w:tcPr>
                  <w:tcW w:w="996" w:type="dxa"/>
                  <w:shd w:val="clear" w:color="auto" w:fill="auto"/>
                  <w:vAlign w:val="center"/>
                </w:tcPr>
                <w:p w14:paraId="3719E0EB">
                  <w:pPr>
                    <w:jc w:val="center"/>
                    <w:rPr>
                      <w:szCs w:val="21"/>
                    </w:rPr>
                  </w:pPr>
                  <w:r>
                    <w:rPr>
                      <w:rFonts w:hint="eastAsia"/>
                      <w:szCs w:val="21"/>
                    </w:rPr>
                    <w:t>3.74</w:t>
                  </w:r>
                </w:p>
              </w:tc>
              <w:tc>
                <w:tcPr>
                  <w:tcW w:w="996" w:type="dxa"/>
                  <w:shd w:val="clear" w:color="auto" w:fill="auto"/>
                  <w:vAlign w:val="center"/>
                </w:tcPr>
                <w:p w14:paraId="6404C3BF">
                  <w:pPr>
                    <w:jc w:val="center"/>
                    <w:rPr>
                      <w:szCs w:val="21"/>
                    </w:rPr>
                  </w:pPr>
                  <w:r>
                    <w:rPr>
                      <w:rFonts w:hint="eastAsia"/>
                      <w:szCs w:val="21"/>
                    </w:rPr>
                    <w:t>0.067</w:t>
                  </w:r>
                </w:p>
              </w:tc>
              <w:tc>
                <w:tcPr>
                  <w:tcW w:w="997" w:type="dxa"/>
                  <w:shd w:val="clear" w:color="auto" w:fill="auto"/>
                  <w:vAlign w:val="center"/>
                </w:tcPr>
                <w:p w14:paraId="3E4059B8">
                  <w:pPr>
                    <w:jc w:val="center"/>
                    <w:rPr>
                      <w:szCs w:val="21"/>
                    </w:rPr>
                  </w:pPr>
                  <w:r>
                    <w:rPr>
                      <w:rFonts w:hint="eastAsia"/>
                      <w:szCs w:val="21"/>
                    </w:rPr>
                    <w:t>0.101</w:t>
                  </w:r>
                </w:p>
              </w:tc>
              <w:tc>
                <w:tcPr>
                  <w:tcW w:w="997" w:type="dxa"/>
                  <w:shd w:val="clear" w:color="auto" w:fill="auto"/>
                  <w:vAlign w:val="center"/>
                </w:tcPr>
                <w:p w14:paraId="7446F29B">
                  <w:pPr>
                    <w:jc w:val="center"/>
                    <w:rPr>
                      <w:szCs w:val="21"/>
                    </w:rPr>
                  </w:pPr>
                  <w:r>
                    <w:rPr>
                      <w:rFonts w:hint="eastAsia"/>
                      <w:szCs w:val="21"/>
                    </w:rPr>
                    <w:t>/</w:t>
                  </w:r>
                </w:p>
              </w:tc>
            </w:tr>
            <w:tr w14:paraId="1423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7" w:type="dxa"/>
                  <w:gridSpan w:val="14"/>
                  <w:shd w:val="clear" w:color="auto" w:fill="auto"/>
                  <w:vAlign w:val="center"/>
                </w:tcPr>
                <w:p w14:paraId="2C9FF88E">
                  <w:pPr>
                    <w:jc w:val="left"/>
                    <w:rPr>
                      <w:szCs w:val="21"/>
                    </w:rPr>
                  </w:pPr>
                  <w:r>
                    <w:rPr>
                      <w:szCs w:val="21"/>
                    </w:rPr>
                    <w:t>注：</w:t>
                  </w:r>
                  <w:r>
                    <w:rPr>
                      <w:rFonts w:hint="eastAsia"/>
                      <w:spacing w:val="-4"/>
                      <w:szCs w:val="21"/>
                    </w:rPr>
                    <w:t>最大速率、浓度考虑CTP印刷版每天集中擦拭3h的最大排放速率和排放浓度</w:t>
                  </w:r>
                </w:p>
              </w:tc>
            </w:tr>
          </w:tbl>
          <w:p w14:paraId="1EDA1793">
            <w:pPr>
              <w:pStyle w:val="20"/>
              <w:spacing w:before="0" w:beforeAutospacing="0" w:after="0" w:afterAutospacing="0" w:line="480" w:lineRule="exact"/>
              <w:jc w:val="center"/>
              <w:outlineLvl w:val="0"/>
              <w:rPr>
                <w:rFonts w:ascii="Times New Roman"/>
                <w:b/>
                <w:snapToGrid w:val="0"/>
                <w:sz w:val="21"/>
                <w:szCs w:val="21"/>
              </w:rPr>
            </w:pPr>
          </w:p>
          <w:p w14:paraId="239683E0">
            <w:pPr>
              <w:adjustRightInd w:val="0"/>
              <w:snapToGrid w:val="0"/>
              <w:rPr>
                <w:rFonts w:ascii="宋体" w:hAnsi="宋体" w:cs="宋体"/>
                <w:b/>
                <w:bCs/>
                <w:spacing w:val="-10"/>
                <w:sz w:val="24"/>
              </w:rPr>
            </w:pPr>
          </w:p>
          <w:p w14:paraId="7C0DF841">
            <w:pPr>
              <w:overflowPunct w:val="0"/>
              <w:jc w:val="center"/>
              <w:rPr>
                <w:sz w:val="24"/>
              </w:rPr>
            </w:pPr>
          </w:p>
        </w:tc>
      </w:tr>
    </w:tbl>
    <w:p w14:paraId="5DF7C269">
      <w:pPr>
        <w:adjustRightInd w:val="0"/>
        <w:snapToGrid w:val="0"/>
        <w:spacing w:line="360" w:lineRule="auto"/>
        <w:rPr>
          <w:rFonts w:ascii="宋体" w:cs="宋体"/>
          <w:b/>
          <w:kern w:val="0"/>
          <w:sz w:val="28"/>
          <w:szCs w:val="28"/>
        </w:rPr>
        <w:sectPr>
          <w:pgSz w:w="16840" w:h="11907" w:orient="landscape"/>
          <w:pgMar w:top="1418" w:right="1418" w:bottom="1418" w:left="1418" w:header="851" w:footer="851" w:gutter="0"/>
          <w:cols w:space="720" w:num="1"/>
          <w:docGrid w:linePitch="312" w:charSpace="0"/>
        </w:sect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2"/>
        <w:gridCol w:w="8915"/>
      </w:tblGrid>
      <w:tr w14:paraId="64133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50" w:type="dxa"/>
            <w:tcMar>
              <w:left w:w="28" w:type="dxa"/>
              <w:right w:w="28" w:type="dxa"/>
            </w:tcMar>
            <w:vAlign w:val="center"/>
          </w:tcPr>
          <w:p w14:paraId="369CB042">
            <w:pPr>
              <w:adjustRightInd w:val="0"/>
              <w:snapToGrid w:val="0"/>
              <w:jc w:val="center"/>
              <w:rPr>
                <w:rFonts w:ascii="宋体" w:hAnsi="宋体" w:cs="宋体"/>
                <w:bCs/>
                <w:sz w:val="24"/>
              </w:rPr>
            </w:pPr>
            <w:r>
              <w:rPr>
                <w:rFonts w:hint="eastAsia" w:ascii="宋体" w:hAnsi="宋体" w:cs="宋体"/>
                <w:bCs/>
                <w:sz w:val="24"/>
              </w:rPr>
              <w:t>运营</w:t>
            </w:r>
          </w:p>
          <w:p w14:paraId="74F7D963">
            <w:pPr>
              <w:adjustRightInd w:val="0"/>
              <w:snapToGrid w:val="0"/>
              <w:jc w:val="center"/>
              <w:rPr>
                <w:rFonts w:ascii="宋体" w:hAnsi="宋体" w:cs="宋体"/>
                <w:bCs/>
                <w:sz w:val="24"/>
              </w:rPr>
            </w:pPr>
            <w:r>
              <w:rPr>
                <w:rFonts w:hint="eastAsia" w:ascii="宋体" w:hAnsi="宋体" w:cs="宋体"/>
                <w:bCs/>
                <w:sz w:val="24"/>
              </w:rPr>
              <w:t>期环</w:t>
            </w:r>
          </w:p>
          <w:p w14:paraId="354785B3">
            <w:pPr>
              <w:adjustRightInd w:val="0"/>
              <w:snapToGrid w:val="0"/>
              <w:jc w:val="center"/>
              <w:rPr>
                <w:rFonts w:ascii="宋体" w:hAnsi="宋体" w:cs="宋体"/>
                <w:bCs/>
                <w:sz w:val="24"/>
              </w:rPr>
            </w:pPr>
            <w:r>
              <w:rPr>
                <w:rFonts w:hint="eastAsia" w:ascii="宋体" w:hAnsi="宋体" w:cs="宋体"/>
                <w:bCs/>
                <w:sz w:val="24"/>
              </w:rPr>
              <w:t>境影</w:t>
            </w:r>
          </w:p>
          <w:p w14:paraId="765A2EE3">
            <w:pPr>
              <w:adjustRightInd w:val="0"/>
              <w:snapToGrid w:val="0"/>
              <w:jc w:val="center"/>
              <w:rPr>
                <w:rFonts w:ascii="宋体" w:hAnsi="宋体" w:cs="宋体"/>
                <w:bCs/>
                <w:sz w:val="24"/>
              </w:rPr>
            </w:pPr>
            <w:r>
              <w:rPr>
                <w:rFonts w:hint="eastAsia" w:ascii="宋体" w:hAnsi="宋体" w:cs="宋体"/>
                <w:bCs/>
                <w:sz w:val="24"/>
              </w:rPr>
              <w:t>响和</w:t>
            </w:r>
          </w:p>
          <w:p w14:paraId="7EF1ECDC">
            <w:pPr>
              <w:adjustRightInd w:val="0"/>
              <w:snapToGrid w:val="0"/>
              <w:jc w:val="center"/>
              <w:rPr>
                <w:rFonts w:ascii="宋体" w:hAnsi="宋体" w:cs="宋体"/>
                <w:bCs/>
                <w:sz w:val="24"/>
              </w:rPr>
            </w:pPr>
            <w:r>
              <w:rPr>
                <w:rFonts w:hint="eastAsia" w:ascii="宋体" w:hAnsi="宋体" w:cs="宋体"/>
                <w:bCs/>
                <w:sz w:val="24"/>
              </w:rPr>
              <w:t>保护</w:t>
            </w:r>
          </w:p>
          <w:p w14:paraId="7C5312B4">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8757" w:type="dxa"/>
            <w:vAlign w:val="center"/>
          </w:tcPr>
          <w:p w14:paraId="79D5386E">
            <w:pPr>
              <w:adjustRightInd w:val="0"/>
              <w:snapToGrid w:val="0"/>
              <w:spacing w:line="480" w:lineRule="exact"/>
              <w:ind w:firstLine="442" w:firstLineChars="200"/>
              <w:rPr>
                <w:b/>
                <w:spacing w:val="-10"/>
                <w:sz w:val="24"/>
              </w:rPr>
            </w:pPr>
            <w:r>
              <w:rPr>
                <w:b/>
                <w:spacing w:val="-10"/>
                <w:sz w:val="24"/>
              </w:rPr>
              <w:t>4.2.2</w:t>
            </w:r>
            <w:r>
              <w:rPr>
                <w:rFonts w:hint="eastAsia"/>
                <w:b/>
                <w:spacing w:val="-10"/>
                <w:sz w:val="24"/>
              </w:rPr>
              <w:t>.2 废气源强核算阐述</w:t>
            </w:r>
          </w:p>
          <w:p w14:paraId="10E44A05">
            <w:pPr>
              <w:adjustRightInd w:val="0"/>
              <w:snapToGrid w:val="0"/>
              <w:spacing w:line="480" w:lineRule="exact"/>
              <w:ind w:firstLine="480" w:firstLineChars="200"/>
              <w:jc w:val="left"/>
              <w:rPr>
                <w:sz w:val="24"/>
              </w:rPr>
            </w:pPr>
            <w:r>
              <w:rPr>
                <w:rFonts w:hint="eastAsia"/>
                <w:sz w:val="24"/>
              </w:rPr>
              <w:t>拟建项目投入使用后，大气污染主要为印刷废气(G1)、润版液废气（G2）、CTP印刷版、胶辊清洁废气（G3）、喷粉粉尘（G4）、过油废气（G5）、粘胶废气（G6）、食堂油烟及生化池臭气。</w:t>
            </w:r>
          </w:p>
          <w:p w14:paraId="3F307567">
            <w:pPr>
              <w:autoSpaceDE w:val="0"/>
              <w:autoSpaceDN w:val="0"/>
              <w:adjustRightInd w:val="0"/>
              <w:spacing w:line="480" w:lineRule="exact"/>
              <w:ind w:firstLine="480" w:firstLineChars="200"/>
              <w:jc w:val="left"/>
              <w:rPr>
                <w:rFonts w:eastAsiaTheme="minorEastAsia"/>
                <w:sz w:val="24"/>
              </w:rPr>
            </w:pPr>
            <w:r>
              <w:rPr>
                <w:rFonts w:hint="eastAsia"/>
                <w:sz w:val="24"/>
              </w:rPr>
              <w:t>印刷废气、润版液废气、CTP印刷版、胶辊清洁废气、过油废气、粘胶废气</w:t>
            </w:r>
            <w:r>
              <w:rPr>
                <w:rFonts w:hAnsiTheme="minorEastAsia" w:eastAsiaTheme="minorEastAsia"/>
                <w:kern w:val="0"/>
                <w:sz w:val="24"/>
              </w:rPr>
              <w:t>均为有机废气，根据《印刷工业污染防治可行技术指南》（</w:t>
            </w:r>
            <w:r>
              <w:rPr>
                <w:rFonts w:eastAsiaTheme="minorEastAsia"/>
                <w:kern w:val="0"/>
                <w:sz w:val="24"/>
              </w:rPr>
              <w:t>HJ1089-2020</w:t>
            </w:r>
            <w:r>
              <w:rPr>
                <w:rFonts w:hAnsiTheme="minorEastAsia" w:eastAsiaTheme="minorEastAsia"/>
                <w:kern w:val="0"/>
                <w:sz w:val="24"/>
              </w:rPr>
              <w:t>）和《包装印刷业大气污染物排放标准》（</w:t>
            </w:r>
            <w:r>
              <w:rPr>
                <w:rFonts w:eastAsiaTheme="minorEastAsia"/>
                <w:kern w:val="0"/>
                <w:sz w:val="24"/>
              </w:rPr>
              <w:t>DB50/758-2017</w:t>
            </w:r>
            <w:r>
              <w:rPr>
                <w:rFonts w:hAnsiTheme="minorEastAsia" w:eastAsiaTheme="minorEastAsia"/>
                <w:kern w:val="0"/>
                <w:sz w:val="24"/>
              </w:rPr>
              <w:t>），本项目选择以</w:t>
            </w:r>
            <w:r>
              <w:rPr>
                <w:rFonts w:eastAsiaTheme="minorEastAsia"/>
                <w:kern w:val="0"/>
                <w:sz w:val="24"/>
              </w:rPr>
              <w:t>“</w:t>
            </w:r>
            <w:r>
              <w:rPr>
                <w:rFonts w:hAnsiTheme="minorEastAsia" w:eastAsiaTheme="minorEastAsia"/>
                <w:kern w:val="0"/>
                <w:sz w:val="24"/>
              </w:rPr>
              <w:t>非甲烷总烃</w:t>
            </w:r>
            <w:r>
              <w:rPr>
                <w:rFonts w:eastAsiaTheme="minorEastAsia"/>
                <w:kern w:val="0"/>
                <w:sz w:val="24"/>
              </w:rPr>
              <w:t>”</w:t>
            </w:r>
            <w:r>
              <w:rPr>
                <w:rFonts w:hAnsiTheme="minorEastAsia" w:eastAsiaTheme="minorEastAsia"/>
                <w:kern w:val="0"/>
                <w:sz w:val="24"/>
              </w:rPr>
              <w:t>作为挥发性有机物的综合性控制指标，以表征</w:t>
            </w:r>
            <w:r>
              <w:rPr>
                <w:rFonts w:eastAsiaTheme="minorEastAsia"/>
                <w:kern w:val="0"/>
                <w:sz w:val="24"/>
              </w:rPr>
              <w:t xml:space="preserve">VOCs </w:t>
            </w:r>
            <w:r>
              <w:rPr>
                <w:rFonts w:hAnsiTheme="minorEastAsia" w:eastAsiaTheme="minorEastAsia"/>
                <w:kern w:val="0"/>
                <w:sz w:val="24"/>
              </w:rPr>
              <w:t>的总体排放情况。</w:t>
            </w:r>
          </w:p>
          <w:p w14:paraId="2AC3DF96">
            <w:pPr>
              <w:adjustRightInd w:val="0"/>
              <w:snapToGrid w:val="0"/>
              <w:spacing w:line="480" w:lineRule="exact"/>
              <w:ind w:firstLine="482" w:firstLineChars="200"/>
              <w:rPr>
                <w:b/>
                <w:sz w:val="24"/>
              </w:rPr>
            </w:pPr>
            <w:r>
              <w:rPr>
                <w:rFonts w:hint="eastAsia"/>
                <w:b/>
                <w:sz w:val="24"/>
              </w:rPr>
              <w:t>（1）印刷废气</w:t>
            </w:r>
            <w:r>
              <w:rPr>
                <w:rFonts w:hAnsi="宋体"/>
                <w:b/>
                <w:sz w:val="24"/>
              </w:rPr>
              <w:t>（</w:t>
            </w:r>
            <w:r>
              <w:rPr>
                <w:b/>
                <w:sz w:val="24"/>
              </w:rPr>
              <w:t>G</w:t>
            </w:r>
            <w:r>
              <w:rPr>
                <w:rFonts w:hint="eastAsia"/>
                <w:b/>
                <w:sz w:val="24"/>
              </w:rPr>
              <w:t>1</w:t>
            </w:r>
            <w:r>
              <w:rPr>
                <w:rFonts w:hAnsi="宋体"/>
                <w:b/>
                <w:sz w:val="24"/>
              </w:rPr>
              <w:t>）</w:t>
            </w:r>
            <w:r>
              <w:rPr>
                <w:rFonts w:hint="eastAsia" w:hAnsi="宋体"/>
                <w:b/>
                <w:sz w:val="24"/>
              </w:rPr>
              <w:t>、</w:t>
            </w:r>
            <w:r>
              <w:rPr>
                <w:rFonts w:hAnsi="宋体"/>
                <w:b/>
                <w:sz w:val="24"/>
              </w:rPr>
              <w:t>润版液废气（</w:t>
            </w:r>
            <w:r>
              <w:rPr>
                <w:b/>
                <w:sz w:val="24"/>
              </w:rPr>
              <w:t>G2</w:t>
            </w:r>
            <w:r>
              <w:rPr>
                <w:rFonts w:hAnsi="宋体"/>
                <w:b/>
                <w:sz w:val="24"/>
              </w:rPr>
              <w:t>）</w:t>
            </w:r>
            <w:r>
              <w:rPr>
                <w:rFonts w:hint="eastAsia" w:hAnsi="宋体"/>
                <w:b/>
                <w:sz w:val="24"/>
              </w:rPr>
              <w:t>、</w:t>
            </w:r>
            <w:r>
              <w:rPr>
                <w:rFonts w:hint="eastAsia"/>
                <w:b/>
                <w:sz w:val="24"/>
              </w:rPr>
              <w:t>CTP印刷版、胶辊清洁废气</w:t>
            </w:r>
            <w:r>
              <w:rPr>
                <w:rFonts w:hAnsi="宋体"/>
                <w:b/>
                <w:sz w:val="24"/>
              </w:rPr>
              <w:t>（</w:t>
            </w:r>
            <w:r>
              <w:rPr>
                <w:b/>
                <w:sz w:val="24"/>
              </w:rPr>
              <w:t>G</w:t>
            </w:r>
            <w:r>
              <w:rPr>
                <w:rFonts w:hint="eastAsia"/>
                <w:b/>
                <w:sz w:val="24"/>
              </w:rPr>
              <w:t>3</w:t>
            </w:r>
            <w:r>
              <w:rPr>
                <w:rFonts w:hAnsi="宋体"/>
                <w:b/>
                <w:sz w:val="24"/>
              </w:rPr>
              <w:t>）</w:t>
            </w:r>
          </w:p>
          <w:p w14:paraId="3F91DAAA">
            <w:pPr>
              <w:autoSpaceDE w:val="0"/>
              <w:autoSpaceDN w:val="0"/>
              <w:adjustRightInd w:val="0"/>
              <w:spacing w:line="480" w:lineRule="exact"/>
              <w:ind w:firstLine="480" w:firstLineChars="200"/>
              <w:jc w:val="left"/>
              <w:rPr>
                <w:sz w:val="24"/>
              </w:rPr>
            </w:pPr>
            <w:r>
              <w:rPr>
                <w:rFonts w:hAnsi="宋体"/>
                <w:sz w:val="24"/>
              </w:rPr>
              <w:t>项目使用的印刷油墨为成品油墨，直接印刷，不需调墨，不产生调墨废气。</w:t>
            </w:r>
            <w:r>
              <w:rPr>
                <w:rFonts w:hAnsi="宋体"/>
                <w:kern w:val="0"/>
                <w:sz w:val="24"/>
              </w:rPr>
              <w:t>根据《第二次全国污染源普查</w:t>
            </w:r>
            <w:r>
              <w:rPr>
                <w:rFonts w:hint="eastAsia" w:hAnsi="宋体"/>
                <w:kern w:val="0"/>
                <w:sz w:val="24"/>
              </w:rPr>
              <w:t xml:space="preserve"> </w:t>
            </w:r>
            <w:r>
              <w:rPr>
                <w:rFonts w:hAnsi="宋体"/>
                <w:kern w:val="0"/>
                <w:sz w:val="24"/>
              </w:rPr>
              <w:t>工业</w:t>
            </w:r>
            <w:r>
              <w:rPr>
                <w:rFonts w:hint="eastAsia" w:hAnsi="宋体"/>
                <w:kern w:val="0"/>
                <w:sz w:val="24"/>
              </w:rPr>
              <w:t>源</w:t>
            </w:r>
            <w:r>
              <w:rPr>
                <w:rFonts w:hAnsi="宋体"/>
                <w:kern w:val="0"/>
                <w:sz w:val="24"/>
              </w:rPr>
              <w:t>系数手册》</w:t>
            </w:r>
            <w:r>
              <w:rPr>
                <w:rFonts w:hint="eastAsia" w:hAnsi="宋体"/>
                <w:kern w:val="0"/>
                <w:sz w:val="24"/>
              </w:rPr>
              <w:t>中“23 印刷和记录媒介复制行业系数手册”—</w:t>
            </w:r>
            <w:r>
              <w:rPr>
                <w:kern w:val="0"/>
                <w:sz w:val="24"/>
              </w:rPr>
              <w:t>231</w:t>
            </w:r>
            <w:r>
              <w:rPr>
                <w:rFonts w:hAnsi="宋体"/>
                <w:kern w:val="0"/>
                <w:sz w:val="24"/>
              </w:rPr>
              <w:t>印刷行业</w:t>
            </w:r>
            <w:r>
              <w:rPr>
                <w:rFonts w:hint="eastAsia" w:hAnsi="宋体"/>
                <w:kern w:val="0"/>
                <w:sz w:val="24"/>
              </w:rPr>
              <w:t>，印刷环节</w:t>
            </w:r>
            <w:r>
              <w:rPr>
                <w:rFonts w:hAnsi="宋体"/>
                <w:kern w:val="0"/>
                <w:sz w:val="24"/>
              </w:rPr>
              <w:t>中植物大豆平板油墨（平板印刷）产污系数为</w:t>
            </w:r>
            <w:r>
              <w:rPr>
                <w:kern w:val="0"/>
                <w:sz w:val="24"/>
              </w:rPr>
              <w:t>14</w:t>
            </w:r>
            <w:r>
              <w:rPr>
                <w:rFonts w:hAnsi="宋体"/>
                <w:kern w:val="0"/>
                <w:sz w:val="24"/>
              </w:rPr>
              <w:t>千克</w:t>
            </w:r>
            <w:r>
              <w:rPr>
                <w:kern w:val="0"/>
                <w:sz w:val="24"/>
              </w:rPr>
              <w:t>/</w:t>
            </w:r>
            <w:r>
              <w:rPr>
                <w:rFonts w:hAnsi="宋体"/>
                <w:kern w:val="0"/>
                <w:sz w:val="24"/>
              </w:rPr>
              <w:t>吨</w:t>
            </w:r>
            <w:r>
              <w:rPr>
                <w:kern w:val="0"/>
                <w:sz w:val="24"/>
              </w:rPr>
              <w:t>-</w:t>
            </w:r>
            <w:r>
              <w:rPr>
                <w:rFonts w:hAnsi="宋体"/>
                <w:kern w:val="0"/>
                <w:sz w:val="24"/>
              </w:rPr>
              <w:t>原料，本项目年使用</w:t>
            </w:r>
            <w:r>
              <w:rPr>
                <w:rFonts w:hint="eastAsia" w:hAnsi="宋体"/>
                <w:kern w:val="0"/>
                <w:sz w:val="24"/>
              </w:rPr>
              <w:t>油</w:t>
            </w:r>
            <w:r>
              <w:rPr>
                <w:rFonts w:hAnsi="宋体"/>
                <w:kern w:val="0"/>
                <w:sz w:val="24"/>
              </w:rPr>
              <w:t>墨约</w:t>
            </w:r>
            <w:r>
              <w:rPr>
                <w:kern w:val="0"/>
                <w:sz w:val="24"/>
              </w:rPr>
              <w:t>20t/a</w:t>
            </w:r>
            <w:r>
              <w:rPr>
                <w:rFonts w:hint="eastAsia" w:hAnsi="宋体"/>
                <w:kern w:val="0"/>
                <w:sz w:val="24"/>
              </w:rPr>
              <w:t>，</w:t>
            </w:r>
            <w:r>
              <w:rPr>
                <w:rFonts w:hAnsi="宋体"/>
                <w:kern w:val="0"/>
                <w:sz w:val="24"/>
              </w:rPr>
              <w:t>则非甲烷总烃产生量为</w:t>
            </w:r>
            <w:r>
              <w:rPr>
                <w:kern w:val="0"/>
                <w:sz w:val="24"/>
              </w:rPr>
              <w:t>0.28t/a</w:t>
            </w:r>
            <w:r>
              <w:rPr>
                <w:rFonts w:hAnsi="宋体"/>
                <w:kern w:val="0"/>
                <w:sz w:val="24"/>
              </w:rPr>
              <w:t>，印刷有效工作时间为</w:t>
            </w:r>
            <w:r>
              <w:rPr>
                <w:rFonts w:hint="eastAsia"/>
                <w:kern w:val="0"/>
                <w:sz w:val="24"/>
              </w:rPr>
              <w:t>250</w:t>
            </w:r>
            <w:r>
              <w:rPr>
                <w:kern w:val="0"/>
                <w:sz w:val="24"/>
              </w:rPr>
              <w:t>d/a</w:t>
            </w:r>
            <w:r>
              <w:rPr>
                <w:rFonts w:hAnsi="宋体"/>
                <w:kern w:val="0"/>
                <w:sz w:val="24"/>
              </w:rPr>
              <w:t>，</w:t>
            </w:r>
            <w:r>
              <w:rPr>
                <w:kern w:val="0"/>
                <w:sz w:val="24"/>
              </w:rPr>
              <w:t>16h/d</w:t>
            </w:r>
            <w:r>
              <w:rPr>
                <w:rFonts w:hAnsi="宋体"/>
                <w:kern w:val="0"/>
                <w:sz w:val="24"/>
              </w:rPr>
              <w:t>。</w:t>
            </w:r>
            <w:r>
              <w:rPr>
                <w:sz w:val="24"/>
              </w:rPr>
              <w:t xml:space="preserve"> </w:t>
            </w:r>
          </w:p>
          <w:p w14:paraId="21C12E90">
            <w:pPr>
              <w:autoSpaceDE w:val="0"/>
              <w:autoSpaceDN w:val="0"/>
              <w:adjustRightInd w:val="0"/>
              <w:spacing w:line="480" w:lineRule="exact"/>
              <w:ind w:firstLine="480" w:firstLineChars="200"/>
              <w:jc w:val="left"/>
              <w:rPr>
                <w:b/>
                <w:sz w:val="24"/>
              </w:rPr>
            </w:pPr>
            <w:r>
              <w:rPr>
                <w:rFonts w:hAnsi="宋体"/>
                <w:kern w:val="0"/>
                <w:sz w:val="24"/>
              </w:rPr>
              <w:t>印刷过程中使用</w:t>
            </w:r>
            <w:r>
              <w:rPr>
                <w:rFonts w:hint="eastAsia" w:hAnsi="宋体"/>
                <w:kern w:val="0"/>
                <w:sz w:val="24"/>
              </w:rPr>
              <w:t>无</w:t>
            </w:r>
            <w:r>
              <w:rPr>
                <w:rFonts w:hAnsi="宋体"/>
                <w:kern w:val="0"/>
                <w:sz w:val="24"/>
              </w:rPr>
              <w:t>醇润版液对</w:t>
            </w:r>
            <w:r>
              <w:rPr>
                <w:kern w:val="0"/>
                <w:sz w:val="24"/>
              </w:rPr>
              <w:t>CTP</w:t>
            </w:r>
            <w:r>
              <w:rPr>
                <w:rFonts w:hAnsi="宋体"/>
                <w:kern w:val="0"/>
                <w:sz w:val="24"/>
              </w:rPr>
              <w:t>版空白部分进行涂布，使空白部分不吸附油墨</w:t>
            </w:r>
            <w:r>
              <w:rPr>
                <w:rFonts w:hAnsi="宋体"/>
                <w:sz w:val="24"/>
              </w:rPr>
              <w:t>。</w:t>
            </w:r>
            <w:r>
              <w:rPr>
                <w:rFonts w:hAnsi="宋体"/>
                <w:kern w:val="0"/>
                <w:sz w:val="24"/>
              </w:rPr>
              <w:t>根据《第二次全国污染源普查</w:t>
            </w:r>
            <w:r>
              <w:rPr>
                <w:rFonts w:hint="eastAsia" w:hAnsi="宋体"/>
                <w:kern w:val="0"/>
                <w:sz w:val="24"/>
              </w:rPr>
              <w:t xml:space="preserve"> </w:t>
            </w:r>
            <w:r>
              <w:rPr>
                <w:rFonts w:hAnsi="宋体"/>
                <w:kern w:val="0"/>
                <w:sz w:val="24"/>
              </w:rPr>
              <w:t>工业</w:t>
            </w:r>
            <w:r>
              <w:rPr>
                <w:rFonts w:hint="eastAsia" w:hAnsi="宋体"/>
                <w:kern w:val="0"/>
                <w:sz w:val="24"/>
              </w:rPr>
              <w:t>源</w:t>
            </w:r>
            <w:r>
              <w:rPr>
                <w:rFonts w:hAnsi="宋体"/>
                <w:kern w:val="0"/>
                <w:sz w:val="24"/>
              </w:rPr>
              <w:t>系数手册》</w:t>
            </w:r>
            <w:r>
              <w:rPr>
                <w:rFonts w:hint="eastAsia" w:hAnsi="宋体"/>
                <w:kern w:val="0"/>
                <w:sz w:val="24"/>
              </w:rPr>
              <w:t>中“23 印刷和记录媒介复制行业系数手册”—</w:t>
            </w:r>
            <w:r>
              <w:rPr>
                <w:kern w:val="0"/>
                <w:sz w:val="24"/>
              </w:rPr>
              <w:t>231</w:t>
            </w:r>
            <w:r>
              <w:rPr>
                <w:rFonts w:hAnsi="宋体"/>
                <w:kern w:val="0"/>
                <w:sz w:val="24"/>
              </w:rPr>
              <w:t>印刷行业</w:t>
            </w:r>
            <w:r>
              <w:rPr>
                <w:rFonts w:hint="eastAsia" w:hAnsi="宋体"/>
                <w:kern w:val="0"/>
                <w:sz w:val="24"/>
              </w:rPr>
              <w:t>，印刷环节中润版液（无醇）</w:t>
            </w:r>
            <w:r>
              <w:rPr>
                <w:rFonts w:hAnsi="宋体"/>
                <w:kern w:val="0"/>
                <w:sz w:val="24"/>
              </w:rPr>
              <w:t>产污系数为</w:t>
            </w:r>
            <w:r>
              <w:rPr>
                <w:rFonts w:hint="eastAsia"/>
                <w:kern w:val="0"/>
                <w:sz w:val="24"/>
              </w:rPr>
              <w:t>79</w:t>
            </w:r>
            <w:r>
              <w:rPr>
                <w:rFonts w:hAnsi="宋体"/>
                <w:kern w:val="0"/>
                <w:sz w:val="24"/>
              </w:rPr>
              <w:t>千克</w:t>
            </w:r>
            <w:r>
              <w:rPr>
                <w:kern w:val="0"/>
                <w:sz w:val="24"/>
              </w:rPr>
              <w:t>/</w:t>
            </w:r>
            <w:r>
              <w:rPr>
                <w:rFonts w:hAnsi="宋体"/>
                <w:kern w:val="0"/>
                <w:sz w:val="24"/>
              </w:rPr>
              <w:t>吨</w:t>
            </w:r>
            <w:r>
              <w:rPr>
                <w:kern w:val="0"/>
                <w:sz w:val="24"/>
              </w:rPr>
              <w:t>-</w:t>
            </w:r>
            <w:r>
              <w:rPr>
                <w:rFonts w:hAnsi="宋体"/>
                <w:kern w:val="0"/>
                <w:sz w:val="24"/>
              </w:rPr>
              <w:t>原料，</w:t>
            </w:r>
            <w:r>
              <w:rPr>
                <w:rFonts w:hint="eastAsia" w:hAnsi="宋体"/>
                <w:kern w:val="0"/>
                <w:sz w:val="24"/>
              </w:rPr>
              <w:t>项目年使用无醇润版液2</w:t>
            </w:r>
            <w:r>
              <w:rPr>
                <w:kern w:val="0"/>
                <w:sz w:val="24"/>
              </w:rPr>
              <w:t>t/a</w:t>
            </w:r>
            <w:r>
              <w:rPr>
                <w:rFonts w:hint="eastAsia" w:hAnsi="宋体"/>
                <w:kern w:val="0"/>
                <w:sz w:val="24"/>
              </w:rPr>
              <w:t>，</w:t>
            </w:r>
            <w:r>
              <w:rPr>
                <w:rFonts w:hAnsi="宋体"/>
                <w:kern w:val="0"/>
                <w:sz w:val="24"/>
              </w:rPr>
              <w:t>则非甲烷总烃产生量为</w:t>
            </w:r>
            <w:r>
              <w:rPr>
                <w:rFonts w:hint="eastAsia"/>
                <w:kern w:val="0"/>
                <w:sz w:val="24"/>
              </w:rPr>
              <w:t>0.158</w:t>
            </w:r>
            <w:r>
              <w:rPr>
                <w:kern w:val="0"/>
                <w:sz w:val="24"/>
              </w:rPr>
              <w:t>t/a</w:t>
            </w:r>
            <w:r>
              <w:rPr>
                <w:rFonts w:hAnsi="宋体"/>
                <w:kern w:val="0"/>
                <w:sz w:val="24"/>
              </w:rPr>
              <w:t>，印刷有效工作时间为</w:t>
            </w:r>
            <w:r>
              <w:rPr>
                <w:rFonts w:hint="eastAsia"/>
                <w:kern w:val="0"/>
                <w:sz w:val="24"/>
              </w:rPr>
              <w:t>250</w:t>
            </w:r>
            <w:r>
              <w:rPr>
                <w:kern w:val="0"/>
                <w:sz w:val="24"/>
              </w:rPr>
              <w:t>d/a</w:t>
            </w:r>
            <w:r>
              <w:rPr>
                <w:rFonts w:hAnsi="宋体"/>
                <w:kern w:val="0"/>
                <w:sz w:val="24"/>
              </w:rPr>
              <w:t>，</w:t>
            </w:r>
            <w:r>
              <w:rPr>
                <w:kern w:val="0"/>
                <w:sz w:val="24"/>
              </w:rPr>
              <w:t>16h/d</w:t>
            </w:r>
            <w:r>
              <w:rPr>
                <w:rFonts w:hAnsi="宋体"/>
                <w:kern w:val="0"/>
                <w:sz w:val="24"/>
              </w:rPr>
              <w:t>。</w:t>
            </w:r>
          </w:p>
          <w:p w14:paraId="2B27DF91">
            <w:pPr>
              <w:adjustRightInd w:val="0"/>
              <w:snapToGrid w:val="0"/>
              <w:spacing w:line="480" w:lineRule="exact"/>
              <w:ind w:firstLine="480" w:firstLineChars="200"/>
              <w:rPr>
                <w:sz w:val="24"/>
              </w:rPr>
            </w:pPr>
            <w:r>
              <w:rPr>
                <w:rFonts w:hint="eastAsia"/>
                <w:sz w:val="24"/>
              </w:rPr>
              <w:t>项目采用洗车水对CTP印刷版及胶辊上的污渍进行清洁，不进行清洗，仅进行擦拭。</w:t>
            </w:r>
            <w:r>
              <w:rPr>
                <w:rFonts w:hAnsi="宋体"/>
                <w:kern w:val="0"/>
                <w:sz w:val="24"/>
              </w:rPr>
              <w:t>根据《第二次全国污染源普查</w:t>
            </w:r>
            <w:r>
              <w:rPr>
                <w:rFonts w:hint="eastAsia" w:hAnsi="宋体"/>
                <w:kern w:val="0"/>
                <w:sz w:val="24"/>
              </w:rPr>
              <w:t xml:space="preserve"> </w:t>
            </w:r>
            <w:r>
              <w:rPr>
                <w:rFonts w:hAnsi="宋体"/>
                <w:kern w:val="0"/>
                <w:sz w:val="24"/>
              </w:rPr>
              <w:t>工业</w:t>
            </w:r>
            <w:r>
              <w:rPr>
                <w:rFonts w:hint="eastAsia" w:hAnsi="宋体"/>
                <w:kern w:val="0"/>
                <w:sz w:val="24"/>
              </w:rPr>
              <w:t>源</w:t>
            </w:r>
            <w:r>
              <w:rPr>
                <w:rFonts w:hAnsi="宋体"/>
                <w:kern w:val="0"/>
                <w:sz w:val="24"/>
              </w:rPr>
              <w:t>系数手册》</w:t>
            </w:r>
            <w:r>
              <w:rPr>
                <w:rFonts w:hint="eastAsia" w:hAnsi="宋体"/>
                <w:kern w:val="0"/>
                <w:sz w:val="24"/>
              </w:rPr>
              <w:t>中“23 印刷和记录媒介复制行业系数手册”—</w:t>
            </w:r>
            <w:r>
              <w:rPr>
                <w:kern w:val="0"/>
                <w:sz w:val="24"/>
              </w:rPr>
              <w:t>231</w:t>
            </w:r>
            <w:r>
              <w:rPr>
                <w:rFonts w:hAnsi="宋体"/>
                <w:kern w:val="0"/>
                <w:sz w:val="24"/>
              </w:rPr>
              <w:t>印刷行业</w:t>
            </w:r>
            <w:r>
              <w:rPr>
                <w:rFonts w:hint="eastAsia" w:hAnsi="宋体"/>
                <w:kern w:val="0"/>
                <w:sz w:val="24"/>
              </w:rPr>
              <w:t>，印刷环节中</w:t>
            </w:r>
            <w:r>
              <w:rPr>
                <w:rFonts w:hint="eastAsia"/>
                <w:sz w:val="24"/>
              </w:rPr>
              <w:t>油墨清洗剂（溶剂型）挥发性有机物的产污系数为</w:t>
            </w:r>
            <w:r>
              <w:rPr>
                <w:sz w:val="24"/>
              </w:rPr>
              <w:t>950</w:t>
            </w:r>
            <w:r>
              <w:rPr>
                <w:rFonts w:hint="eastAsia"/>
                <w:sz w:val="24"/>
              </w:rPr>
              <w:t>千克/吨-原料。项目洗车水年用量约3t，则非甲烷总烃产生量约2.85t/a。CTP印刷版及胶辊的清洁在印刷机旁进行，产生的废气同印刷废气一起收集处理。</w:t>
            </w:r>
            <w:r>
              <w:rPr>
                <w:sz w:val="24"/>
              </w:rPr>
              <w:t>印刷生产</w:t>
            </w:r>
            <w:r>
              <w:rPr>
                <w:rFonts w:hint="eastAsia"/>
                <w:sz w:val="24"/>
              </w:rPr>
              <w:t>作业</w:t>
            </w:r>
            <w:r>
              <w:rPr>
                <w:sz w:val="24"/>
              </w:rPr>
              <w:t>中，对各台设备进行交替清洁擦拭，擦拭废气属于间歇排放，作业时数弹性较大。结合生产规律，本次评价对于排放速率的核算考虑了平均速率（排放时数与印刷作业时数一致</w:t>
            </w:r>
            <w:r>
              <w:rPr>
                <w:rFonts w:hint="eastAsia"/>
                <w:sz w:val="24"/>
              </w:rPr>
              <w:t>，16h/d计</w:t>
            </w:r>
            <w:r>
              <w:rPr>
                <w:sz w:val="24"/>
              </w:rPr>
              <w:t>）以及最大排放情况（按清洁时数</w:t>
            </w:r>
            <w:r>
              <w:rPr>
                <w:rFonts w:hint="eastAsia"/>
                <w:sz w:val="24"/>
              </w:rPr>
              <w:t>3h/d计</w:t>
            </w:r>
            <w:r>
              <w:rPr>
                <w:sz w:val="24"/>
              </w:rPr>
              <w:t>）。</w:t>
            </w:r>
          </w:p>
          <w:p w14:paraId="17668CFB">
            <w:pPr>
              <w:adjustRightInd w:val="0"/>
              <w:snapToGrid w:val="0"/>
              <w:spacing w:line="480" w:lineRule="exact"/>
              <w:ind w:firstLine="480" w:firstLineChars="200"/>
              <w:rPr>
                <w:sz w:val="24"/>
              </w:rPr>
            </w:pPr>
          </w:p>
          <w:p w14:paraId="111418CE">
            <w:pPr>
              <w:adjustRightInd w:val="0"/>
              <w:snapToGrid w:val="0"/>
              <w:spacing w:line="480" w:lineRule="exact"/>
              <w:ind w:firstLine="482" w:firstLineChars="200"/>
              <w:jc w:val="left"/>
              <w:rPr>
                <w:rFonts w:eastAsiaTheme="minorEastAsia"/>
                <w:b/>
                <w:sz w:val="24"/>
              </w:rPr>
            </w:pPr>
            <w:r>
              <w:rPr>
                <w:rFonts w:hAnsiTheme="minorEastAsia" w:eastAsiaTheme="minorEastAsia"/>
                <w:b/>
                <w:sz w:val="24"/>
              </w:rPr>
              <w:t>（</w:t>
            </w:r>
            <w:r>
              <w:rPr>
                <w:rFonts w:eastAsiaTheme="minorEastAsia"/>
                <w:b/>
                <w:sz w:val="24"/>
              </w:rPr>
              <w:t>2</w:t>
            </w:r>
            <w:r>
              <w:rPr>
                <w:rFonts w:hAnsiTheme="minorEastAsia" w:eastAsiaTheme="minorEastAsia"/>
                <w:b/>
                <w:sz w:val="24"/>
              </w:rPr>
              <w:t>）过油废气（</w:t>
            </w:r>
            <w:r>
              <w:rPr>
                <w:rFonts w:eastAsiaTheme="minorEastAsia"/>
                <w:b/>
                <w:sz w:val="24"/>
              </w:rPr>
              <w:t>G5</w:t>
            </w:r>
            <w:r>
              <w:rPr>
                <w:rFonts w:hAnsiTheme="minorEastAsia" w:eastAsiaTheme="minorEastAsia"/>
                <w:b/>
                <w:sz w:val="24"/>
              </w:rPr>
              <w:t>）</w:t>
            </w:r>
          </w:p>
          <w:p w14:paraId="6BB0DD1E">
            <w:pPr>
              <w:adjustRightInd w:val="0"/>
              <w:snapToGrid w:val="0"/>
              <w:spacing w:line="480" w:lineRule="exact"/>
              <w:ind w:firstLine="480" w:firstLineChars="200"/>
              <w:rPr>
                <w:sz w:val="24"/>
              </w:rPr>
            </w:pPr>
            <w:r>
              <w:rPr>
                <w:rFonts w:hAnsi="宋体"/>
                <w:sz w:val="24"/>
              </w:rPr>
              <w:t>拟建项目所用光油为水性上光油，主要成分为</w:t>
            </w:r>
            <w:r>
              <w:rPr>
                <w:rFonts w:hint="eastAsia"/>
                <w:sz w:val="24"/>
              </w:rPr>
              <w:t>苯乙烯丙烯酸聚合物32%、助剂（水性蜡乳液、离型剂、润湿流平剂等）10%、水58%</w:t>
            </w:r>
            <w:r>
              <w:rPr>
                <w:rFonts w:hAnsi="宋体"/>
                <w:sz w:val="24"/>
              </w:rPr>
              <w:t>，水性上光油以水作为溶剂，丙烯酸树脂为聚合物，在常温状态下较稳定，加热时树脂中残留的单体受热挥发，过油工序废气主要为少量脂类废气（以非甲烷总烃计），根据</w:t>
            </w:r>
            <w:r>
              <w:rPr>
                <w:rFonts w:hAnsi="宋体"/>
                <w:kern w:val="0"/>
                <w:sz w:val="24"/>
              </w:rPr>
              <w:t>《第二次全国污染源普查</w:t>
            </w:r>
            <w:r>
              <w:rPr>
                <w:rFonts w:hint="eastAsia" w:hAnsi="宋体"/>
                <w:kern w:val="0"/>
                <w:sz w:val="24"/>
              </w:rPr>
              <w:t xml:space="preserve"> </w:t>
            </w:r>
            <w:r>
              <w:rPr>
                <w:rFonts w:hAnsi="宋体"/>
                <w:kern w:val="0"/>
                <w:sz w:val="24"/>
              </w:rPr>
              <w:t>工业</w:t>
            </w:r>
            <w:r>
              <w:rPr>
                <w:rFonts w:hint="eastAsia" w:hAnsi="宋体"/>
                <w:kern w:val="0"/>
                <w:sz w:val="24"/>
              </w:rPr>
              <w:t>源</w:t>
            </w:r>
            <w:r>
              <w:rPr>
                <w:rFonts w:hAnsi="宋体"/>
                <w:kern w:val="0"/>
                <w:sz w:val="24"/>
              </w:rPr>
              <w:t>系数手册》</w:t>
            </w:r>
            <w:r>
              <w:rPr>
                <w:rFonts w:hint="eastAsia" w:hAnsi="宋体"/>
                <w:kern w:val="0"/>
                <w:sz w:val="24"/>
              </w:rPr>
              <w:t>中“23 印刷和记录媒介复制行业系数手册”—</w:t>
            </w:r>
            <w:r>
              <w:rPr>
                <w:kern w:val="0"/>
                <w:sz w:val="24"/>
              </w:rPr>
              <w:t>231</w:t>
            </w:r>
            <w:r>
              <w:rPr>
                <w:rFonts w:hAnsi="宋体"/>
                <w:kern w:val="0"/>
                <w:sz w:val="24"/>
              </w:rPr>
              <w:t>印刷行业</w:t>
            </w:r>
            <w:r>
              <w:rPr>
                <w:rFonts w:hint="eastAsia" w:hAnsi="宋体"/>
                <w:kern w:val="0"/>
                <w:sz w:val="24"/>
              </w:rPr>
              <w:t>，</w:t>
            </w:r>
            <w:r>
              <w:rPr>
                <w:rFonts w:hAnsi="宋体"/>
                <w:sz w:val="24"/>
              </w:rPr>
              <w:t>印后整理环节采用上光油（水性）处理后挥发性有机物的产污系数为</w:t>
            </w:r>
            <w:r>
              <w:rPr>
                <w:sz w:val="24"/>
              </w:rPr>
              <w:t>25</w:t>
            </w:r>
            <w:r>
              <w:rPr>
                <w:rFonts w:hAnsi="宋体"/>
                <w:sz w:val="24"/>
              </w:rPr>
              <w:t>千克</w:t>
            </w:r>
            <w:r>
              <w:rPr>
                <w:sz w:val="24"/>
              </w:rPr>
              <w:t>/</w:t>
            </w:r>
            <w:r>
              <w:rPr>
                <w:rFonts w:hAnsi="宋体"/>
                <w:sz w:val="24"/>
              </w:rPr>
              <w:t>吨</w:t>
            </w:r>
            <w:r>
              <w:rPr>
                <w:sz w:val="24"/>
              </w:rPr>
              <w:t>-</w:t>
            </w:r>
            <w:r>
              <w:rPr>
                <w:rFonts w:hAnsi="宋体"/>
                <w:sz w:val="24"/>
              </w:rPr>
              <w:t>原料。根据建设单位提供的资料，项目水性上光油消耗量为</w:t>
            </w:r>
            <w:r>
              <w:rPr>
                <w:rFonts w:hint="eastAsia" w:eastAsiaTheme="minorEastAsia"/>
                <w:sz w:val="24"/>
              </w:rPr>
              <w:t>5</w:t>
            </w:r>
            <w:r>
              <w:rPr>
                <w:sz w:val="24"/>
              </w:rPr>
              <w:t>t/a</w:t>
            </w:r>
            <w:r>
              <w:rPr>
                <w:rFonts w:hAnsi="宋体"/>
                <w:sz w:val="24"/>
              </w:rPr>
              <w:t>，年过油时间按</w:t>
            </w:r>
            <w:r>
              <w:rPr>
                <w:rFonts w:hint="eastAsia" w:eastAsiaTheme="minorEastAsia"/>
                <w:sz w:val="24"/>
              </w:rPr>
              <w:t>250</w:t>
            </w:r>
            <w:r>
              <w:rPr>
                <w:sz w:val="24"/>
              </w:rPr>
              <w:t>d</w:t>
            </w:r>
            <w:r>
              <w:rPr>
                <w:rFonts w:hAnsi="宋体"/>
                <w:sz w:val="24"/>
              </w:rPr>
              <w:t>，</w:t>
            </w:r>
            <w:r>
              <w:rPr>
                <w:sz w:val="24"/>
              </w:rPr>
              <w:t>16h/d</w:t>
            </w:r>
            <w:r>
              <w:rPr>
                <w:rFonts w:hAnsi="宋体"/>
                <w:sz w:val="24"/>
              </w:rPr>
              <w:t>，则过油工序非甲烷总烃的产生量为</w:t>
            </w:r>
            <w:r>
              <w:rPr>
                <w:rFonts w:hint="eastAsia" w:eastAsiaTheme="minorEastAsia"/>
                <w:sz w:val="24"/>
              </w:rPr>
              <w:t>0.125</w:t>
            </w:r>
            <w:r>
              <w:rPr>
                <w:sz w:val="24"/>
              </w:rPr>
              <w:t>t/a</w:t>
            </w:r>
            <w:r>
              <w:rPr>
                <w:rFonts w:hAnsi="宋体"/>
                <w:sz w:val="24"/>
              </w:rPr>
              <w:t>。</w:t>
            </w:r>
          </w:p>
          <w:p w14:paraId="49659121">
            <w:pPr>
              <w:adjustRightInd w:val="0"/>
              <w:snapToGrid w:val="0"/>
              <w:spacing w:line="480" w:lineRule="exact"/>
              <w:ind w:firstLine="482" w:firstLineChars="200"/>
              <w:jc w:val="left"/>
              <w:rPr>
                <w:b/>
                <w:sz w:val="24"/>
              </w:rPr>
            </w:pPr>
            <w:r>
              <w:rPr>
                <w:rFonts w:hint="eastAsia"/>
                <w:b/>
                <w:sz w:val="24"/>
              </w:rPr>
              <w:t>废气收集处理措施：</w:t>
            </w:r>
          </w:p>
          <w:p w14:paraId="122CD40A">
            <w:pPr>
              <w:adjustRightInd w:val="0"/>
              <w:snapToGrid w:val="0"/>
              <w:spacing w:line="480" w:lineRule="exact"/>
              <w:ind w:firstLine="480" w:firstLineChars="200"/>
              <w:jc w:val="left"/>
              <w:rPr>
                <w:rFonts w:hAnsiTheme="minorEastAsia" w:eastAsiaTheme="minorEastAsia"/>
                <w:sz w:val="24"/>
              </w:rPr>
            </w:pPr>
            <w:r>
              <w:rPr>
                <w:rFonts w:hAnsiTheme="minorEastAsia" w:eastAsiaTheme="minorEastAsia"/>
                <w:sz w:val="24"/>
              </w:rPr>
              <w:t>项目</w:t>
            </w:r>
            <w:r>
              <w:rPr>
                <w:rFonts w:eastAsiaTheme="minorEastAsia"/>
                <w:sz w:val="24"/>
              </w:rPr>
              <w:t>2#</w:t>
            </w:r>
            <w:r>
              <w:rPr>
                <w:rFonts w:hAnsiTheme="minorEastAsia" w:eastAsiaTheme="minorEastAsia"/>
                <w:sz w:val="24"/>
              </w:rPr>
              <w:t>厂房设有</w:t>
            </w:r>
            <w:r>
              <w:rPr>
                <w:rFonts w:hint="eastAsia" w:eastAsiaTheme="minorEastAsia"/>
                <w:sz w:val="24"/>
              </w:rPr>
              <w:t>3台</w:t>
            </w:r>
            <w:r>
              <w:rPr>
                <w:rFonts w:hAnsiTheme="minorEastAsia" w:eastAsiaTheme="minorEastAsia"/>
                <w:sz w:val="24"/>
              </w:rPr>
              <w:t>印刷机五色印刷机，其顶部有</w:t>
            </w:r>
            <w:r>
              <w:rPr>
                <w:rFonts w:eastAsiaTheme="minorEastAsia"/>
                <w:sz w:val="24"/>
              </w:rPr>
              <w:t>5</w:t>
            </w:r>
            <w:r>
              <w:rPr>
                <w:rFonts w:hAnsiTheme="minorEastAsia" w:eastAsiaTheme="minorEastAsia"/>
                <w:sz w:val="24"/>
              </w:rPr>
              <w:t>个油墨槽，每个油墨槽上方安装</w:t>
            </w:r>
            <w:r>
              <w:rPr>
                <w:rFonts w:eastAsiaTheme="minorEastAsia"/>
                <w:sz w:val="24"/>
              </w:rPr>
              <w:t>1</w:t>
            </w:r>
            <w:r>
              <w:rPr>
                <w:rFonts w:hAnsiTheme="minorEastAsia" w:eastAsiaTheme="minorEastAsia"/>
                <w:sz w:val="24"/>
              </w:rPr>
              <w:t>个集气罩，罩口尺寸约</w:t>
            </w:r>
            <w:r>
              <w:rPr>
                <w:rFonts w:eastAsiaTheme="minorEastAsia"/>
                <w:sz w:val="24"/>
              </w:rPr>
              <w:t>0.</w:t>
            </w:r>
            <w:r>
              <w:rPr>
                <w:rFonts w:hint="eastAsia" w:eastAsiaTheme="minorEastAsia"/>
                <w:sz w:val="24"/>
              </w:rPr>
              <w:t>7</w:t>
            </w:r>
            <w:r>
              <w:rPr>
                <w:rFonts w:eastAsiaTheme="minorEastAsia"/>
                <w:sz w:val="24"/>
              </w:rPr>
              <w:t>m*1.</w:t>
            </w:r>
            <w:r>
              <w:rPr>
                <w:rFonts w:hint="eastAsia" w:eastAsiaTheme="minorEastAsia"/>
                <w:sz w:val="24"/>
              </w:rPr>
              <w:t>1</w:t>
            </w:r>
            <w:r>
              <w:rPr>
                <w:rFonts w:eastAsiaTheme="minorEastAsia"/>
                <w:sz w:val="24"/>
              </w:rPr>
              <w:t>m</w:t>
            </w:r>
            <w:r>
              <w:rPr>
                <w:rFonts w:hint="eastAsia" w:eastAsiaTheme="minorEastAsia"/>
                <w:sz w:val="24"/>
              </w:rPr>
              <w:t xml:space="preserve"> ，则</w:t>
            </w:r>
            <w:r>
              <w:rPr>
                <w:rFonts w:hAnsiTheme="minorEastAsia" w:eastAsiaTheme="minorEastAsia"/>
                <w:sz w:val="24"/>
              </w:rPr>
              <w:t>罩口总截面积为</w:t>
            </w:r>
            <w:r>
              <w:rPr>
                <w:rFonts w:hint="eastAsia" w:eastAsiaTheme="minorEastAsia"/>
                <w:sz w:val="24"/>
              </w:rPr>
              <w:t>0.7*1.1*5*3=11.55</w:t>
            </w:r>
            <w:r>
              <w:rPr>
                <w:rFonts w:eastAsiaTheme="minorEastAsia"/>
                <w:sz w:val="24"/>
              </w:rPr>
              <w:t>m</w:t>
            </w:r>
            <w:r>
              <w:rPr>
                <w:rFonts w:eastAsiaTheme="minorEastAsia"/>
                <w:sz w:val="24"/>
                <w:vertAlign w:val="superscript"/>
              </w:rPr>
              <w:t>2</w:t>
            </w:r>
            <w:r>
              <w:rPr>
                <w:rFonts w:hAnsiTheme="minorEastAsia" w:eastAsiaTheme="minorEastAsia"/>
                <w:sz w:val="24"/>
              </w:rPr>
              <w:t>。</w:t>
            </w:r>
            <w:r>
              <w:rPr>
                <w:rFonts w:hint="eastAsia"/>
                <w:sz w:val="24"/>
              </w:rPr>
              <w:t>项目1台过油机油槽口上方集气罩罩口</w:t>
            </w:r>
            <w:r>
              <w:rPr>
                <w:rFonts w:hAnsiTheme="minorEastAsia" w:eastAsiaTheme="minorEastAsia"/>
                <w:sz w:val="24"/>
              </w:rPr>
              <w:t>尺寸约</w:t>
            </w:r>
            <w:r>
              <w:rPr>
                <w:rFonts w:hint="eastAsia" w:eastAsiaTheme="minorEastAsia"/>
                <w:sz w:val="24"/>
              </w:rPr>
              <w:t>0.7</w:t>
            </w:r>
            <w:r>
              <w:rPr>
                <w:rFonts w:eastAsiaTheme="minorEastAsia"/>
                <w:sz w:val="24"/>
              </w:rPr>
              <w:t>m*1.</w:t>
            </w:r>
            <w:r>
              <w:rPr>
                <w:rFonts w:hint="eastAsia" w:eastAsiaTheme="minorEastAsia"/>
                <w:sz w:val="24"/>
              </w:rPr>
              <w:t>1</w:t>
            </w:r>
            <w:r>
              <w:rPr>
                <w:rFonts w:eastAsiaTheme="minorEastAsia"/>
                <w:sz w:val="24"/>
              </w:rPr>
              <w:t>m</w:t>
            </w:r>
            <w:r>
              <w:rPr>
                <w:rFonts w:hint="eastAsia" w:eastAsiaTheme="minorEastAsia"/>
                <w:sz w:val="24"/>
              </w:rPr>
              <w:t xml:space="preserve"> ，则罩口</w:t>
            </w:r>
            <w:r>
              <w:rPr>
                <w:rFonts w:hint="eastAsia"/>
                <w:sz w:val="24"/>
              </w:rPr>
              <w:t>面积为0.77m</w:t>
            </w:r>
            <w:r>
              <w:rPr>
                <w:rFonts w:hint="eastAsia"/>
                <w:sz w:val="24"/>
                <w:vertAlign w:val="superscript"/>
              </w:rPr>
              <w:t>2</w:t>
            </w:r>
            <w:r>
              <w:rPr>
                <w:rFonts w:hint="eastAsia"/>
                <w:sz w:val="24"/>
              </w:rPr>
              <w:t>。</w:t>
            </w:r>
          </w:p>
          <w:p w14:paraId="562708B8">
            <w:pPr>
              <w:adjustRightInd w:val="0"/>
              <w:snapToGrid w:val="0"/>
              <w:spacing w:line="480" w:lineRule="exact"/>
              <w:ind w:firstLine="480" w:firstLineChars="200"/>
              <w:jc w:val="left"/>
              <w:rPr>
                <w:rFonts w:hAnsiTheme="minorEastAsia" w:eastAsiaTheme="minorEastAsia"/>
                <w:kern w:val="0"/>
                <w:sz w:val="24"/>
              </w:rPr>
            </w:pPr>
            <w:r>
              <w:rPr>
                <w:rFonts w:hAnsiTheme="minorEastAsia" w:eastAsiaTheme="minorEastAsia"/>
                <w:kern w:val="0"/>
                <w:sz w:val="24"/>
              </w:rPr>
              <w:t>根据《印刷工业污染防治可行技术指南》（</w:t>
            </w:r>
            <w:r>
              <w:rPr>
                <w:rFonts w:eastAsiaTheme="minorEastAsia"/>
                <w:kern w:val="0"/>
                <w:sz w:val="24"/>
              </w:rPr>
              <w:t>HJ1089-2020</w:t>
            </w:r>
            <w:r>
              <w:rPr>
                <w:rFonts w:hAnsiTheme="minorEastAsia" w:eastAsiaTheme="minorEastAsia"/>
                <w:kern w:val="0"/>
                <w:sz w:val="24"/>
              </w:rPr>
              <w:t>）附录</w:t>
            </w:r>
            <w:r>
              <w:rPr>
                <w:rFonts w:eastAsiaTheme="minorEastAsia"/>
                <w:kern w:val="0"/>
                <w:sz w:val="24"/>
              </w:rPr>
              <w:t>D“D.3.2</w:t>
            </w:r>
            <w:r>
              <w:rPr>
                <w:rFonts w:hAnsiTheme="minorEastAsia" w:eastAsiaTheme="minorEastAsia"/>
                <w:kern w:val="0"/>
                <w:sz w:val="24"/>
              </w:rPr>
              <w:t>外部排风罩风量计算</w:t>
            </w:r>
            <w:r>
              <w:rPr>
                <w:rFonts w:eastAsiaTheme="minorEastAsia"/>
                <w:kern w:val="0"/>
                <w:sz w:val="24"/>
              </w:rPr>
              <w:t>”</w:t>
            </w:r>
            <w:r>
              <w:rPr>
                <w:rFonts w:hAnsiTheme="minorEastAsia" w:eastAsiaTheme="minorEastAsia"/>
                <w:kern w:val="0"/>
                <w:sz w:val="24"/>
              </w:rPr>
              <w:t>，集气罩计算风量</w:t>
            </w:r>
            <w:r>
              <w:rPr>
                <w:rFonts w:eastAsiaTheme="minorEastAsia"/>
                <w:kern w:val="0"/>
                <w:sz w:val="24"/>
              </w:rPr>
              <w:t>=</w:t>
            </w:r>
            <w:r>
              <w:rPr>
                <w:rFonts w:hAnsiTheme="minorEastAsia" w:eastAsiaTheme="minorEastAsia"/>
                <w:kern w:val="0"/>
                <w:sz w:val="24"/>
              </w:rPr>
              <w:t>罩口平均风速</w:t>
            </w:r>
            <w:r>
              <w:rPr>
                <w:rFonts w:eastAsiaTheme="minorEastAsia"/>
                <w:kern w:val="0"/>
                <w:sz w:val="24"/>
              </w:rPr>
              <w:t>*</w:t>
            </w:r>
            <w:r>
              <w:rPr>
                <w:rFonts w:hAnsiTheme="minorEastAsia" w:eastAsiaTheme="minorEastAsia"/>
                <w:kern w:val="0"/>
                <w:sz w:val="24"/>
              </w:rPr>
              <w:t>罩口面积</w:t>
            </w:r>
            <w:r>
              <w:rPr>
                <w:rFonts w:eastAsiaTheme="minorEastAsia"/>
                <w:kern w:val="0"/>
                <w:sz w:val="24"/>
              </w:rPr>
              <w:t>*3600</w:t>
            </w:r>
            <w:r>
              <w:rPr>
                <w:rFonts w:hAnsiTheme="minorEastAsia" w:eastAsiaTheme="minorEastAsia"/>
                <w:kern w:val="0"/>
                <w:sz w:val="24"/>
              </w:rPr>
              <w:t>，其中四边敞开罩口平均风速一般取</w:t>
            </w:r>
            <w:r>
              <w:rPr>
                <w:rFonts w:eastAsiaTheme="minorEastAsia"/>
                <w:kern w:val="0"/>
                <w:sz w:val="24"/>
              </w:rPr>
              <w:t>1.05</w:t>
            </w:r>
            <w:r>
              <w:rPr>
                <w:sz w:val="24"/>
              </w:rPr>
              <w:t xml:space="preserve"> m/s</w:t>
            </w:r>
            <w:r>
              <w:rPr>
                <w:rFonts w:eastAsiaTheme="minorEastAsia"/>
                <w:kern w:val="0"/>
                <w:sz w:val="24"/>
              </w:rPr>
              <w:t xml:space="preserve"> -1.25</w:t>
            </w:r>
            <w:r>
              <w:rPr>
                <w:sz w:val="24"/>
              </w:rPr>
              <w:t xml:space="preserve"> m/s</w:t>
            </w:r>
            <w:r>
              <w:rPr>
                <w:rFonts w:hAnsiTheme="minorEastAsia" w:eastAsiaTheme="minorEastAsia"/>
                <w:kern w:val="0"/>
                <w:sz w:val="24"/>
              </w:rPr>
              <w:t>（本项目环评取</w:t>
            </w:r>
            <w:r>
              <w:rPr>
                <w:rFonts w:eastAsiaTheme="minorEastAsia"/>
                <w:kern w:val="0"/>
                <w:sz w:val="24"/>
              </w:rPr>
              <w:t>1.05</w:t>
            </w:r>
            <w:r>
              <w:rPr>
                <w:sz w:val="24"/>
              </w:rPr>
              <w:t xml:space="preserve"> m/s</w:t>
            </w:r>
            <w:r>
              <w:rPr>
                <w:rFonts w:hAnsiTheme="minorEastAsia" w:eastAsiaTheme="minorEastAsia"/>
                <w:kern w:val="0"/>
                <w:sz w:val="24"/>
              </w:rPr>
              <w:t>）；则</w:t>
            </w:r>
            <w:r>
              <w:rPr>
                <w:rFonts w:hint="eastAsia" w:hAnsiTheme="minorEastAsia" w:eastAsiaTheme="minorEastAsia"/>
                <w:kern w:val="0"/>
                <w:sz w:val="24"/>
              </w:rPr>
              <w:t>3</w:t>
            </w:r>
            <w:r>
              <w:rPr>
                <w:rFonts w:hAnsiTheme="minorEastAsia" w:eastAsiaTheme="minorEastAsia"/>
                <w:kern w:val="0"/>
                <w:sz w:val="24"/>
              </w:rPr>
              <w:t>台印刷机总风量为</w:t>
            </w:r>
            <w:r>
              <w:rPr>
                <w:rFonts w:hint="eastAsia" w:eastAsiaTheme="minorEastAsia"/>
                <w:kern w:val="0"/>
                <w:sz w:val="24"/>
              </w:rPr>
              <w:t>43659</w:t>
            </w:r>
            <w:r>
              <w:rPr>
                <w:rFonts w:eastAsiaTheme="minorEastAsia"/>
                <w:kern w:val="0"/>
                <w:sz w:val="24"/>
              </w:rPr>
              <w:t>m</w:t>
            </w:r>
            <w:r>
              <w:rPr>
                <w:rFonts w:eastAsiaTheme="minorEastAsia"/>
                <w:kern w:val="0"/>
                <w:sz w:val="24"/>
                <w:vertAlign w:val="superscript"/>
              </w:rPr>
              <w:t>3</w:t>
            </w:r>
            <w:r>
              <w:rPr>
                <w:rFonts w:eastAsiaTheme="minorEastAsia"/>
                <w:kern w:val="0"/>
                <w:sz w:val="24"/>
              </w:rPr>
              <w:t>/h</w:t>
            </w:r>
            <w:r>
              <w:rPr>
                <w:rFonts w:hAnsiTheme="minorEastAsia" w:eastAsiaTheme="minorEastAsia"/>
                <w:kern w:val="0"/>
                <w:sz w:val="24"/>
              </w:rPr>
              <w:t>，</w:t>
            </w:r>
            <w:r>
              <w:rPr>
                <w:rFonts w:hint="eastAsia" w:hAnsiTheme="minorEastAsia" w:eastAsiaTheme="minorEastAsia"/>
                <w:kern w:val="0"/>
                <w:sz w:val="24"/>
              </w:rPr>
              <w:t>过油机风量为2910.6</w:t>
            </w:r>
            <w:r>
              <w:rPr>
                <w:rFonts w:eastAsiaTheme="minorEastAsia"/>
                <w:kern w:val="0"/>
                <w:sz w:val="24"/>
              </w:rPr>
              <w:t>m</w:t>
            </w:r>
            <w:r>
              <w:rPr>
                <w:rFonts w:eastAsiaTheme="minorEastAsia"/>
                <w:kern w:val="0"/>
                <w:sz w:val="24"/>
                <w:vertAlign w:val="superscript"/>
              </w:rPr>
              <w:t>3</w:t>
            </w:r>
            <w:r>
              <w:rPr>
                <w:rFonts w:eastAsiaTheme="minorEastAsia"/>
                <w:kern w:val="0"/>
                <w:sz w:val="24"/>
              </w:rPr>
              <w:t>/h</w:t>
            </w:r>
            <w:r>
              <w:rPr>
                <w:rFonts w:hAnsiTheme="minorEastAsia" w:eastAsiaTheme="minorEastAsia"/>
                <w:kern w:val="0"/>
                <w:sz w:val="24"/>
              </w:rPr>
              <w:t>，</w:t>
            </w:r>
            <w:r>
              <w:rPr>
                <w:rFonts w:hint="eastAsia" w:hAnsiTheme="minorEastAsia" w:eastAsiaTheme="minorEastAsia"/>
                <w:kern w:val="0"/>
                <w:sz w:val="24"/>
              </w:rPr>
              <w:t>印刷机、过油机所需总风量为46569.6</w:t>
            </w:r>
            <w:r>
              <w:rPr>
                <w:rFonts w:eastAsiaTheme="minorEastAsia"/>
                <w:kern w:val="0"/>
                <w:sz w:val="24"/>
              </w:rPr>
              <w:t xml:space="preserve"> m</w:t>
            </w:r>
            <w:r>
              <w:rPr>
                <w:rFonts w:eastAsiaTheme="minorEastAsia"/>
                <w:kern w:val="0"/>
                <w:sz w:val="24"/>
                <w:vertAlign w:val="superscript"/>
              </w:rPr>
              <w:t>3</w:t>
            </w:r>
            <w:r>
              <w:rPr>
                <w:rFonts w:eastAsiaTheme="minorEastAsia"/>
                <w:kern w:val="0"/>
                <w:sz w:val="24"/>
              </w:rPr>
              <w:t>/h</w:t>
            </w:r>
            <w:r>
              <w:rPr>
                <w:rFonts w:hAnsiTheme="minorEastAsia" w:eastAsiaTheme="minorEastAsia"/>
                <w:kern w:val="0"/>
                <w:sz w:val="24"/>
              </w:rPr>
              <w:t>，本次评价采用风机风量为</w:t>
            </w:r>
            <w:r>
              <w:rPr>
                <w:rFonts w:hint="eastAsia" w:eastAsiaTheme="minorEastAsia"/>
                <w:kern w:val="0"/>
                <w:sz w:val="24"/>
              </w:rPr>
              <w:t>46600</w:t>
            </w:r>
            <w:r>
              <w:rPr>
                <w:rFonts w:eastAsiaTheme="minorEastAsia"/>
                <w:kern w:val="0"/>
                <w:sz w:val="24"/>
              </w:rPr>
              <w:t>m</w:t>
            </w:r>
            <w:r>
              <w:rPr>
                <w:rFonts w:eastAsiaTheme="minorEastAsia"/>
                <w:kern w:val="0"/>
                <w:sz w:val="24"/>
                <w:vertAlign w:val="superscript"/>
              </w:rPr>
              <w:t>3</w:t>
            </w:r>
            <w:r>
              <w:rPr>
                <w:rFonts w:eastAsiaTheme="minorEastAsia"/>
                <w:kern w:val="0"/>
                <w:sz w:val="24"/>
              </w:rPr>
              <w:t>/h</w:t>
            </w:r>
            <w:r>
              <w:rPr>
                <w:rFonts w:hAnsiTheme="minorEastAsia" w:eastAsiaTheme="minorEastAsia"/>
                <w:kern w:val="0"/>
                <w:sz w:val="24"/>
              </w:rPr>
              <w:t>。</w:t>
            </w:r>
          </w:p>
          <w:p w14:paraId="5A47E440">
            <w:pPr>
              <w:adjustRightInd w:val="0"/>
              <w:snapToGrid w:val="0"/>
              <w:spacing w:line="480" w:lineRule="exact"/>
              <w:ind w:firstLine="480" w:firstLineChars="200"/>
              <w:jc w:val="left"/>
              <w:rPr>
                <w:rFonts w:eastAsiaTheme="minorEastAsia"/>
                <w:lang w:val="zh-CN"/>
              </w:rPr>
            </w:pPr>
            <w:r>
              <w:rPr>
                <w:rFonts w:hAnsiTheme="minorEastAsia" w:eastAsiaTheme="minorEastAsia"/>
                <w:sz w:val="24"/>
              </w:rPr>
              <w:t>综上，项目印刷、润版、清洁</w:t>
            </w:r>
            <w:r>
              <w:rPr>
                <w:rFonts w:hint="eastAsia" w:hAnsiTheme="minorEastAsia" w:eastAsiaTheme="minorEastAsia"/>
                <w:sz w:val="24"/>
              </w:rPr>
              <w:t>、过油</w:t>
            </w:r>
            <w:r>
              <w:rPr>
                <w:rFonts w:hAnsiTheme="minorEastAsia" w:eastAsiaTheme="minorEastAsia"/>
                <w:sz w:val="24"/>
              </w:rPr>
              <w:t>废气经收集后引入</w:t>
            </w:r>
            <w:r>
              <w:rPr>
                <w:rFonts w:eastAsiaTheme="minorEastAsia"/>
                <w:sz w:val="24"/>
              </w:rPr>
              <w:t>1</w:t>
            </w:r>
            <w:r>
              <w:rPr>
                <w:rFonts w:hAnsiTheme="minorEastAsia" w:eastAsiaTheme="minorEastAsia"/>
                <w:sz w:val="24"/>
              </w:rPr>
              <w:t>套</w:t>
            </w:r>
            <w:r>
              <w:rPr>
                <w:rFonts w:eastAsiaTheme="minorEastAsia"/>
                <w:sz w:val="24"/>
              </w:rPr>
              <w:t>“</w:t>
            </w:r>
            <w:r>
              <w:rPr>
                <w:rFonts w:hint="eastAsia" w:eastAsiaTheme="minorEastAsia"/>
                <w:sz w:val="24"/>
              </w:rPr>
              <w:t>二级</w:t>
            </w:r>
            <w:r>
              <w:rPr>
                <w:rFonts w:hAnsiTheme="minorEastAsia" w:eastAsiaTheme="minorEastAsia"/>
                <w:sz w:val="24"/>
              </w:rPr>
              <w:t>活性炭吸附</w:t>
            </w:r>
            <w:r>
              <w:rPr>
                <w:rFonts w:eastAsiaTheme="minorEastAsia"/>
                <w:sz w:val="24"/>
              </w:rPr>
              <w:t>”</w:t>
            </w:r>
            <w:r>
              <w:rPr>
                <w:rFonts w:hAnsiTheme="minorEastAsia" w:eastAsiaTheme="minorEastAsia"/>
                <w:sz w:val="24"/>
              </w:rPr>
              <w:t>装置处理后，通过</w:t>
            </w:r>
            <w:r>
              <w:rPr>
                <w:rFonts w:eastAsiaTheme="minorEastAsia"/>
                <w:sz w:val="24"/>
              </w:rPr>
              <w:t>1</w:t>
            </w:r>
            <w:r>
              <w:rPr>
                <w:rFonts w:hAnsiTheme="minorEastAsia" w:eastAsiaTheme="minorEastAsia"/>
                <w:sz w:val="24"/>
              </w:rPr>
              <w:t>根</w:t>
            </w:r>
            <w:r>
              <w:rPr>
                <w:rFonts w:eastAsiaTheme="minorEastAsia"/>
                <w:sz w:val="24"/>
              </w:rPr>
              <w:t>15m</w:t>
            </w:r>
            <w:r>
              <w:rPr>
                <w:rFonts w:hAnsiTheme="minorEastAsia" w:eastAsiaTheme="minorEastAsia"/>
                <w:sz w:val="24"/>
              </w:rPr>
              <w:t>高</w:t>
            </w:r>
            <w:r>
              <w:rPr>
                <w:rFonts w:eastAsiaTheme="minorEastAsia"/>
                <w:sz w:val="24"/>
              </w:rPr>
              <w:t>1#</w:t>
            </w:r>
            <w:r>
              <w:rPr>
                <w:rFonts w:hAnsiTheme="minorEastAsia" w:eastAsiaTheme="minorEastAsia"/>
                <w:sz w:val="24"/>
              </w:rPr>
              <w:t>排气筒（</w:t>
            </w:r>
            <w:r>
              <w:rPr>
                <w:rFonts w:eastAsiaTheme="minorEastAsia"/>
                <w:sz w:val="24"/>
              </w:rPr>
              <w:t>DA001</w:t>
            </w:r>
            <w:r>
              <w:rPr>
                <w:rFonts w:hAnsiTheme="minorEastAsia" w:eastAsiaTheme="minorEastAsia"/>
                <w:sz w:val="24"/>
              </w:rPr>
              <w:t>）排放。</w:t>
            </w:r>
            <w:r>
              <w:rPr>
                <w:rFonts w:hAnsiTheme="minorEastAsia" w:eastAsiaTheme="minorEastAsia"/>
                <w:kern w:val="0"/>
                <w:sz w:val="24"/>
              </w:rPr>
              <w:t>类比同类企业废气收集处理措施，集气罩收集效率考虑</w:t>
            </w:r>
            <w:r>
              <w:rPr>
                <w:rFonts w:eastAsiaTheme="minorEastAsia"/>
                <w:kern w:val="0"/>
                <w:sz w:val="24"/>
              </w:rPr>
              <w:t>80%</w:t>
            </w:r>
            <w:r>
              <w:rPr>
                <w:rFonts w:hAnsiTheme="minorEastAsia" w:eastAsiaTheme="minorEastAsia"/>
                <w:kern w:val="0"/>
                <w:sz w:val="24"/>
              </w:rPr>
              <w:t>，根据《第二次全国污染源普查工业污染源普查印刷和记录媒介复制行业系数手册》</w:t>
            </w:r>
            <w:r>
              <w:rPr>
                <w:rFonts w:eastAsiaTheme="minorEastAsia"/>
                <w:kern w:val="0"/>
                <w:sz w:val="24"/>
              </w:rPr>
              <w:t xml:space="preserve">231 </w:t>
            </w:r>
            <w:r>
              <w:rPr>
                <w:rFonts w:hAnsiTheme="minorEastAsia" w:eastAsiaTheme="minorEastAsia"/>
                <w:kern w:val="0"/>
                <w:sz w:val="24"/>
              </w:rPr>
              <w:t>印刷行业末端治理技术：活性炭处理效率</w:t>
            </w:r>
            <w:r>
              <w:rPr>
                <w:rFonts w:eastAsiaTheme="minorEastAsia"/>
                <w:kern w:val="0"/>
                <w:sz w:val="24"/>
              </w:rPr>
              <w:t>15%</w:t>
            </w:r>
            <w:r>
              <w:rPr>
                <w:rFonts w:hAnsiTheme="minorEastAsia" w:eastAsiaTheme="minorEastAsia"/>
                <w:kern w:val="0"/>
                <w:sz w:val="24"/>
              </w:rPr>
              <w:t>，</w:t>
            </w:r>
            <w:r>
              <w:rPr>
                <w:rFonts w:hint="eastAsia" w:hAnsiTheme="minorEastAsia" w:eastAsiaTheme="minorEastAsia"/>
                <w:kern w:val="0"/>
                <w:sz w:val="24"/>
              </w:rPr>
              <w:t>则</w:t>
            </w:r>
            <w:r>
              <w:rPr>
                <w:rFonts w:hAnsiTheme="minorEastAsia" w:eastAsiaTheme="minorEastAsia"/>
                <w:kern w:val="0"/>
                <w:sz w:val="24"/>
              </w:rPr>
              <w:t>本项目采用</w:t>
            </w:r>
            <w:r>
              <w:rPr>
                <w:rFonts w:eastAsiaTheme="minorEastAsia"/>
                <w:kern w:val="0"/>
                <w:sz w:val="24"/>
              </w:rPr>
              <w:t>“</w:t>
            </w:r>
            <w:r>
              <w:rPr>
                <w:rFonts w:hint="eastAsia" w:eastAsiaTheme="minorEastAsia"/>
                <w:kern w:val="0"/>
                <w:sz w:val="24"/>
              </w:rPr>
              <w:t>二级</w:t>
            </w:r>
            <w:r>
              <w:rPr>
                <w:rFonts w:hAnsiTheme="minorEastAsia" w:eastAsiaTheme="minorEastAsia"/>
                <w:kern w:val="0"/>
                <w:sz w:val="24"/>
              </w:rPr>
              <w:t>活性炭吸附</w:t>
            </w:r>
            <w:r>
              <w:rPr>
                <w:rFonts w:eastAsiaTheme="minorEastAsia"/>
                <w:kern w:val="0"/>
                <w:sz w:val="24"/>
              </w:rPr>
              <w:t>”</w:t>
            </w:r>
            <w:r>
              <w:rPr>
                <w:rFonts w:hAnsiTheme="minorEastAsia" w:eastAsiaTheme="minorEastAsia"/>
                <w:kern w:val="0"/>
                <w:sz w:val="24"/>
              </w:rPr>
              <w:t>工艺，合计处理效率约</w:t>
            </w:r>
            <w:r>
              <w:rPr>
                <w:rFonts w:hint="eastAsia" w:eastAsiaTheme="minorEastAsia"/>
                <w:kern w:val="0"/>
                <w:sz w:val="24"/>
              </w:rPr>
              <w:t>28</w:t>
            </w:r>
            <w:r>
              <w:rPr>
                <w:rFonts w:eastAsiaTheme="minorEastAsia"/>
                <w:kern w:val="0"/>
                <w:sz w:val="24"/>
              </w:rPr>
              <w:t>%</w:t>
            </w:r>
            <w:r>
              <w:rPr>
                <w:rFonts w:hAnsiTheme="minorEastAsia" w:eastAsiaTheme="minorEastAsia"/>
                <w:kern w:val="0"/>
                <w:sz w:val="24"/>
              </w:rPr>
              <w:t>。</w:t>
            </w:r>
          </w:p>
          <w:p w14:paraId="6F55EC7B">
            <w:pPr>
              <w:adjustRightInd w:val="0"/>
              <w:snapToGrid w:val="0"/>
              <w:spacing w:line="480" w:lineRule="exact"/>
              <w:ind w:firstLine="480" w:firstLineChars="200"/>
              <w:jc w:val="left"/>
              <w:rPr>
                <w:sz w:val="24"/>
                <w:highlight w:val="yellow"/>
              </w:rPr>
            </w:pPr>
            <w:r>
              <w:rPr>
                <w:rFonts w:hint="eastAsia"/>
                <w:sz w:val="24"/>
              </w:rPr>
              <w:t>拟建项目2#厂房营运期产生的印刷、润版、清洁、过油废气产排情况详见表4.2-7。</w:t>
            </w:r>
          </w:p>
          <w:p w14:paraId="21ED6BE1">
            <w:pPr>
              <w:adjustRightInd w:val="0"/>
              <w:snapToGrid w:val="0"/>
              <w:jc w:val="center"/>
              <w:rPr>
                <w:rFonts w:hAnsi="宋体"/>
                <w:b/>
                <w:szCs w:val="21"/>
              </w:rPr>
            </w:pPr>
          </w:p>
          <w:p w14:paraId="713AA849">
            <w:pPr>
              <w:adjustRightInd w:val="0"/>
              <w:snapToGrid w:val="0"/>
              <w:jc w:val="center"/>
              <w:rPr>
                <w:rFonts w:hAnsi="宋体"/>
                <w:b/>
                <w:szCs w:val="21"/>
              </w:rPr>
            </w:pPr>
          </w:p>
          <w:p w14:paraId="1BD0BFD2">
            <w:pPr>
              <w:adjustRightInd w:val="0"/>
              <w:snapToGrid w:val="0"/>
              <w:jc w:val="center"/>
              <w:rPr>
                <w:rFonts w:hAnsi="宋体"/>
                <w:b/>
                <w:szCs w:val="21"/>
              </w:rPr>
            </w:pPr>
          </w:p>
          <w:p w14:paraId="56AC4770">
            <w:pPr>
              <w:adjustRightInd w:val="0"/>
              <w:snapToGrid w:val="0"/>
              <w:jc w:val="center"/>
              <w:rPr>
                <w:rFonts w:hAnsi="宋体"/>
                <w:b/>
                <w:szCs w:val="21"/>
              </w:rPr>
            </w:pPr>
          </w:p>
          <w:p w14:paraId="60770AAA">
            <w:pPr>
              <w:adjustRightInd w:val="0"/>
              <w:snapToGrid w:val="0"/>
              <w:jc w:val="center"/>
              <w:rPr>
                <w:rFonts w:hAnsi="宋体"/>
                <w:b/>
                <w:szCs w:val="21"/>
              </w:rPr>
            </w:pPr>
          </w:p>
          <w:p w14:paraId="6AB236EF">
            <w:pPr>
              <w:adjustRightInd w:val="0"/>
              <w:snapToGrid w:val="0"/>
              <w:jc w:val="center"/>
              <w:rPr>
                <w:rFonts w:hAnsi="宋体"/>
                <w:b/>
                <w:szCs w:val="21"/>
              </w:rPr>
            </w:pPr>
          </w:p>
          <w:p w14:paraId="2E57F25C">
            <w:pPr>
              <w:adjustRightInd w:val="0"/>
              <w:snapToGrid w:val="0"/>
              <w:jc w:val="center"/>
              <w:rPr>
                <w:rFonts w:hAnsi="宋体"/>
                <w:b/>
                <w:szCs w:val="21"/>
              </w:rPr>
            </w:pPr>
            <w:r>
              <w:rPr>
                <w:rFonts w:hint="eastAsia" w:hAnsi="宋体"/>
                <w:b/>
                <w:szCs w:val="21"/>
              </w:rPr>
              <w:t>表4.2-7  项目营运期1#排气筒废气产排情况一览表</w:t>
            </w:r>
          </w:p>
          <w:tbl>
            <w:tblPr>
              <w:tblStyle w:val="24"/>
              <w:tblW w:w="85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32"/>
              <w:gridCol w:w="956"/>
              <w:gridCol w:w="961"/>
              <w:gridCol w:w="709"/>
              <w:gridCol w:w="1343"/>
              <w:gridCol w:w="1369"/>
              <w:gridCol w:w="850"/>
              <w:gridCol w:w="1005"/>
            </w:tblGrid>
            <w:tr w14:paraId="50A1E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1332" w:type="dxa"/>
                  <w:vMerge w:val="restart"/>
                  <w:vAlign w:val="center"/>
                </w:tcPr>
                <w:p w14:paraId="107816E5">
                  <w:pPr>
                    <w:adjustRightInd w:val="0"/>
                    <w:snapToGrid w:val="0"/>
                    <w:jc w:val="center"/>
                    <w:rPr>
                      <w:szCs w:val="21"/>
                    </w:rPr>
                  </w:pPr>
                  <w:r>
                    <w:rPr>
                      <w:rFonts w:hint="eastAsia"/>
                      <w:szCs w:val="21"/>
                    </w:rPr>
                    <w:t>排放源</w:t>
                  </w:r>
                </w:p>
              </w:tc>
              <w:tc>
                <w:tcPr>
                  <w:tcW w:w="956" w:type="dxa"/>
                  <w:vMerge w:val="restart"/>
                  <w:vAlign w:val="center"/>
                </w:tcPr>
                <w:p w14:paraId="39DF3FC6">
                  <w:pPr>
                    <w:adjustRightInd w:val="0"/>
                    <w:snapToGrid w:val="0"/>
                    <w:jc w:val="center"/>
                    <w:rPr>
                      <w:szCs w:val="21"/>
                    </w:rPr>
                  </w:pPr>
                  <w:r>
                    <w:rPr>
                      <w:rFonts w:hint="eastAsia"/>
                      <w:szCs w:val="21"/>
                    </w:rPr>
                    <w:t>污染物名称</w:t>
                  </w:r>
                </w:p>
              </w:tc>
              <w:tc>
                <w:tcPr>
                  <w:tcW w:w="1670" w:type="dxa"/>
                  <w:gridSpan w:val="2"/>
                  <w:vAlign w:val="center"/>
                </w:tcPr>
                <w:p w14:paraId="34CD2044">
                  <w:pPr>
                    <w:adjustRightInd w:val="0"/>
                    <w:snapToGrid w:val="0"/>
                    <w:jc w:val="center"/>
                    <w:rPr>
                      <w:szCs w:val="21"/>
                    </w:rPr>
                  </w:pPr>
                  <w:r>
                    <w:rPr>
                      <w:rFonts w:hint="eastAsia"/>
                      <w:szCs w:val="21"/>
                    </w:rPr>
                    <w:t>产生情况</w:t>
                  </w:r>
                </w:p>
              </w:tc>
              <w:tc>
                <w:tcPr>
                  <w:tcW w:w="4567" w:type="dxa"/>
                  <w:gridSpan w:val="4"/>
                  <w:vAlign w:val="center"/>
                </w:tcPr>
                <w:p w14:paraId="6C6741C1">
                  <w:pPr>
                    <w:adjustRightInd w:val="0"/>
                    <w:snapToGrid w:val="0"/>
                    <w:jc w:val="center"/>
                    <w:rPr>
                      <w:szCs w:val="21"/>
                    </w:rPr>
                  </w:pPr>
                  <w:r>
                    <w:rPr>
                      <w:rFonts w:hint="eastAsia"/>
                      <w:szCs w:val="21"/>
                    </w:rPr>
                    <w:t>排放情况</w:t>
                  </w:r>
                </w:p>
              </w:tc>
            </w:tr>
            <w:tr w14:paraId="30840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332" w:type="dxa"/>
                  <w:vMerge w:val="continue"/>
                  <w:vAlign w:val="center"/>
                </w:tcPr>
                <w:p w14:paraId="34B6D0AE">
                  <w:pPr>
                    <w:adjustRightInd w:val="0"/>
                    <w:snapToGrid w:val="0"/>
                    <w:jc w:val="center"/>
                    <w:rPr>
                      <w:szCs w:val="21"/>
                    </w:rPr>
                  </w:pPr>
                </w:p>
              </w:tc>
              <w:tc>
                <w:tcPr>
                  <w:tcW w:w="956" w:type="dxa"/>
                  <w:vMerge w:val="continue"/>
                  <w:vAlign w:val="center"/>
                </w:tcPr>
                <w:p w14:paraId="49A7F3F8">
                  <w:pPr>
                    <w:adjustRightInd w:val="0"/>
                    <w:snapToGrid w:val="0"/>
                    <w:jc w:val="center"/>
                    <w:rPr>
                      <w:szCs w:val="21"/>
                    </w:rPr>
                  </w:pPr>
                </w:p>
              </w:tc>
              <w:tc>
                <w:tcPr>
                  <w:tcW w:w="961" w:type="dxa"/>
                  <w:vAlign w:val="center"/>
                </w:tcPr>
                <w:p w14:paraId="3DBFB138">
                  <w:pPr>
                    <w:adjustRightInd w:val="0"/>
                    <w:snapToGrid w:val="0"/>
                    <w:jc w:val="center"/>
                    <w:rPr>
                      <w:szCs w:val="21"/>
                    </w:rPr>
                  </w:pPr>
                  <w:r>
                    <w:rPr>
                      <w:rFonts w:hint="eastAsia"/>
                      <w:szCs w:val="21"/>
                    </w:rPr>
                    <w:t>产生速率kg/h</w:t>
                  </w:r>
                </w:p>
              </w:tc>
              <w:tc>
                <w:tcPr>
                  <w:tcW w:w="709" w:type="dxa"/>
                  <w:vAlign w:val="center"/>
                </w:tcPr>
                <w:p w14:paraId="25665709">
                  <w:pPr>
                    <w:adjustRightInd w:val="0"/>
                    <w:snapToGrid w:val="0"/>
                    <w:jc w:val="center"/>
                    <w:rPr>
                      <w:szCs w:val="21"/>
                    </w:rPr>
                  </w:pPr>
                  <w:r>
                    <w:rPr>
                      <w:rFonts w:hint="eastAsia"/>
                      <w:szCs w:val="21"/>
                    </w:rPr>
                    <w:t>产生量t/a</w:t>
                  </w:r>
                </w:p>
              </w:tc>
              <w:tc>
                <w:tcPr>
                  <w:tcW w:w="1343" w:type="dxa"/>
                  <w:vAlign w:val="center"/>
                </w:tcPr>
                <w:p w14:paraId="700337FF">
                  <w:pPr>
                    <w:adjustRightInd w:val="0"/>
                    <w:snapToGrid w:val="0"/>
                    <w:jc w:val="center"/>
                    <w:rPr>
                      <w:szCs w:val="21"/>
                    </w:rPr>
                  </w:pPr>
                  <w:r>
                    <w:rPr>
                      <w:rFonts w:hint="eastAsia"/>
                      <w:szCs w:val="21"/>
                    </w:rPr>
                    <w:t>排放浓度</w:t>
                  </w:r>
                </w:p>
                <w:p w14:paraId="1AD69965">
                  <w:pPr>
                    <w:adjustRightInd w:val="0"/>
                    <w:snapToGrid w:val="0"/>
                    <w:jc w:val="center"/>
                    <w:rPr>
                      <w:szCs w:val="21"/>
                    </w:rPr>
                  </w:pPr>
                  <w:r>
                    <w:rPr>
                      <w:rFonts w:hint="eastAsia"/>
                      <w:szCs w:val="21"/>
                    </w:rPr>
                    <w:t>mg/m</w:t>
                  </w:r>
                  <w:r>
                    <w:rPr>
                      <w:rFonts w:hint="eastAsia"/>
                      <w:szCs w:val="21"/>
                      <w:vertAlign w:val="superscript"/>
                    </w:rPr>
                    <w:t>3</w:t>
                  </w:r>
                </w:p>
              </w:tc>
              <w:tc>
                <w:tcPr>
                  <w:tcW w:w="1369" w:type="dxa"/>
                  <w:vAlign w:val="center"/>
                </w:tcPr>
                <w:p w14:paraId="5FB9E0E0">
                  <w:pPr>
                    <w:adjustRightInd w:val="0"/>
                    <w:snapToGrid w:val="0"/>
                    <w:jc w:val="center"/>
                    <w:rPr>
                      <w:szCs w:val="21"/>
                    </w:rPr>
                  </w:pPr>
                  <w:r>
                    <w:rPr>
                      <w:rFonts w:hint="eastAsia"/>
                      <w:szCs w:val="21"/>
                    </w:rPr>
                    <w:t>排放速率kg/h</w:t>
                  </w:r>
                </w:p>
              </w:tc>
              <w:tc>
                <w:tcPr>
                  <w:tcW w:w="850" w:type="dxa"/>
                  <w:vAlign w:val="center"/>
                </w:tcPr>
                <w:p w14:paraId="09246A6D">
                  <w:pPr>
                    <w:adjustRightInd w:val="0"/>
                    <w:snapToGrid w:val="0"/>
                    <w:jc w:val="center"/>
                    <w:rPr>
                      <w:szCs w:val="21"/>
                    </w:rPr>
                  </w:pPr>
                  <w:r>
                    <w:rPr>
                      <w:rFonts w:hint="eastAsia"/>
                      <w:szCs w:val="21"/>
                    </w:rPr>
                    <w:t>排放量</w:t>
                  </w:r>
                </w:p>
                <w:p w14:paraId="4CEA3FA6">
                  <w:pPr>
                    <w:adjustRightInd w:val="0"/>
                    <w:snapToGrid w:val="0"/>
                    <w:jc w:val="center"/>
                    <w:rPr>
                      <w:szCs w:val="21"/>
                    </w:rPr>
                  </w:pPr>
                  <w:r>
                    <w:rPr>
                      <w:rFonts w:hint="eastAsia"/>
                      <w:szCs w:val="21"/>
                    </w:rPr>
                    <w:t>t/a</w:t>
                  </w:r>
                </w:p>
              </w:tc>
              <w:tc>
                <w:tcPr>
                  <w:tcW w:w="1005" w:type="dxa"/>
                  <w:vAlign w:val="center"/>
                </w:tcPr>
                <w:p w14:paraId="5780030D">
                  <w:pPr>
                    <w:adjustRightInd w:val="0"/>
                    <w:snapToGrid w:val="0"/>
                    <w:jc w:val="center"/>
                    <w:rPr>
                      <w:szCs w:val="21"/>
                    </w:rPr>
                  </w:pPr>
                  <w:r>
                    <w:rPr>
                      <w:rFonts w:hint="eastAsia"/>
                      <w:szCs w:val="21"/>
                    </w:rPr>
                    <w:t>排放</w:t>
                  </w:r>
                </w:p>
                <w:p w14:paraId="14B482E4">
                  <w:pPr>
                    <w:adjustRightInd w:val="0"/>
                    <w:snapToGrid w:val="0"/>
                    <w:jc w:val="center"/>
                    <w:rPr>
                      <w:szCs w:val="21"/>
                    </w:rPr>
                  </w:pPr>
                  <w:r>
                    <w:rPr>
                      <w:rFonts w:hint="eastAsia"/>
                      <w:szCs w:val="21"/>
                    </w:rPr>
                    <w:t>方式</w:t>
                  </w:r>
                </w:p>
              </w:tc>
            </w:tr>
            <w:tr w14:paraId="72F8E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1332" w:type="dxa"/>
                  <w:vMerge w:val="restart"/>
                  <w:vAlign w:val="center"/>
                </w:tcPr>
                <w:p w14:paraId="6567DD2C">
                  <w:pPr>
                    <w:adjustRightInd w:val="0"/>
                    <w:snapToGrid w:val="0"/>
                    <w:jc w:val="center"/>
                    <w:rPr>
                      <w:szCs w:val="21"/>
                    </w:rPr>
                  </w:pPr>
                  <w:r>
                    <w:rPr>
                      <w:rFonts w:hint="eastAsia"/>
                      <w:szCs w:val="21"/>
                    </w:rPr>
                    <w:t>2#厂房印刷、润版、清洁、过油废气</w:t>
                  </w:r>
                </w:p>
              </w:tc>
              <w:tc>
                <w:tcPr>
                  <w:tcW w:w="956" w:type="dxa"/>
                  <w:vMerge w:val="restart"/>
                  <w:vAlign w:val="center"/>
                </w:tcPr>
                <w:p w14:paraId="1D43FD7F">
                  <w:pPr>
                    <w:adjustRightInd w:val="0"/>
                    <w:snapToGrid w:val="0"/>
                    <w:jc w:val="center"/>
                    <w:rPr>
                      <w:szCs w:val="21"/>
                    </w:rPr>
                  </w:pPr>
                  <w:r>
                    <w:rPr>
                      <w:rFonts w:hint="eastAsia"/>
                      <w:szCs w:val="21"/>
                    </w:rPr>
                    <w:t>非甲烷</w:t>
                  </w:r>
                </w:p>
                <w:p w14:paraId="4DE9F7B9">
                  <w:pPr>
                    <w:adjustRightInd w:val="0"/>
                    <w:snapToGrid w:val="0"/>
                    <w:jc w:val="center"/>
                    <w:rPr>
                      <w:szCs w:val="21"/>
                    </w:rPr>
                  </w:pPr>
                  <w:r>
                    <w:rPr>
                      <w:rFonts w:hint="eastAsia"/>
                      <w:szCs w:val="21"/>
                    </w:rPr>
                    <w:t>总烃</w:t>
                  </w:r>
                </w:p>
              </w:tc>
              <w:tc>
                <w:tcPr>
                  <w:tcW w:w="961" w:type="dxa"/>
                  <w:vMerge w:val="restart"/>
                  <w:vAlign w:val="center"/>
                </w:tcPr>
                <w:p w14:paraId="7827624F">
                  <w:pPr>
                    <w:adjustRightInd w:val="0"/>
                    <w:snapToGrid w:val="0"/>
                    <w:jc w:val="center"/>
                    <w:rPr>
                      <w:szCs w:val="21"/>
                    </w:rPr>
                  </w:pPr>
                  <w:r>
                    <w:rPr>
                      <w:rFonts w:hint="eastAsia"/>
                      <w:szCs w:val="21"/>
                    </w:rPr>
                    <w:t>0.683</w:t>
                  </w:r>
                </w:p>
              </w:tc>
              <w:tc>
                <w:tcPr>
                  <w:tcW w:w="709" w:type="dxa"/>
                  <w:vMerge w:val="restart"/>
                  <w:vAlign w:val="center"/>
                </w:tcPr>
                <w:p w14:paraId="0293C377">
                  <w:pPr>
                    <w:adjustRightInd w:val="0"/>
                    <w:snapToGrid w:val="0"/>
                    <w:jc w:val="center"/>
                    <w:rPr>
                      <w:szCs w:val="21"/>
                    </w:rPr>
                  </w:pPr>
                  <w:r>
                    <w:rPr>
                      <w:rFonts w:hint="eastAsia"/>
                      <w:szCs w:val="21"/>
                    </w:rPr>
                    <w:t>2.73</w:t>
                  </w:r>
                </w:p>
              </w:tc>
              <w:tc>
                <w:tcPr>
                  <w:tcW w:w="1343" w:type="dxa"/>
                  <w:vAlign w:val="center"/>
                </w:tcPr>
                <w:p w14:paraId="46C6D5A3">
                  <w:pPr>
                    <w:adjustRightInd w:val="0"/>
                    <w:snapToGrid w:val="0"/>
                    <w:jc w:val="center"/>
                    <w:rPr>
                      <w:szCs w:val="21"/>
                    </w:rPr>
                  </w:pPr>
                  <w:r>
                    <w:rPr>
                      <w:rFonts w:hint="eastAsia"/>
                      <w:szCs w:val="21"/>
                    </w:rPr>
                    <w:t>10.5</w:t>
                  </w:r>
                </w:p>
                <w:p w14:paraId="3658EE5B">
                  <w:pPr>
                    <w:adjustRightInd w:val="0"/>
                    <w:snapToGrid w:val="0"/>
                    <w:jc w:val="center"/>
                    <w:rPr>
                      <w:szCs w:val="21"/>
                    </w:rPr>
                  </w:pPr>
                  <w:r>
                    <w:rPr>
                      <w:rFonts w:hint="eastAsia"/>
                      <w:szCs w:val="21"/>
                    </w:rPr>
                    <w:t>（最大47）</w:t>
                  </w:r>
                </w:p>
              </w:tc>
              <w:tc>
                <w:tcPr>
                  <w:tcW w:w="1369" w:type="dxa"/>
                  <w:vAlign w:val="center"/>
                </w:tcPr>
                <w:p w14:paraId="2EAC1A8E">
                  <w:pPr>
                    <w:adjustRightInd w:val="0"/>
                    <w:snapToGrid w:val="0"/>
                    <w:jc w:val="center"/>
                    <w:rPr>
                      <w:szCs w:val="21"/>
                    </w:rPr>
                  </w:pPr>
                  <w:r>
                    <w:rPr>
                      <w:rFonts w:hint="eastAsia"/>
                      <w:szCs w:val="21"/>
                    </w:rPr>
                    <w:t>0.492</w:t>
                  </w:r>
                </w:p>
                <w:p w14:paraId="6E09DD12">
                  <w:pPr>
                    <w:adjustRightInd w:val="0"/>
                    <w:snapToGrid w:val="0"/>
                    <w:jc w:val="center"/>
                    <w:rPr>
                      <w:szCs w:val="21"/>
                    </w:rPr>
                  </w:pPr>
                  <w:r>
                    <w:rPr>
                      <w:rFonts w:hint="eastAsia"/>
                      <w:szCs w:val="21"/>
                    </w:rPr>
                    <w:t>（最大2.189）</w:t>
                  </w:r>
                </w:p>
              </w:tc>
              <w:tc>
                <w:tcPr>
                  <w:tcW w:w="850" w:type="dxa"/>
                  <w:vAlign w:val="center"/>
                </w:tcPr>
                <w:p w14:paraId="680D1461">
                  <w:pPr>
                    <w:adjustRightInd w:val="0"/>
                    <w:snapToGrid w:val="0"/>
                    <w:jc w:val="center"/>
                    <w:rPr>
                      <w:szCs w:val="21"/>
                    </w:rPr>
                  </w:pPr>
                  <w:r>
                    <w:rPr>
                      <w:rFonts w:hint="eastAsia"/>
                      <w:szCs w:val="21"/>
                    </w:rPr>
                    <w:t>1.966</w:t>
                  </w:r>
                </w:p>
              </w:tc>
              <w:tc>
                <w:tcPr>
                  <w:tcW w:w="1005" w:type="dxa"/>
                  <w:vAlign w:val="center"/>
                </w:tcPr>
                <w:p w14:paraId="6DF6E52A">
                  <w:pPr>
                    <w:adjustRightInd w:val="0"/>
                    <w:snapToGrid w:val="0"/>
                    <w:jc w:val="center"/>
                    <w:rPr>
                      <w:szCs w:val="21"/>
                    </w:rPr>
                  </w:pPr>
                  <w:r>
                    <w:rPr>
                      <w:rFonts w:hint="eastAsia"/>
                      <w:szCs w:val="21"/>
                    </w:rPr>
                    <w:t>有组织（1#排气筒）</w:t>
                  </w:r>
                </w:p>
              </w:tc>
            </w:tr>
            <w:tr w14:paraId="22D16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332" w:type="dxa"/>
                  <w:vMerge w:val="continue"/>
                  <w:vAlign w:val="center"/>
                </w:tcPr>
                <w:p w14:paraId="051E128C">
                  <w:pPr>
                    <w:adjustRightInd w:val="0"/>
                    <w:snapToGrid w:val="0"/>
                    <w:jc w:val="center"/>
                    <w:rPr>
                      <w:szCs w:val="21"/>
                    </w:rPr>
                  </w:pPr>
                </w:p>
              </w:tc>
              <w:tc>
                <w:tcPr>
                  <w:tcW w:w="956" w:type="dxa"/>
                  <w:vMerge w:val="continue"/>
                  <w:vAlign w:val="center"/>
                </w:tcPr>
                <w:p w14:paraId="78AD83D2">
                  <w:pPr>
                    <w:adjustRightInd w:val="0"/>
                    <w:snapToGrid w:val="0"/>
                    <w:jc w:val="center"/>
                    <w:rPr>
                      <w:szCs w:val="21"/>
                    </w:rPr>
                  </w:pPr>
                </w:p>
              </w:tc>
              <w:tc>
                <w:tcPr>
                  <w:tcW w:w="961" w:type="dxa"/>
                  <w:vMerge w:val="continue"/>
                  <w:vAlign w:val="center"/>
                </w:tcPr>
                <w:p w14:paraId="53289CA0">
                  <w:pPr>
                    <w:adjustRightInd w:val="0"/>
                    <w:snapToGrid w:val="0"/>
                    <w:jc w:val="center"/>
                    <w:rPr>
                      <w:szCs w:val="21"/>
                    </w:rPr>
                  </w:pPr>
                </w:p>
              </w:tc>
              <w:tc>
                <w:tcPr>
                  <w:tcW w:w="709" w:type="dxa"/>
                  <w:vMerge w:val="continue"/>
                  <w:vAlign w:val="center"/>
                </w:tcPr>
                <w:p w14:paraId="2757CA7B">
                  <w:pPr>
                    <w:adjustRightInd w:val="0"/>
                    <w:snapToGrid w:val="0"/>
                    <w:jc w:val="center"/>
                    <w:rPr>
                      <w:szCs w:val="21"/>
                    </w:rPr>
                  </w:pPr>
                </w:p>
              </w:tc>
              <w:tc>
                <w:tcPr>
                  <w:tcW w:w="1343" w:type="dxa"/>
                  <w:vAlign w:val="center"/>
                </w:tcPr>
                <w:p w14:paraId="56D1BA88">
                  <w:pPr>
                    <w:adjustRightInd w:val="0"/>
                    <w:snapToGrid w:val="0"/>
                    <w:jc w:val="center"/>
                    <w:rPr>
                      <w:szCs w:val="21"/>
                    </w:rPr>
                  </w:pPr>
                  <w:r>
                    <w:rPr>
                      <w:rFonts w:hint="eastAsia"/>
                      <w:szCs w:val="21"/>
                    </w:rPr>
                    <w:t>/</w:t>
                  </w:r>
                </w:p>
              </w:tc>
              <w:tc>
                <w:tcPr>
                  <w:tcW w:w="1369" w:type="dxa"/>
                  <w:vAlign w:val="center"/>
                </w:tcPr>
                <w:p w14:paraId="4DF47786">
                  <w:pPr>
                    <w:adjustRightInd w:val="0"/>
                    <w:snapToGrid w:val="0"/>
                    <w:jc w:val="center"/>
                    <w:rPr>
                      <w:szCs w:val="21"/>
                    </w:rPr>
                  </w:pPr>
                </w:p>
              </w:tc>
              <w:tc>
                <w:tcPr>
                  <w:tcW w:w="850" w:type="dxa"/>
                  <w:vAlign w:val="center"/>
                </w:tcPr>
                <w:p w14:paraId="59A3A7E7">
                  <w:pPr>
                    <w:adjustRightInd w:val="0"/>
                    <w:snapToGrid w:val="0"/>
                    <w:jc w:val="center"/>
                    <w:rPr>
                      <w:szCs w:val="21"/>
                    </w:rPr>
                  </w:pPr>
                  <w:r>
                    <w:rPr>
                      <w:rFonts w:hint="eastAsia"/>
                      <w:szCs w:val="21"/>
                    </w:rPr>
                    <w:t>0.683</w:t>
                  </w:r>
                </w:p>
              </w:tc>
              <w:tc>
                <w:tcPr>
                  <w:tcW w:w="1005" w:type="dxa"/>
                  <w:vAlign w:val="center"/>
                </w:tcPr>
                <w:p w14:paraId="432FE532">
                  <w:pPr>
                    <w:adjustRightInd w:val="0"/>
                    <w:snapToGrid w:val="0"/>
                    <w:jc w:val="center"/>
                    <w:rPr>
                      <w:szCs w:val="21"/>
                    </w:rPr>
                  </w:pPr>
                  <w:r>
                    <w:rPr>
                      <w:rFonts w:hint="eastAsia"/>
                      <w:szCs w:val="21"/>
                    </w:rPr>
                    <w:t>无组织</w:t>
                  </w:r>
                </w:p>
              </w:tc>
            </w:tr>
            <w:tr w14:paraId="664A9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525" w:type="dxa"/>
                  <w:gridSpan w:val="8"/>
                  <w:vAlign w:val="center"/>
                </w:tcPr>
                <w:p w14:paraId="2A5DE6D4">
                  <w:pPr>
                    <w:adjustRightInd w:val="0"/>
                    <w:snapToGrid w:val="0"/>
                    <w:jc w:val="center"/>
                    <w:rPr>
                      <w:spacing w:val="-4"/>
                      <w:szCs w:val="21"/>
                    </w:rPr>
                  </w:pPr>
                  <w:r>
                    <w:rPr>
                      <w:rFonts w:hint="eastAsia"/>
                      <w:szCs w:val="21"/>
                    </w:rPr>
                    <w:t>1#排气筒，15m，内径1.1m，风量46600m</w:t>
                  </w:r>
                  <w:r>
                    <w:rPr>
                      <w:rFonts w:hint="eastAsia"/>
                      <w:szCs w:val="21"/>
                      <w:vertAlign w:val="superscript"/>
                    </w:rPr>
                    <w:t>3</w:t>
                  </w:r>
                  <w:r>
                    <w:rPr>
                      <w:rFonts w:hint="eastAsia"/>
                      <w:szCs w:val="21"/>
                    </w:rPr>
                    <w:t>/h，</w:t>
                  </w:r>
                  <w:r>
                    <w:rPr>
                      <w:spacing w:val="-4"/>
                      <w:szCs w:val="21"/>
                    </w:rPr>
                    <w:t>工作</w:t>
                  </w:r>
                  <w:r>
                    <w:rPr>
                      <w:rFonts w:hint="eastAsia"/>
                      <w:spacing w:val="-4"/>
                      <w:szCs w:val="21"/>
                    </w:rPr>
                    <w:t>16</w:t>
                  </w:r>
                  <w:r>
                    <w:rPr>
                      <w:spacing w:val="-4"/>
                      <w:szCs w:val="21"/>
                    </w:rPr>
                    <w:t>h/d，</w:t>
                  </w:r>
                  <w:r>
                    <w:rPr>
                      <w:rFonts w:hint="eastAsia"/>
                      <w:spacing w:val="-4"/>
                      <w:szCs w:val="21"/>
                    </w:rPr>
                    <w:t>250</w:t>
                  </w:r>
                  <w:r>
                    <w:rPr>
                      <w:spacing w:val="-4"/>
                      <w:szCs w:val="21"/>
                    </w:rPr>
                    <w:t>d/a。</w:t>
                  </w:r>
                </w:p>
                <w:p w14:paraId="03513FC8">
                  <w:pPr>
                    <w:adjustRightInd w:val="0"/>
                    <w:snapToGrid w:val="0"/>
                    <w:jc w:val="center"/>
                    <w:rPr>
                      <w:szCs w:val="21"/>
                    </w:rPr>
                  </w:pPr>
                  <w:r>
                    <w:rPr>
                      <w:rFonts w:hint="eastAsia"/>
                      <w:spacing w:val="-4"/>
                      <w:szCs w:val="21"/>
                    </w:rPr>
                    <w:t>最大速率、浓度考虑CTP印刷版每天集中擦拭3h的最大排放速率和排放浓度</w:t>
                  </w:r>
                </w:p>
              </w:tc>
            </w:tr>
          </w:tbl>
          <w:p w14:paraId="36EC3B2B">
            <w:pPr>
              <w:autoSpaceDE w:val="0"/>
              <w:autoSpaceDN w:val="0"/>
              <w:adjustRightInd w:val="0"/>
              <w:spacing w:line="480" w:lineRule="exact"/>
              <w:ind w:firstLine="480" w:firstLineChars="200"/>
              <w:jc w:val="left"/>
              <w:rPr>
                <w:rFonts w:hAnsi="宋体"/>
                <w:kern w:val="0"/>
                <w:sz w:val="24"/>
                <w:highlight w:val="yellow"/>
              </w:rPr>
            </w:pPr>
            <w:r>
              <w:rPr>
                <w:rFonts w:hAnsi="宋体"/>
                <w:kern w:val="0"/>
                <w:sz w:val="24"/>
                <w:highlight w:val="yellow"/>
              </w:rPr>
              <w:pict>
                <v:shape id="_x0000_s1409" o:spid="_x0000_s1409" o:spt="202" type="#_x0000_t202" style="position:absolute;left:0pt;margin-left:317.25pt;margin-top:6.35pt;height:32.9pt;width:76pt;z-index:251722752;mso-width-relative:margin;mso-height-relative:margin;mso-height-percent:200;" filled="f" stroked="f" coordsize="21600,21600">
                  <v:path/>
                  <v:fill on="f" focussize="0,0"/>
                  <v:stroke on="f" joinstyle="miter"/>
                  <v:imagedata o:title=""/>
                  <o:lock v:ext="edit"/>
                  <v:textbox style="mso-fit-shape-to-text:t;">
                    <w:txbxContent>
                      <w:p w14:paraId="40667D40">
                        <w:pPr>
                          <w:rPr>
                            <w:rFonts w:eastAsiaTheme="minorEastAsia"/>
                            <w:szCs w:val="21"/>
                          </w:rPr>
                        </w:pPr>
                        <w:r>
                          <w:rPr>
                            <w:rFonts w:hAnsiTheme="minorEastAsia" w:eastAsiaTheme="minorEastAsia"/>
                            <w:szCs w:val="21"/>
                          </w:rPr>
                          <w:t>无组织排放</w:t>
                        </w:r>
                        <w:r>
                          <w:rPr>
                            <w:rFonts w:eastAsiaTheme="minorEastAsia"/>
                            <w:szCs w:val="21"/>
                          </w:rPr>
                          <w:t>0.683 t/a</w:t>
                        </w:r>
                      </w:p>
                    </w:txbxContent>
                  </v:textbox>
                </v:shape>
              </w:pict>
            </w:r>
            <w:r>
              <w:rPr>
                <w:rFonts w:hAnsi="宋体"/>
                <w:kern w:val="0"/>
                <w:sz w:val="24"/>
                <w:highlight w:val="yellow"/>
              </w:rPr>
              <w:pict>
                <v:shape id="_x0000_s1402" o:spid="_x0000_s1402" o:spt="202" type="#_x0000_t202" style="position:absolute;left:0pt;margin-left:233.55pt;margin-top:3.4pt;height:20.8pt;width:81.15pt;z-index:251715584;mso-width-relative:margin;mso-height-relative:margin;mso-height-percent:200;" filled="f" stroked="f" coordsize="21600,21600">
                  <v:path/>
                  <v:fill on="f" focussize="0,0"/>
                  <v:stroke on="f" joinstyle="miter"/>
                  <v:imagedata o:title=""/>
                  <o:lock v:ext="edit"/>
                  <v:textbox style="mso-fit-shape-to-text:t;">
                    <w:txbxContent>
                      <w:p w14:paraId="058770ED">
                        <w:r>
                          <w:rPr>
                            <w:rFonts w:hint="eastAsia"/>
                          </w:rPr>
                          <w:t>未收集量20%</w:t>
                        </w:r>
                      </w:p>
                    </w:txbxContent>
                  </v:textbox>
                </v:shape>
              </w:pict>
            </w:r>
            <w:r>
              <w:rPr>
                <w:b/>
                <w:spacing w:val="-10"/>
                <w:sz w:val="24"/>
              </w:rPr>
              <w:pict>
                <v:shape id="_x0000_s1401" o:spid="_x0000_s1401" o:spt="202" type="#_x0000_t202" style="position:absolute;left:0pt;margin-left:232.35pt;margin-top:22.15pt;height:53.9pt;width:109.15pt;z-index:251714560;mso-width-relative:margin;mso-height-relative:margin;mso-height-percent:200;" filled="f" stroked="f" coordsize="21600,21600">
                  <v:path/>
                  <v:fill on="f" focussize="0,0"/>
                  <v:stroke on="f" joinstyle="miter"/>
                  <v:imagedata o:title=""/>
                  <o:lock v:ext="edit"/>
                  <v:textbox style="mso-fit-shape-to-text:t;">
                    <w:txbxContent>
                      <w:p w14:paraId="337D874C">
                        <w:pPr>
                          <w:rPr>
                            <w:sz w:val="18"/>
                            <w:szCs w:val="18"/>
                          </w:rPr>
                        </w:pPr>
                        <w:r>
                          <w:rPr>
                            <w:rFonts w:hint="eastAsia"/>
                            <w:sz w:val="18"/>
                            <w:szCs w:val="18"/>
                          </w:rPr>
                          <w:t>印刷废气0.056t/a</w:t>
                        </w:r>
                      </w:p>
                      <w:p w14:paraId="100C7034">
                        <w:pPr>
                          <w:rPr>
                            <w:sz w:val="18"/>
                            <w:szCs w:val="18"/>
                          </w:rPr>
                        </w:pPr>
                        <w:r>
                          <w:rPr>
                            <w:rFonts w:hint="eastAsia"/>
                            <w:sz w:val="18"/>
                            <w:szCs w:val="18"/>
                          </w:rPr>
                          <w:t>润版液废气0.032t/a</w:t>
                        </w:r>
                      </w:p>
                      <w:p w14:paraId="568ED14C">
                        <w:pPr>
                          <w:rPr>
                            <w:sz w:val="18"/>
                            <w:szCs w:val="18"/>
                          </w:rPr>
                        </w:pPr>
                        <w:r>
                          <w:rPr>
                            <w:rFonts w:hint="eastAsia"/>
                            <w:sz w:val="18"/>
                            <w:szCs w:val="18"/>
                          </w:rPr>
                          <w:t>清洁废气0.57t/a</w:t>
                        </w:r>
                      </w:p>
                      <w:p w14:paraId="4BBFF816">
                        <w:pPr>
                          <w:rPr>
                            <w:sz w:val="18"/>
                            <w:szCs w:val="18"/>
                          </w:rPr>
                        </w:pPr>
                        <w:r>
                          <w:rPr>
                            <w:rFonts w:hint="eastAsia"/>
                            <w:sz w:val="18"/>
                            <w:szCs w:val="18"/>
                          </w:rPr>
                          <w:t>过油废气0.025 t/a</w:t>
                        </w:r>
                      </w:p>
                    </w:txbxContent>
                  </v:textbox>
                </v:shape>
              </w:pict>
            </w:r>
            <w:r>
              <w:rPr>
                <w:rFonts w:hAnsi="宋体"/>
                <w:kern w:val="0"/>
                <w:sz w:val="24"/>
              </w:rPr>
              <w:pict>
                <v:shape id="_x0000_s1400" o:spid="_x0000_s1400" o:spt="32" type="#_x0000_t32" style="position:absolute;left:0pt;margin-left:231.75pt;margin-top:22.25pt;height:0pt;width:86.25pt;z-index:251713536;mso-width-relative:page;mso-height-relative:page;" o:connectortype="straight" filled="f" coordsize="21600,21600">
                  <v:path arrowok="t"/>
                  <v:fill on="f" focussize="0,0"/>
                  <v:stroke endarrow="block"/>
                  <v:imagedata o:title=""/>
                  <o:lock v:ext="edit"/>
                </v:shape>
              </w:pict>
            </w:r>
            <w:r>
              <w:rPr>
                <w:rFonts w:hAnsi="宋体"/>
                <w:kern w:val="0"/>
                <w:sz w:val="24"/>
                <w:highlight w:val="yellow"/>
              </w:rPr>
              <w:pict>
                <v:shape id="_x0000_s1398" o:spid="_x0000_s1398" o:spt="202" type="#_x0000_t202" style="position:absolute;left:0pt;margin-left:128pt;margin-top:0.45pt;height:61.65pt;width:109.15pt;z-index:251711488;mso-width-relative:margin;mso-height-relative:margin;mso-height-percent:200;" filled="f" stroked="f" coordsize="21600,21600">
                  <v:path/>
                  <v:fill on="f" focussize="0,0"/>
                  <v:stroke on="f" joinstyle="miter"/>
                  <v:imagedata o:title=""/>
                  <o:lock v:ext="edit"/>
                  <v:textbox style="mso-fit-shape-to-text:t;">
                    <w:txbxContent>
                      <w:p w14:paraId="522682FE">
                        <w:r>
                          <w:rPr>
                            <w:rFonts w:hint="eastAsia"/>
                          </w:rPr>
                          <w:t>印刷废气0.28t/a</w:t>
                        </w:r>
                      </w:p>
                      <w:p w14:paraId="3209063F">
                        <w:r>
                          <w:rPr>
                            <w:rFonts w:hint="eastAsia"/>
                          </w:rPr>
                          <w:t>润版液废气0.158t/a</w:t>
                        </w:r>
                      </w:p>
                      <w:p w14:paraId="31BF1670">
                        <w:r>
                          <w:rPr>
                            <w:rFonts w:hint="eastAsia"/>
                          </w:rPr>
                          <w:t>清洁废气2.85t/a</w:t>
                        </w:r>
                      </w:p>
                      <w:p w14:paraId="28A1D29F">
                        <w:r>
                          <w:rPr>
                            <w:rFonts w:hint="eastAsia"/>
                          </w:rPr>
                          <w:t>过油废气0.125t/a</w:t>
                        </w:r>
                      </w:p>
                    </w:txbxContent>
                  </v:textbox>
                </v:shape>
              </w:pict>
            </w:r>
          </w:p>
          <w:p w14:paraId="3E94B2CE">
            <w:pPr>
              <w:autoSpaceDE w:val="0"/>
              <w:autoSpaceDN w:val="0"/>
              <w:adjustRightInd w:val="0"/>
              <w:spacing w:line="480" w:lineRule="exact"/>
              <w:ind w:firstLine="480" w:firstLineChars="200"/>
              <w:jc w:val="left"/>
              <w:rPr>
                <w:rFonts w:hAnsi="宋体"/>
                <w:kern w:val="0"/>
                <w:sz w:val="24"/>
                <w:highlight w:val="yellow"/>
              </w:rPr>
            </w:pPr>
          </w:p>
          <w:p w14:paraId="6BB06366">
            <w:pPr>
              <w:autoSpaceDE w:val="0"/>
              <w:autoSpaceDN w:val="0"/>
              <w:adjustRightInd w:val="0"/>
              <w:spacing w:line="480" w:lineRule="exact"/>
              <w:ind w:firstLine="442" w:firstLineChars="200"/>
              <w:jc w:val="left"/>
              <w:rPr>
                <w:rFonts w:hAnsi="宋体"/>
                <w:kern w:val="0"/>
                <w:sz w:val="24"/>
                <w:highlight w:val="yellow"/>
              </w:rPr>
            </w:pPr>
            <w:r>
              <w:rPr>
                <w:b/>
                <w:spacing w:val="-10"/>
                <w:sz w:val="24"/>
              </w:rPr>
              <w:pict>
                <v:shape id="_x0000_s1403" o:spid="_x0000_s1403" o:spt="202" type="#_x0000_t202" style="position:absolute;left:0pt;margin-left:89.7pt;margin-top:22.1pt;height:53.9pt;width:97.45pt;z-index:251716608;mso-width-relative:margin;mso-height-relative:margin;mso-height-percent:200;" filled="f" stroked="f" coordsize="21600,21600">
                  <v:path/>
                  <v:fill on="f" focussize="0,0"/>
                  <v:stroke on="f" joinstyle="miter"/>
                  <v:imagedata o:title=""/>
                  <o:lock v:ext="edit"/>
                  <v:textbox style="mso-fit-shape-to-text:t;">
                    <w:txbxContent>
                      <w:p w14:paraId="64273E8C">
                        <w:pPr>
                          <w:rPr>
                            <w:sz w:val="18"/>
                            <w:szCs w:val="18"/>
                          </w:rPr>
                        </w:pPr>
                        <w:r>
                          <w:rPr>
                            <w:rFonts w:hint="eastAsia"/>
                            <w:sz w:val="18"/>
                            <w:szCs w:val="18"/>
                          </w:rPr>
                          <w:t>印刷废气0.224t/a</w:t>
                        </w:r>
                      </w:p>
                      <w:p w14:paraId="7E72BC6E">
                        <w:pPr>
                          <w:rPr>
                            <w:sz w:val="18"/>
                            <w:szCs w:val="18"/>
                          </w:rPr>
                        </w:pPr>
                        <w:r>
                          <w:rPr>
                            <w:rFonts w:hint="eastAsia"/>
                            <w:sz w:val="18"/>
                            <w:szCs w:val="18"/>
                          </w:rPr>
                          <w:t>润版液废气0.126t/a</w:t>
                        </w:r>
                      </w:p>
                      <w:p w14:paraId="1AF2727C">
                        <w:pPr>
                          <w:rPr>
                            <w:sz w:val="18"/>
                            <w:szCs w:val="18"/>
                          </w:rPr>
                        </w:pPr>
                        <w:r>
                          <w:rPr>
                            <w:rFonts w:hint="eastAsia"/>
                            <w:sz w:val="18"/>
                            <w:szCs w:val="18"/>
                          </w:rPr>
                          <w:t>清洁废气2.28t/a</w:t>
                        </w:r>
                      </w:p>
                      <w:p w14:paraId="0C018CCA">
                        <w:pPr>
                          <w:rPr>
                            <w:sz w:val="18"/>
                            <w:szCs w:val="18"/>
                          </w:rPr>
                        </w:pPr>
                        <w:r>
                          <w:rPr>
                            <w:rFonts w:hint="eastAsia"/>
                            <w:sz w:val="18"/>
                            <w:szCs w:val="18"/>
                          </w:rPr>
                          <w:t>过油废气0.1 t/a</w:t>
                        </w:r>
                      </w:p>
                    </w:txbxContent>
                  </v:textbox>
                </v:shape>
              </w:pict>
            </w:r>
            <w:r>
              <w:rPr>
                <w:rFonts w:hAnsi="宋体"/>
                <w:kern w:val="0"/>
                <w:sz w:val="24"/>
              </w:rPr>
              <w:pict>
                <v:shape id="_x0000_s1399" o:spid="_x0000_s1399" o:spt="32" type="#_x0000_t32" style="position:absolute;left:0pt;margin-left:178.3pt;margin-top:13.9pt;height:76.15pt;width:0pt;z-index:251712512;mso-width-relative:page;mso-height-relative:page;" o:connectortype="straight" filled="f" coordsize="21600,21600">
                  <v:path arrowok="t"/>
                  <v:fill on="f" focussize="0,0"/>
                  <v:stroke endarrow="block"/>
                  <v:imagedata o:title=""/>
                  <o:lock v:ext="edit"/>
                </v:shape>
              </w:pict>
            </w:r>
          </w:p>
          <w:p w14:paraId="3FCFF66B">
            <w:pPr>
              <w:autoSpaceDE w:val="0"/>
              <w:autoSpaceDN w:val="0"/>
              <w:adjustRightInd w:val="0"/>
              <w:spacing w:line="480" w:lineRule="exact"/>
              <w:ind w:firstLine="480" w:firstLineChars="200"/>
              <w:jc w:val="left"/>
              <w:rPr>
                <w:rFonts w:hAnsi="宋体"/>
                <w:kern w:val="0"/>
                <w:sz w:val="24"/>
                <w:highlight w:val="yellow"/>
              </w:rPr>
            </w:pPr>
            <w:r>
              <w:rPr>
                <w:rFonts w:hAnsi="宋体"/>
                <w:kern w:val="0"/>
                <w:sz w:val="24"/>
                <w:highlight w:val="yellow"/>
              </w:rPr>
              <w:pict>
                <v:shape id="_x0000_s1404" o:spid="_x0000_s1404" o:spt="202" type="#_x0000_t202" style="position:absolute;left:0pt;margin-left:173.95pt;margin-top:17.3pt;height:20.8pt;width:82.15pt;z-index:251717632;mso-width-relative:margin;mso-height-relative:margin;mso-height-percent:200;" filled="f" stroked="f" coordsize="21600,21600">
                  <v:path/>
                  <v:fill on="f" focussize="0,0"/>
                  <v:stroke on="f" joinstyle="miter"/>
                  <v:imagedata o:title=""/>
                  <o:lock v:ext="edit"/>
                  <v:textbox style="mso-fit-shape-to-text:t;">
                    <w:txbxContent>
                      <w:p w14:paraId="5DEBA96F">
                        <w:r>
                          <w:rPr>
                            <w:rFonts w:hint="eastAsia"/>
                          </w:rPr>
                          <w:t>收集效率80%</w:t>
                        </w:r>
                      </w:p>
                    </w:txbxContent>
                  </v:textbox>
                </v:shape>
              </w:pict>
            </w:r>
          </w:p>
          <w:p w14:paraId="51969BBD">
            <w:pPr>
              <w:autoSpaceDE w:val="0"/>
              <w:autoSpaceDN w:val="0"/>
              <w:adjustRightInd w:val="0"/>
              <w:spacing w:line="480" w:lineRule="exact"/>
              <w:ind w:firstLine="480" w:firstLineChars="200"/>
              <w:jc w:val="left"/>
              <w:rPr>
                <w:rFonts w:hAnsi="宋体"/>
                <w:kern w:val="0"/>
                <w:sz w:val="24"/>
                <w:highlight w:val="yellow"/>
              </w:rPr>
            </w:pPr>
          </w:p>
          <w:p w14:paraId="01A179C4">
            <w:pPr>
              <w:autoSpaceDE w:val="0"/>
              <w:autoSpaceDN w:val="0"/>
              <w:adjustRightInd w:val="0"/>
              <w:spacing w:line="480" w:lineRule="exact"/>
              <w:ind w:firstLine="480" w:firstLineChars="200"/>
              <w:jc w:val="left"/>
              <w:rPr>
                <w:rFonts w:hAnsi="宋体"/>
                <w:kern w:val="0"/>
                <w:sz w:val="24"/>
                <w:highlight w:val="yellow"/>
              </w:rPr>
            </w:pPr>
            <w:r>
              <w:rPr>
                <w:rFonts w:hAnsi="宋体"/>
                <w:kern w:val="0"/>
                <w:sz w:val="24"/>
                <w:highlight w:val="yellow"/>
              </w:rPr>
              <w:pict>
                <v:shape id="_x0000_s1405" o:spid="_x0000_s1405" o:spt="202" type="#_x0000_t202" style="position:absolute;left:0pt;margin-left:123.75pt;margin-top:17.95pt;height:21.55pt;width:108.2pt;z-index:251718656;mso-width-relative:margin;mso-height-relative:margin;mso-height-percent:200;" filled="f" coordsize="21600,21600">
                  <v:path/>
                  <v:fill on="f" focussize="0,0"/>
                  <v:stroke joinstyle="miter"/>
                  <v:imagedata o:title=""/>
                  <o:lock v:ext="edit"/>
                  <v:textbox style="mso-fit-shape-to-text:t;">
                    <w:txbxContent>
                      <w:p w14:paraId="5E2056AB">
                        <w:r>
                          <w:rPr>
                            <w:rFonts w:hint="eastAsia"/>
                          </w:rPr>
                          <w:t>集气罩+二级活性炭</w:t>
                        </w:r>
                      </w:p>
                    </w:txbxContent>
                  </v:textbox>
                </v:shape>
              </w:pict>
            </w:r>
          </w:p>
          <w:p w14:paraId="017F252D">
            <w:pPr>
              <w:autoSpaceDE w:val="0"/>
              <w:autoSpaceDN w:val="0"/>
              <w:adjustRightInd w:val="0"/>
              <w:spacing w:line="480" w:lineRule="exact"/>
              <w:ind w:firstLine="442" w:firstLineChars="200"/>
              <w:jc w:val="left"/>
              <w:rPr>
                <w:rFonts w:hAnsi="宋体"/>
                <w:kern w:val="0"/>
                <w:sz w:val="24"/>
                <w:highlight w:val="yellow"/>
              </w:rPr>
            </w:pPr>
            <w:r>
              <w:rPr>
                <w:b/>
                <w:spacing w:val="-10"/>
                <w:sz w:val="24"/>
              </w:rPr>
              <w:pict>
                <v:shape id="_x0000_s1408" o:spid="_x0000_s1408" o:spt="202" type="#_x0000_t202" style="position:absolute;left:0pt;margin-left:89.85pt;margin-top:22.95pt;height:53.9pt;width:109.15pt;z-index:251721728;mso-width-relative:margin;mso-height-relative:margin;mso-height-percent:200;" filled="f" stroked="f" coordsize="21600,21600">
                  <v:path/>
                  <v:fill on="f" focussize="0,0"/>
                  <v:stroke on="f" joinstyle="miter"/>
                  <v:imagedata o:title=""/>
                  <o:lock v:ext="edit"/>
                  <v:textbox style="mso-fit-shape-to-text:t;">
                    <w:txbxContent>
                      <w:p w14:paraId="6D806AF8">
                        <w:pPr>
                          <w:rPr>
                            <w:sz w:val="18"/>
                            <w:szCs w:val="18"/>
                          </w:rPr>
                        </w:pPr>
                        <w:r>
                          <w:rPr>
                            <w:rFonts w:hint="eastAsia"/>
                            <w:sz w:val="18"/>
                            <w:szCs w:val="18"/>
                          </w:rPr>
                          <w:t>印刷废气0.161t/a</w:t>
                        </w:r>
                      </w:p>
                      <w:p w14:paraId="580B0102">
                        <w:pPr>
                          <w:rPr>
                            <w:sz w:val="18"/>
                            <w:szCs w:val="18"/>
                          </w:rPr>
                        </w:pPr>
                        <w:r>
                          <w:rPr>
                            <w:rFonts w:hint="eastAsia"/>
                            <w:sz w:val="18"/>
                            <w:szCs w:val="18"/>
                          </w:rPr>
                          <w:t>润版液废气0.091t/a</w:t>
                        </w:r>
                      </w:p>
                      <w:p w14:paraId="17EB3BF2">
                        <w:pPr>
                          <w:rPr>
                            <w:sz w:val="18"/>
                            <w:szCs w:val="18"/>
                          </w:rPr>
                        </w:pPr>
                        <w:r>
                          <w:rPr>
                            <w:rFonts w:hint="eastAsia"/>
                            <w:sz w:val="18"/>
                            <w:szCs w:val="18"/>
                          </w:rPr>
                          <w:t>清洁废气1.642t/a</w:t>
                        </w:r>
                      </w:p>
                      <w:p w14:paraId="446B0160">
                        <w:pPr>
                          <w:rPr>
                            <w:sz w:val="18"/>
                            <w:szCs w:val="18"/>
                          </w:rPr>
                        </w:pPr>
                        <w:r>
                          <w:rPr>
                            <w:rFonts w:hint="eastAsia"/>
                            <w:sz w:val="18"/>
                            <w:szCs w:val="18"/>
                          </w:rPr>
                          <w:t>过油废气0.072t/a</w:t>
                        </w:r>
                      </w:p>
                    </w:txbxContent>
                  </v:textbox>
                </v:shape>
              </w:pict>
            </w:r>
            <w:r>
              <w:rPr>
                <w:rFonts w:hAnsi="宋体"/>
                <w:kern w:val="0"/>
                <w:sz w:val="24"/>
              </w:rPr>
              <w:pict>
                <v:shape id="_x0000_s1406" o:spid="_x0000_s1406" o:spt="32" type="#_x0000_t32" style="position:absolute;left:0pt;margin-left:178.5pt;margin-top:19.05pt;height:60.05pt;width:0pt;z-index:251719680;mso-width-relative:page;mso-height-relative:page;" o:connectortype="straight" filled="f" coordsize="21600,21600">
                  <v:path arrowok="t"/>
                  <v:fill on="f" focussize="0,0"/>
                  <v:stroke endarrow="block"/>
                  <v:imagedata o:title=""/>
                  <o:lock v:ext="edit"/>
                </v:shape>
              </w:pict>
            </w:r>
          </w:p>
          <w:p w14:paraId="3AD28CD5">
            <w:pPr>
              <w:autoSpaceDE w:val="0"/>
              <w:autoSpaceDN w:val="0"/>
              <w:adjustRightInd w:val="0"/>
              <w:spacing w:line="480" w:lineRule="exact"/>
              <w:ind w:firstLine="480" w:firstLineChars="200"/>
              <w:jc w:val="left"/>
              <w:rPr>
                <w:rFonts w:hAnsi="宋体"/>
                <w:kern w:val="0"/>
                <w:sz w:val="24"/>
                <w:highlight w:val="yellow"/>
              </w:rPr>
            </w:pPr>
            <w:r>
              <w:rPr>
                <w:rFonts w:hAnsi="宋体"/>
                <w:kern w:val="0"/>
                <w:sz w:val="24"/>
                <w:highlight w:val="yellow"/>
              </w:rPr>
              <w:pict>
                <v:shape id="_x0000_s1407" o:spid="_x0000_s1407" o:spt="202" type="#_x0000_t202" style="position:absolute;left:0pt;margin-left:174.15pt;margin-top:12.6pt;height:20.8pt;width:80pt;z-index:251720704;mso-width-relative:margin;mso-height-relative:margin;mso-height-percent:200;" filled="f" stroked="f" coordsize="21600,21600">
                  <v:path/>
                  <v:fill on="f" focussize="0,0"/>
                  <v:stroke on="f" joinstyle="miter"/>
                  <v:imagedata o:title=""/>
                  <o:lock v:ext="edit"/>
                  <v:textbox style="mso-fit-shape-to-text:t;">
                    <w:txbxContent>
                      <w:p w14:paraId="74ADB054">
                        <w:r>
                          <w:rPr>
                            <w:rFonts w:hint="eastAsia"/>
                          </w:rPr>
                          <w:t>处理效率28%</w:t>
                        </w:r>
                      </w:p>
                    </w:txbxContent>
                  </v:textbox>
                </v:shape>
              </w:pict>
            </w:r>
          </w:p>
          <w:p w14:paraId="5D2913F1">
            <w:pPr>
              <w:autoSpaceDE w:val="0"/>
              <w:autoSpaceDN w:val="0"/>
              <w:adjustRightInd w:val="0"/>
              <w:spacing w:line="480" w:lineRule="exact"/>
              <w:jc w:val="center"/>
              <w:rPr>
                <w:rFonts w:hAnsi="宋体"/>
                <w:b/>
                <w:kern w:val="0"/>
                <w:szCs w:val="21"/>
              </w:rPr>
            </w:pPr>
          </w:p>
          <w:p w14:paraId="349C93FD">
            <w:pPr>
              <w:autoSpaceDE w:val="0"/>
              <w:autoSpaceDN w:val="0"/>
              <w:adjustRightInd w:val="0"/>
              <w:spacing w:line="480" w:lineRule="exact"/>
              <w:jc w:val="center"/>
              <w:rPr>
                <w:rFonts w:hAnsi="宋体"/>
                <w:b/>
                <w:kern w:val="0"/>
                <w:szCs w:val="21"/>
              </w:rPr>
            </w:pPr>
            <w:r>
              <w:rPr>
                <w:rFonts w:hAnsi="宋体"/>
                <w:kern w:val="0"/>
                <w:sz w:val="24"/>
                <w:highlight w:val="yellow"/>
              </w:rPr>
              <w:pict>
                <v:shape id="_x0000_s1410" o:spid="_x0000_s1410" o:spt="202" type="#_x0000_t202" style="position:absolute;left:0pt;margin-left:144.55pt;margin-top:7pt;height:32.9pt;width:83.65pt;z-index:251723776;mso-width-relative:margin;mso-height-relative:margin;mso-height-percent:200;" filled="f" stroked="f" coordsize="21600,21600">
                  <v:path/>
                  <v:fill on="f" focussize="0,0"/>
                  <v:stroke on="f" joinstyle="miter"/>
                  <v:imagedata o:title=""/>
                  <o:lock v:ext="edit"/>
                  <v:textbox style="mso-fit-shape-to-text:t;">
                    <w:txbxContent>
                      <w:p w14:paraId="0CCABEEC">
                        <w:r>
                          <w:rPr>
                            <w:rFonts w:hint="eastAsia"/>
                          </w:rPr>
                          <w:t>有组织排放</w:t>
                        </w:r>
                      </w:p>
                      <w:p w14:paraId="37DA4130">
                        <w:r>
                          <w:rPr>
                            <w:rFonts w:hint="eastAsia"/>
                          </w:rPr>
                          <w:t>1.966</w:t>
                        </w:r>
                        <w:r>
                          <w:rPr>
                            <w:rFonts w:eastAsiaTheme="minorEastAsia"/>
                            <w:szCs w:val="21"/>
                          </w:rPr>
                          <w:t xml:space="preserve"> t/a</w:t>
                        </w:r>
                      </w:p>
                    </w:txbxContent>
                  </v:textbox>
                </v:shape>
              </w:pict>
            </w:r>
          </w:p>
          <w:p w14:paraId="72584E04">
            <w:pPr>
              <w:autoSpaceDE w:val="0"/>
              <w:autoSpaceDN w:val="0"/>
              <w:adjustRightInd w:val="0"/>
              <w:spacing w:line="480" w:lineRule="exact"/>
              <w:jc w:val="center"/>
              <w:rPr>
                <w:rFonts w:hAnsi="宋体"/>
                <w:b/>
                <w:kern w:val="0"/>
                <w:szCs w:val="21"/>
              </w:rPr>
            </w:pPr>
          </w:p>
          <w:p w14:paraId="45736983">
            <w:pPr>
              <w:autoSpaceDE w:val="0"/>
              <w:autoSpaceDN w:val="0"/>
              <w:adjustRightInd w:val="0"/>
              <w:spacing w:line="480" w:lineRule="exact"/>
              <w:jc w:val="center"/>
              <w:rPr>
                <w:rFonts w:hAnsi="宋体"/>
                <w:b/>
                <w:kern w:val="0"/>
                <w:szCs w:val="21"/>
              </w:rPr>
            </w:pPr>
            <w:r>
              <w:rPr>
                <w:rFonts w:hint="eastAsia" w:hAnsi="宋体"/>
                <w:b/>
                <w:kern w:val="0"/>
                <w:szCs w:val="21"/>
              </w:rPr>
              <w:t>图4.2-2 非甲烷总烃平衡图</w:t>
            </w:r>
          </w:p>
          <w:p w14:paraId="6DEC7B85">
            <w:pPr>
              <w:autoSpaceDE w:val="0"/>
              <w:autoSpaceDN w:val="0"/>
              <w:adjustRightInd w:val="0"/>
              <w:spacing w:line="480" w:lineRule="exact"/>
              <w:ind w:firstLine="480" w:firstLineChars="200"/>
              <w:jc w:val="left"/>
              <w:rPr>
                <w:rFonts w:hAnsi="宋体"/>
                <w:kern w:val="0"/>
                <w:sz w:val="24"/>
              </w:rPr>
            </w:pPr>
            <w:r>
              <w:rPr>
                <w:rFonts w:hAnsi="宋体"/>
                <w:kern w:val="0"/>
                <w:sz w:val="24"/>
              </w:rPr>
              <w:t>根据重庆市《包装印刷业大气污染物排放标准》（</w:t>
            </w:r>
            <w:r>
              <w:rPr>
                <w:kern w:val="0"/>
                <w:sz w:val="24"/>
              </w:rPr>
              <w:t>DB50/758-2017</w:t>
            </w:r>
            <w:r>
              <w:rPr>
                <w:rFonts w:hAnsi="宋体"/>
                <w:kern w:val="0"/>
                <w:sz w:val="24"/>
              </w:rPr>
              <w:t>）中</w:t>
            </w:r>
            <w:r>
              <w:rPr>
                <w:kern w:val="0"/>
                <w:sz w:val="24"/>
              </w:rPr>
              <w:t xml:space="preserve">4.5.1 </w:t>
            </w:r>
            <w:r>
              <w:rPr>
                <w:rFonts w:hAnsi="宋体"/>
                <w:kern w:val="0"/>
                <w:sz w:val="24"/>
              </w:rPr>
              <w:t>排气筒高度不应低于</w:t>
            </w:r>
            <w:r>
              <w:rPr>
                <w:kern w:val="0"/>
                <w:sz w:val="24"/>
              </w:rPr>
              <w:t xml:space="preserve">15 </w:t>
            </w:r>
            <w:r>
              <w:rPr>
                <w:rFonts w:hAnsi="宋体"/>
                <w:kern w:val="0"/>
                <w:sz w:val="24"/>
              </w:rPr>
              <w:t>米，排气筒高度低于</w:t>
            </w:r>
            <w:r>
              <w:rPr>
                <w:kern w:val="0"/>
                <w:sz w:val="24"/>
              </w:rPr>
              <w:t xml:space="preserve">15 </w:t>
            </w:r>
            <w:r>
              <w:rPr>
                <w:rFonts w:hAnsi="宋体"/>
                <w:kern w:val="0"/>
                <w:sz w:val="24"/>
              </w:rPr>
              <w:t>米，则排放速率</w:t>
            </w:r>
            <w:r>
              <w:rPr>
                <w:kern w:val="0"/>
                <w:sz w:val="24"/>
              </w:rPr>
              <w:t>I</w:t>
            </w:r>
            <w:r>
              <w:rPr>
                <w:rFonts w:hAnsi="宋体"/>
                <w:kern w:val="0"/>
                <w:sz w:val="24"/>
              </w:rPr>
              <w:t>时段按表</w:t>
            </w:r>
            <w:r>
              <w:rPr>
                <w:kern w:val="0"/>
                <w:sz w:val="24"/>
              </w:rPr>
              <w:t>1</w:t>
            </w:r>
            <w:r>
              <w:rPr>
                <w:rFonts w:hAnsi="宋体"/>
                <w:kern w:val="0"/>
                <w:sz w:val="24"/>
              </w:rPr>
              <w:t>的排放速率限值的</w:t>
            </w:r>
            <w:r>
              <w:rPr>
                <w:kern w:val="0"/>
                <w:sz w:val="24"/>
              </w:rPr>
              <w:t>50%</w:t>
            </w:r>
            <w:r>
              <w:rPr>
                <w:rFonts w:hAnsi="宋体"/>
                <w:kern w:val="0"/>
                <w:sz w:val="24"/>
              </w:rPr>
              <w:t>执行，Ⅱ时段按表</w:t>
            </w:r>
            <w:r>
              <w:rPr>
                <w:kern w:val="0"/>
                <w:sz w:val="24"/>
              </w:rPr>
              <w:t>2</w:t>
            </w:r>
            <w:r>
              <w:rPr>
                <w:rFonts w:hAnsi="宋体"/>
                <w:kern w:val="0"/>
                <w:sz w:val="24"/>
              </w:rPr>
              <w:t>的排放速率限值的</w:t>
            </w:r>
            <w:r>
              <w:rPr>
                <w:kern w:val="0"/>
                <w:sz w:val="24"/>
              </w:rPr>
              <w:t>50%</w:t>
            </w:r>
            <w:r>
              <w:rPr>
                <w:rFonts w:hAnsi="宋体"/>
                <w:kern w:val="0"/>
                <w:sz w:val="24"/>
              </w:rPr>
              <w:t>执行。</w:t>
            </w:r>
            <w:r>
              <w:rPr>
                <w:kern w:val="0"/>
                <w:sz w:val="24"/>
              </w:rPr>
              <w:t xml:space="preserve">4.5.2 </w:t>
            </w:r>
            <w:r>
              <w:rPr>
                <w:rFonts w:hAnsi="宋体"/>
                <w:kern w:val="0"/>
                <w:sz w:val="24"/>
              </w:rPr>
              <w:t>排气筒高度除遵守</w:t>
            </w:r>
            <w:r>
              <w:rPr>
                <w:kern w:val="0"/>
                <w:sz w:val="24"/>
              </w:rPr>
              <w:t xml:space="preserve">4.6.1 </w:t>
            </w:r>
            <w:r>
              <w:rPr>
                <w:rFonts w:hAnsi="宋体"/>
                <w:kern w:val="0"/>
                <w:sz w:val="24"/>
              </w:rPr>
              <w:t>的要求外，非工业园区企业还应高出周围</w:t>
            </w:r>
            <w:r>
              <w:rPr>
                <w:kern w:val="0"/>
                <w:sz w:val="24"/>
              </w:rPr>
              <w:t>200</w:t>
            </w:r>
            <w:r>
              <w:rPr>
                <w:rFonts w:hAnsi="宋体"/>
                <w:kern w:val="0"/>
                <w:sz w:val="24"/>
              </w:rPr>
              <w:t>米半径范围的最高建筑</w:t>
            </w:r>
            <w:r>
              <w:rPr>
                <w:kern w:val="0"/>
                <w:sz w:val="24"/>
              </w:rPr>
              <w:t>3</w:t>
            </w:r>
            <w:r>
              <w:rPr>
                <w:rFonts w:hAnsi="宋体"/>
                <w:kern w:val="0"/>
                <w:sz w:val="24"/>
              </w:rPr>
              <w:t>米以上，不能达到该要求的排气筒，应按表</w:t>
            </w:r>
            <w:r>
              <w:rPr>
                <w:kern w:val="0"/>
                <w:sz w:val="24"/>
              </w:rPr>
              <w:t>2</w:t>
            </w:r>
            <w:r>
              <w:rPr>
                <w:rFonts w:hAnsi="宋体"/>
                <w:kern w:val="0"/>
                <w:sz w:val="24"/>
              </w:rPr>
              <w:t>所列排放速率限值Ⅱ时段要求的</w:t>
            </w:r>
            <w:r>
              <w:rPr>
                <w:kern w:val="0"/>
                <w:sz w:val="24"/>
              </w:rPr>
              <w:t>50%</w:t>
            </w:r>
            <w:r>
              <w:rPr>
                <w:rFonts w:hAnsi="宋体"/>
                <w:kern w:val="0"/>
                <w:sz w:val="24"/>
              </w:rPr>
              <w:t>执行。</w:t>
            </w:r>
          </w:p>
          <w:p w14:paraId="1463785A">
            <w:pPr>
              <w:autoSpaceDE w:val="0"/>
              <w:autoSpaceDN w:val="0"/>
              <w:adjustRightInd w:val="0"/>
              <w:spacing w:line="480" w:lineRule="exact"/>
              <w:ind w:firstLine="480" w:firstLineChars="200"/>
              <w:jc w:val="left"/>
              <w:rPr>
                <w:sz w:val="24"/>
              </w:rPr>
            </w:pPr>
            <w:r>
              <w:rPr>
                <w:rFonts w:hAnsi="宋体"/>
                <w:kern w:val="0"/>
                <w:sz w:val="24"/>
              </w:rPr>
              <w:t>本项目一共</w:t>
            </w:r>
            <w:r>
              <w:rPr>
                <w:rFonts w:hint="eastAsia"/>
                <w:kern w:val="0"/>
                <w:sz w:val="24"/>
              </w:rPr>
              <w:t>2</w:t>
            </w:r>
            <w:r>
              <w:rPr>
                <w:kern w:val="0"/>
                <w:sz w:val="24"/>
              </w:rPr>
              <w:t>F</w:t>
            </w:r>
            <w:r>
              <w:rPr>
                <w:rFonts w:hAnsi="宋体"/>
                <w:kern w:val="0"/>
                <w:sz w:val="24"/>
              </w:rPr>
              <w:t>，</w:t>
            </w:r>
            <w:r>
              <w:rPr>
                <w:rFonts w:hint="eastAsia"/>
                <w:kern w:val="0"/>
                <w:sz w:val="24"/>
              </w:rPr>
              <w:t>2F楼高</w:t>
            </w:r>
            <w:r>
              <w:rPr>
                <w:kern w:val="0"/>
                <w:sz w:val="24"/>
              </w:rPr>
              <w:t>H=</w:t>
            </w:r>
            <w:r>
              <w:rPr>
                <w:rFonts w:hint="eastAsia"/>
                <w:kern w:val="0"/>
                <w:sz w:val="24"/>
              </w:rPr>
              <w:t>14.5</w:t>
            </w:r>
            <w:r>
              <w:rPr>
                <w:kern w:val="0"/>
                <w:sz w:val="24"/>
              </w:rPr>
              <w:t>m</w:t>
            </w:r>
            <w:r>
              <w:rPr>
                <w:rFonts w:hAnsi="宋体"/>
                <w:kern w:val="0"/>
                <w:sz w:val="24"/>
              </w:rPr>
              <w:t>，本项目位于工业园区内，故排气筒高度设为</w:t>
            </w:r>
            <w:r>
              <w:rPr>
                <w:rFonts w:hint="eastAsia"/>
                <w:kern w:val="0"/>
                <w:sz w:val="24"/>
              </w:rPr>
              <w:t>15</w:t>
            </w:r>
            <w:r>
              <w:rPr>
                <w:kern w:val="0"/>
                <w:sz w:val="24"/>
              </w:rPr>
              <w:t xml:space="preserve">m </w:t>
            </w:r>
            <w:r>
              <w:rPr>
                <w:rFonts w:hAnsi="宋体"/>
                <w:kern w:val="0"/>
                <w:sz w:val="24"/>
              </w:rPr>
              <w:t>即可满足要求。</w:t>
            </w:r>
          </w:p>
          <w:p w14:paraId="1C2962CF">
            <w:pPr>
              <w:autoSpaceDE w:val="0"/>
              <w:autoSpaceDN w:val="0"/>
              <w:adjustRightInd w:val="0"/>
              <w:spacing w:line="480" w:lineRule="exact"/>
              <w:ind w:firstLine="482" w:firstLineChars="200"/>
              <w:jc w:val="left"/>
              <w:rPr>
                <w:rFonts w:eastAsiaTheme="minorEastAsia"/>
                <w:b/>
                <w:kern w:val="0"/>
                <w:sz w:val="24"/>
              </w:rPr>
            </w:pPr>
            <w:r>
              <w:rPr>
                <w:rFonts w:hAnsiTheme="minorEastAsia" w:eastAsiaTheme="minorEastAsia"/>
                <w:b/>
                <w:kern w:val="0"/>
                <w:sz w:val="24"/>
              </w:rPr>
              <w:t>（</w:t>
            </w:r>
            <w:r>
              <w:rPr>
                <w:rFonts w:hint="eastAsia" w:eastAsiaTheme="minorEastAsia"/>
                <w:b/>
                <w:kern w:val="0"/>
                <w:sz w:val="24"/>
              </w:rPr>
              <w:t>3</w:t>
            </w:r>
            <w:r>
              <w:rPr>
                <w:rFonts w:hAnsiTheme="minorEastAsia" w:eastAsiaTheme="minorEastAsia"/>
                <w:b/>
                <w:kern w:val="0"/>
                <w:sz w:val="24"/>
              </w:rPr>
              <w:t>）喷粉粉尘</w:t>
            </w:r>
            <w:r>
              <w:rPr>
                <w:rFonts w:hint="eastAsia" w:hAnsiTheme="minorEastAsia" w:eastAsiaTheme="minorEastAsia"/>
                <w:b/>
                <w:kern w:val="0"/>
                <w:sz w:val="24"/>
              </w:rPr>
              <w:t>（G4）</w:t>
            </w:r>
          </w:p>
          <w:p w14:paraId="3DB34008">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在使用油墨</w:t>
            </w:r>
            <w:r>
              <w:rPr>
                <w:rFonts w:hint="eastAsia" w:hAnsiTheme="minorEastAsia" w:eastAsiaTheme="minorEastAsia"/>
                <w:kern w:val="0"/>
                <w:sz w:val="24"/>
              </w:rPr>
              <w:t>印刷</w:t>
            </w:r>
            <w:r>
              <w:rPr>
                <w:rFonts w:hAnsiTheme="minorEastAsia" w:eastAsiaTheme="minorEastAsia"/>
                <w:kern w:val="0"/>
                <w:sz w:val="24"/>
              </w:rPr>
              <w:t>过程中，纸张在印刷后会进入全封闭的喷粉机，喷粉的目的是防止印刷品背面粘脏，并加快干燥，从而提高印刷质量和效率。</w:t>
            </w:r>
          </w:p>
          <w:p w14:paraId="16A821C1">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kern w:val="0"/>
                <w:sz w:val="24"/>
              </w:rPr>
              <w:t>喷粉粉尘通过设备自带的喷粉回收系统回收</w:t>
            </w:r>
            <w:r>
              <w:rPr>
                <w:rFonts w:hint="eastAsia" w:hAnsiTheme="minorEastAsia" w:eastAsiaTheme="minorEastAsia"/>
                <w:kern w:val="0"/>
                <w:sz w:val="24"/>
              </w:rPr>
              <w:t>，</w:t>
            </w:r>
            <w:r>
              <w:rPr>
                <w:rFonts w:hAnsiTheme="minorEastAsia" w:eastAsiaTheme="minorEastAsia"/>
                <w:kern w:val="0"/>
                <w:sz w:val="24"/>
              </w:rPr>
              <w:t>在喷粉口四周分别设有多个抽风机，喷粉口正下方设有漏斗，漏斗底端与多个抽风机末端通过管道连接，收集的粉尘经管道进入喷粉回收柜，通过过滤器过滤后进入喷粉回收罐，然后通过出粉管进入喷粉装置。整个流程是在封闭设备内完成，喷粉后的纸张从出纸口出来可能会带有小部分未附着未被收集的粉尘，出纸口处设有</w:t>
            </w:r>
            <w:r>
              <w:rPr>
                <w:rFonts w:eastAsiaTheme="minorEastAsia"/>
                <w:kern w:val="0"/>
                <w:sz w:val="24"/>
              </w:rPr>
              <w:t>3</w:t>
            </w:r>
            <w:r>
              <w:rPr>
                <w:rFonts w:hAnsiTheme="minorEastAsia" w:eastAsiaTheme="minorEastAsia"/>
                <w:kern w:val="0"/>
                <w:sz w:val="24"/>
              </w:rPr>
              <w:t>面覆盖的透明罩，溢散粉尘被透明罩阻隔，仅有极少数粉尘通过透明罩下方溢散在印刷房中无组织排放，本次评价按喷粉使用量的</w:t>
            </w:r>
            <w:r>
              <w:rPr>
                <w:rFonts w:eastAsiaTheme="minorEastAsia"/>
                <w:kern w:val="0"/>
                <w:sz w:val="24"/>
              </w:rPr>
              <w:t>1%</w:t>
            </w:r>
            <w:r>
              <w:rPr>
                <w:rFonts w:hAnsiTheme="minorEastAsia" w:eastAsiaTheme="minorEastAsia"/>
                <w:kern w:val="0"/>
                <w:sz w:val="24"/>
              </w:rPr>
              <w:t>计算其无组织排放量。本项目喷粉用量为</w:t>
            </w:r>
            <w:r>
              <w:rPr>
                <w:rFonts w:hint="eastAsia" w:eastAsiaTheme="minorEastAsia"/>
                <w:kern w:val="0"/>
                <w:sz w:val="24"/>
              </w:rPr>
              <w:t>3</w:t>
            </w:r>
            <w:r>
              <w:rPr>
                <w:rFonts w:eastAsiaTheme="minorEastAsia"/>
                <w:kern w:val="0"/>
                <w:sz w:val="24"/>
              </w:rPr>
              <w:t>t/a</w:t>
            </w:r>
            <w:r>
              <w:rPr>
                <w:rFonts w:hAnsiTheme="minorEastAsia" w:eastAsiaTheme="minorEastAsia"/>
                <w:kern w:val="0"/>
                <w:sz w:val="24"/>
              </w:rPr>
              <w:t>，则喷粉粉尘（颗粒物）的无组织排放量为</w:t>
            </w:r>
            <w:r>
              <w:rPr>
                <w:rFonts w:eastAsiaTheme="minorEastAsia"/>
                <w:kern w:val="0"/>
                <w:sz w:val="24"/>
              </w:rPr>
              <w:t>0.0</w:t>
            </w:r>
            <w:r>
              <w:rPr>
                <w:rFonts w:hint="eastAsia" w:eastAsiaTheme="minorEastAsia"/>
                <w:kern w:val="0"/>
                <w:sz w:val="24"/>
              </w:rPr>
              <w:t>1</w:t>
            </w:r>
            <w:r>
              <w:rPr>
                <w:rFonts w:eastAsiaTheme="minorEastAsia"/>
                <w:kern w:val="0"/>
                <w:sz w:val="24"/>
              </w:rPr>
              <w:t>t/a</w:t>
            </w:r>
            <w:r>
              <w:rPr>
                <w:rFonts w:hint="eastAsia" w:eastAsiaTheme="minorEastAsia"/>
                <w:kern w:val="0"/>
                <w:sz w:val="24"/>
              </w:rPr>
              <w:t>，</w:t>
            </w:r>
            <w:r>
              <w:rPr>
                <w:rFonts w:hint="eastAsia" w:hAnsiTheme="minorEastAsia" w:eastAsiaTheme="minorEastAsia"/>
                <w:sz w:val="24"/>
              </w:rPr>
              <w:t>喷粉</w:t>
            </w:r>
            <w:r>
              <w:rPr>
                <w:rFonts w:hAnsiTheme="minorEastAsia" w:eastAsiaTheme="minorEastAsia"/>
                <w:sz w:val="24"/>
              </w:rPr>
              <w:t>时间按</w:t>
            </w:r>
            <w:r>
              <w:rPr>
                <w:rFonts w:hint="eastAsia" w:eastAsiaTheme="minorEastAsia"/>
                <w:sz w:val="24"/>
              </w:rPr>
              <w:t>250</w:t>
            </w:r>
            <w:r>
              <w:rPr>
                <w:rFonts w:eastAsiaTheme="minorEastAsia"/>
                <w:sz w:val="24"/>
              </w:rPr>
              <w:t>d</w:t>
            </w:r>
            <w:r>
              <w:rPr>
                <w:rFonts w:hAnsiTheme="minorEastAsia" w:eastAsiaTheme="minorEastAsia"/>
                <w:sz w:val="24"/>
              </w:rPr>
              <w:t>，</w:t>
            </w:r>
            <w:r>
              <w:rPr>
                <w:rFonts w:hint="eastAsia" w:eastAsiaTheme="minorEastAsia"/>
                <w:sz w:val="24"/>
              </w:rPr>
              <w:t>16</w:t>
            </w:r>
            <w:r>
              <w:rPr>
                <w:rFonts w:eastAsiaTheme="minorEastAsia"/>
                <w:sz w:val="24"/>
              </w:rPr>
              <w:t>h/d</w:t>
            </w:r>
            <w:r>
              <w:rPr>
                <w:rFonts w:hint="eastAsia" w:hAnsiTheme="minorEastAsia" w:eastAsiaTheme="minorEastAsia"/>
                <w:sz w:val="24"/>
              </w:rPr>
              <w:t>计</w:t>
            </w:r>
            <w:r>
              <w:rPr>
                <w:rFonts w:hAnsiTheme="minorEastAsia" w:eastAsiaTheme="minorEastAsia"/>
                <w:kern w:val="0"/>
                <w:sz w:val="24"/>
              </w:rPr>
              <w:t>。</w:t>
            </w:r>
          </w:p>
          <w:p w14:paraId="3AFA9707">
            <w:pPr>
              <w:adjustRightInd w:val="0"/>
              <w:snapToGrid w:val="0"/>
              <w:spacing w:line="480" w:lineRule="exact"/>
              <w:jc w:val="center"/>
              <w:rPr>
                <w:rFonts w:hAnsi="宋体"/>
                <w:b/>
                <w:szCs w:val="21"/>
              </w:rPr>
            </w:pPr>
            <w:r>
              <w:rPr>
                <w:rFonts w:hint="eastAsia" w:hAnsi="宋体"/>
                <w:b/>
                <w:szCs w:val="21"/>
              </w:rPr>
              <w:t>表4.2-8  项目营运期喷粉粉尘产排情况一览表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6"/>
              <w:gridCol w:w="1066"/>
              <w:gridCol w:w="1066"/>
              <w:gridCol w:w="1066"/>
              <w:gridCol w:w="1066"/>
              <w:gridCol w:w="1066"/>
            </w:tblGrid>
            <w:tr w14:paraId="0D41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restart"/>
                  <w:vAlign w:val="center"/>
                </w:tcPr>
                <w:p w14:paraId="751F00D3">
                  <w:pPr>
                    <w:adjustRightInd w:val="0"/>
                    <w:snapToGrid w:val="0"/>
                    <w:jc w:val="center"/>
                    <w:rPr>
                      <w:rFonts w:eastAsiaTheme="minorEastAsia"/>
                      <w:szCs w:val="21"/>
                    </w:rPr>
                  </w:pPr>
                  <w:r>
                    <w:rPr>
                      <w:rFonts w:hAnsiTheme="minorEastAsia" w:eastAsiaTheme="minorEastAsia"/>
                      <w:szCs w:val="21"/>
                    </w:rPr>
                    <w:t>污染源</w:t>
                  </w:r>
                </w:p>
              </w:tc>
              <w:tc>
                <w:tcPr>
                  <w:tcW w:w="3197" w:type="dxa"/>
                  <w:gridSpan w:val="3"/>
                  <w:vAlign w:val="center"/>
                </w:tcPr>
                <w:p w14:paraId="02B6FEDE">
                  <w:pPr>
                    <w:adjustRightInd w:val="0"/>
                    <w:snapToGrid w:val="0"/>
                    <w:jc w:val="center"/>
                    <w:rPr>
                      <w:rFonts w:eastAsiaTheme="minorEastAsia"/>
                      <w:szCs w:val="21"/>
                    </w:rPr>
                  </w:pPr>
                  <w:r>
                    <w:rPr>
                      <w:rFonts w:hAnsiTheme="minorEastAsia" w:eastAsiaTheme="minorEastAsia"/>
                      <w:szCs w:val="21"/>
                    </w:rPr>
                    <w:t>产生情况</w:t>
                  </w:r>
                </w:p>
              </w:tc>
              <w:tc>
                <w:tcPr>
                  <w:tcW w:w="3198" w:type="dxa"/>
                  <w:gridSpan w:val="3"/>
                  <w:vAlign w:val="center"/>
                </w:tcPr>
                <w:p w14:paraId="3CF84A9A">
                  <w:pPr>
                    <w:adjustRightInd w:val="0"/>
                    <w:snapToGrid w:val="0"/>
                    <w:jc w:val="center"/>
                    <w:rPr>
                      <w:rFonts w:eastAsiaTheme="minorEastAsia"/>
                      <w:szCs w:val="21"/>
                    </w:rPr>
                  </w:pPr>
                  <w:r>
                    <w:rPr>
                      <w:rFonts w:hAnsiTheme="minorEastAsia" w:eastAsiaTheme="minorEastAsia"/>
                      <w:szCs w:val="21"/>
                    </w:rPr>
                    <w:t>排放情况</w:t>
                  </w:r>
                </w:p>
              </w:tc>
              <w:tc>
                <w:tcPr>
                  <w:tcW w:w="1066" w:type="dxa"/>
                  <w:vMerge w:val="restart"/>
                  <w:vAlign w:val="center"/>
                </w:tcPr>
                <w:p w14:paraId="1AED6345">
                  <w:pPr>
                    <w:adjustRightInd w:val="0"/>
                    <w:snapToGrid w:val="0"/>
                    <w:jc w:val="center"/>
                    <w:rPr>
                      <w:rFonts w:eastAsiaTheme="minorEastAsia"/>
                      <w:szCs w:val="21"/>
                    </w:rPr>
                  </w:pPr>
                  <w:r>
                    <w:rPr>
                      <w:rFonts w:hAnsiTheme="minorEastAsia" w:eastAsiaTheme="minorEastAsia"/>
                      <w:szCs w:val="21"/>
                    </w:rPr>
                    <w:t>标准限值</w:t>
                  </w:r>
                  <w:r>
                    <w:rPr>
                      <w:rFonts w:eastAsiaTheme="minorEastAsia"/>
                      <w:szCs w:val="21"/>
                    </w:rPr>
                    <w:t>mg/m</w:t>
                  </w:r>
                  <w:r>
                    <w:rPr>
                      <w:rFonts w:eastAsiaTheme="minorEastAsia"/>
                      <w:szCs w:val="21"/>
                      <w:vertAlign w:val="superscript"/>
                    </w:rPr>
                    <w:t>3</w:t>
                  </w:r>
                </w:p>
              </w:tc>
            </w:tr>
            <w:tr w14:paraId="68F8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Merge w:val="continue"/>
                  <w:vAlign w:val="center"/>
                </w:tcPr>
                <w:p w14:paraId="6C36881C">
                  <w:pPr>
                    <w:adjustRightInd w:val="0"/>
                    <w:snapToGrid w:val="0"/>
                    <w:jc w:val="center"/>
                    <w:rPr>
                      <w:rFonts w:eastAsiaTheme="minorEastAsia"/>
                      <w:szCs w:val="21"/>
                    </w:rPr>
                  </w:pPr>
                </w:p>
              </w:tc>
              <w:tc>
                <w:tcPr>
                  <w:tcW w:w="1065" w:type="dxa"/>
                  <w:vAlign w:val="center"/>
                </w:tcPr>
                <w:p w14:paraId="05D12B85">
                  <w:pPr>
                    <w:adjustRightInd w:val="0"/>
                    <w:snapToGrid w:val="0"/>
                    <w:jc w:val="center"/>
                    <w:rPr>
                      <w:rFonts w:eastAsiaTheme="minorEastAsia"/>
                      <w:szCs w:val="21"/>
                    </w:rPr>
                  </w:pPr>
                  <w:r>
                    <w:rPr>
                      <w:rFonts w:hAnsiTheme="minorEastAsia" w:eastAsiaTheme="minorEastAsia"/>
                      <w:szCs w:val="21"/>
                    </w:rPr>
                    <w:t>产生量</w:t>
                  </w:r>
                </w:p>
                <w:p w14:paraId="3EDAAFCA">
                  <w:pPr>
                    <w:adjustRightInd w:val="0"/>
                    <w:snapToGrid w:val="0"/>
                    <w:jc w:val="center"/>
                    <w:rPr>
                      <w:rFonts w:eastAsiaTheme="minorEastAsia"/>
                      <w:szCs w:val="21"/>
                    </w:rPr>
                  </w:pPr>
                  <w:r>
                    <w:rPr>
                      <w:rFonts w:eastAsiaTheme="minorEastAsia"/>
                      <w:szCs w:val="21"/>
                    </w:rPr>
                    <w:t>t/a</w:t>
                  </w:r>
                </w:p>
              </w:tc>
              <w:tc>
                <w:tcPr>
                  <w:tcW w:w="1066" w:type="dxa"/>
                  <w:vAlign w:val="center"/>
                </w:tcPr>
                <w:p w14:paraId="1B17CE95">
                  <w:pPr>
                    <w:adjustRightInd w:val="0"/>
                    <w:snapToGrid w:val="0"/>
                    <w:jc w:val="center"/>
                    <w:rPr>
                      <w:rFonts w:eastAsiaTheme="minorEastAsia"/>
                      <w:szCs w:val="21"/>
                    </w:rPr>
                  </w:pPr>
                  <w:r>
                    <w:rPr>
                      <w:rFonts w:hAnsiTheme="minorEastAsia" w:eastAsiaTheme="minorEastAsia"/>
                      <w:szCs w:val="21"/>
                    </w:rPr>
                    <w:t>产生速率</w:t>
                  </w:r>
                  <w:r>
                    <w:rPr>
                      <w:rFonts w:eastAsiaTheme="minorEastAsia"/>
                      <w:szCs w:val="21"/>
                    </w:rPr>
                    <w:t>kg/h</w:t>
                  </w:r>
                </w:p>
              </w:tc>
              <w:tc>
                <w:tcPr>
                  <w:tcW w:w="1066" w:type="dxa"/>
                  <w:vAlign w:val="center"/>
                </w:tcPr>
                <w:p w14:paraId="07C50EF1">
                  <w:pPr>
                    <w:adjustRightInd w:val="0"/>
                    <w:snapToGrid w:val="0"/>
                    <w:jc w:val="center"/>
                    <w:rPr>
                      <w:rFonts w:eastAsiaTheme="minorEastAsia"/>
                      <w:szCs w:val="21"/>
                    </w:rPr>
                  </w:pPr>
                  <w:r>
                    <w:rPr>
                      <w:rFonts w:hAnsiTheme="minorEastAsia" w:eastAsiaTheme="minorEastAsia"/>
                      <w:szCs w:val="21"/>
                    </w:rPr>
                    <w:t>产生浓度</w:t>
                  </w:r>
                  <w:r>
                    <w:rPr>
                      <w:rFonts w:eastAsiaTheme="minorEastAsia"/>
                      <w:szCs w:val="21"/>
                    </w:rPr>
                    <w:t>mg/m</w:t>
                  </w:r>
                  <w:r>
                    <w:rPr>
                      <w:rFonts w:eastAsiaTheme="minorEastAsia"/>
                      <w:szCs w:val="21"/>
                      <w:vertAlign w:val="superscript"/>
                    </w:rPr>
                    <w:t>3</w:t>
                  </w:r>
                </w:p>
              </w:tc>
              <w:tc>
                <w:tcPr>
                  <w:tcW w:w="1066" w:type="dxa"/>
                  <w:vAlign w:val="center"/>
                </w:tcPr>
                <w:p w14:paraId="5437A595">
                  <w:pPr>
                    <w:adjustRightInd w:val="0"/>
                    <w:snapToGrid w:val="0"/>
                    <w:jc w:val="center"/>
                    <w:rPr>
                      <w:rFonts w:eastAsiaTheme="minorEastAsia"/>
                      <w:szCs w:val="21"/>
                    </w:rPr>
                  </w:pPr>
                  <w:r>
                    <w:rPr>
                      <w:rFonts w:hAnsiTheme="minorEastAsia" w:eastAsiaTheme="minorEastAsia"/>
                      <w:szCs w:val="21"/>
                    </w:rPr>
                    <w:t>产生量</w:t>
                  </w:r>
                </w:p>
                <w:p w14:paraId="7DC00C51">
                  <w:pPr>
                    <w:adjustRightInd w:val="0"/>
                    <w:snapToGrid w:val="0"/>
                    <w:jc w:val="center"/>
                    <w:rPr>
                      <w:rFonts w:eastAsiaTheme="minorEastAsia"/>
                      <w:szCs w:val="21"/>
                    </w:rPr>
                  </w:pPr>
                  <w:r>
                    <w:rPr>
                      <w:rFonts w:eastAsiaTheme="minorEastAsia"/>
                      <w:szCs w:val="21"/>
                    </w:rPr>
                    <w:t>t/a</w:t>
                  </w:r>
                </w:p>
              </w:tc>
              <w:tc>
                <w:tcPr>
                  <w:tcW w:w="1066" w:type="dxa"/>
                  <w:vAlign w:val="center"/>
                </w:tcPr>
                <w:p w14:paraId="56B8B6B8">
                  <w:pPr>
                    <w:adjustRightInd w:val="0"/>
                    <w:snapToGrid w:val="0"/>
                    <w:jc w:val="center"/>
                    <w:rPr>
                      <w:rFonts w:eastAsiaTheme="minorEastAsia"/>
                      <w:szCs w:val="21"/>
                    </w:rPr>
                  </w:pPr>
                  <w:r>
                    <w:rPr>
                      <w:rFonts w:hAnsiTheme="minorEastAsia" w:eastAsiaTheme="minorEastAsia"/>
                      <w:szCs w:val="21"/>
                    </w:rPr>
                    <w:t>产生速率</w:t>
                  </w:r>
                  <w:r>
                    <w:rPr>
                      <w:rFonts w:eastAsiaTheme="minorEastAsia"/>
                      <w:szCs w:val="21"/>
                    </w:rPr>
                    <w:t>kg/h</w:t>
                  </w:r>
                </w:p>
              </w:tc>
              <w:tc>
                <w:tcPr>
                  <w:tcW w:w="1066" w:type="dxa"/>
                  <w:vAlign w:val="center"/>
                </w:tcPr>
                <w:p w14:paraId="1E17945C">
                  <w:pPr>
                    <w:adjustRightInd w:val="0"/>
                    <w:snapToGrid w:val="0"/>
                    <w:jc w:val="center"/>
                    <w:rPr>
                      <w:rFonts w:eastAsiaTheme="minorEastAsia"/>
                      <w:szCs w:val="21"/>
                    </w:rPr>
                  </w:pPr>
                  <w:r>
                    <w:rPr>
                      <w:rFonts w:hAnsiTheme="minorEastAsia" w:eastAsiaTheme="minorEastAsia"/>
                      <w:szCs w:val="21"/>
                    </w:rPr>
                    <w:t>产生浓度</w:t>
                  </w:r>
                  <w:r>
                    <w:rPr>
                      <w:rFonts w:eastAsiaTheme="minorEastAsia"/>
                      <w:szCs w:val="21"/>
                    </w:rPr>
                    <w:t>mg/m</w:t>
                  </w:r>
                  <w:r>
                    <w:rPr>
                      <w:rFonts w:eastAsiaTheme="minorEastAsia"/>
                      <w:szCs w:val="21"/>
                      <w:vertAlign w:val="superscript"/>
                    </w:rPr>
                    <w:t>3</w:t>
                  </w:r>
                </w:p>
              </w:tc>
              <w:tc>
                <w:tcPr>
                  <w:tcW w:w="1066" w:type="dxa"/>
                  <w:vMerge w:val="continue"/>
                  <w:vAlign w:val="center"/>
                </w:tcPr>
                <w:p w14:paraId="57042DBF">
                  <w:pPr>
                    <w:adjustRightInd w:val="0"/>
                    <w:snapToGrid w:val="0"/>
                    <w:jc w:val="center"/>
                    <w:rPr>
                      <w:rFonts w:eastAsiaTheme="minorEastAsia"/>
                      <w:szCs w:val="21"/>
                    </w:rPr>
                  </w:pPr>
                </w:p>
              </w:tc>
            </w:tr>
            <w:tr w14:paraId="3210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CD70807">
                  <w:pPr>
                    <w:adjustRightInd w:val="0"/>
                    <w:snapToGrid w:val="0"/>
                    <w:jc w:val="center"/>
                    <w:rPr>
                      <w:rFonts w:eastAsiaTheme="minorEastAsia"/>
                      <w:szCs w:val="21"/>
                    </w:rPr>
                  </w:pPr>
                  <w:r>
                    <w:rPr>
                      <w:rFonts w:hint="eastAsia" w:eastAsiaTheme="minorEastAsia"/>
                      <w:szCs w:val="21"/>
                    </w:rPr>
                    <w:t>喷粉颗粒物</w:t>
                  </w:r>
                </w:p>
              </w:tc>
              <w:tc>
                <w:tcPr>
                  <w:tcW w:w="1065" w:type="dxa"/>
                  <w:vAlign w:val="center"/>
                </w:tcPr>
                <w:p w14:paraId="5659DC97">
                  <w:pPr>
                    <w:adjustRightInd w:val="0"/>
                    <w:snapToGrid w:val="0"/>
                    <w:jc w:val="center"/>
                    <w:rPr>
                      <w:rFonts w:eastAsiaTheme="minorEastAsia"/>
                      <w:szCs w:val="21"/>
                    </w:rPr>
                  </w:pPr>
                  <w:r>
                    <w:rPr>
                      <w:rFonts w:hint="eastAsia" w:eastAsiaTheme="minorEastAsia"/>
                      <w:szCs w:val="21"/>
                    </w:rPr>
                    <w:t>0.01</w:t>
                  </w:r>
                </w:p>
              </w:tc>
              <w:tc>
                <w:tcPr>
                  <w:tcW w:w="1066" w:type="dxa"/>
                  <w:vAlign w:val="center"/>
                </w:tcPr>
                <w:p w14:paraId="5F52664B">
                  <w:pPr>
                    <w:adjustRightInd w:val="0"/>
                    <w:snapToGrid w:val="0"/>
                    <w:jc w:val="center"/>
                    <w:rPr>
                      <w:rFonts w:eastAsiaTheme="minorEastAsia"/>
                      <w:szCs w:val="21"/>
                    </w:rPr>
                  </w:pPr>
                  <w:r>
                    <w:rPr>
                      <w:rFonts w:hint="eastAsia" w:eastAsiaTheme="minorEastAsia"/>
                      <w:szCs w:val="21"/>
                    </w:rPr>
                    <w:t>0.003</w:t>
                  </w:r>
                </w:p>
              </w:tc>
              <w:tc>
                <w:tcPr>
                  <w:tcW w:w="1066" w:type="dxa"/>
                  <w:vAlign w:val="center"/>
                </w:tcPr>
                <w:p w14:paraId="7BD8C843">
                  <w:pPr>
                    <w:adjustRightInd w:val="0"/>
                    <w:snapToGrid w:val="0"/>
                    <w:jc w:val="center"/>
                    <w:rPr>
                      <w:rFonts w:eastAsiaTheme="minorEastAsia"/>
                      <w:szCs w:val="21"/>
                    </w:rPr>
                  </w:pPr>
                  <w:r>
                    <w:rPr>
                      <w:rFonts w:hint="eastAsia" w:eastAsiaTheme="minorEastAsia"/>
                      <w:szCs w:val="21"/>
                    </w:rPr>
                    <w:t>/</w:t>
                  </w:r>
                </w:p>
              </w:tc>
              <w:tc>
                <w:tcPr>
                  <w:tcW w:w="1066" w:type="dxa"/>
                  <w:vAlign w:val="center"/>
                </w:tcPr>
                <w:p w14:paraId="59CB30A2">
                  <w:pPr>
                    <w:adjustRightInd w:val="0"/>
                    <w:snapToGrid w:val="0"/>
                    <w:jc w:val="center"/>
                    <w:rPr>
                      <w:rFonts w:eastAsiaTheme="minorEastAsia"/>
                      <w:szCs w:val="21"/>
                    </w:rPr>
                  </w:pPr>
                  <w:r>
                    <w:rPr>
                      <w:rFonts w:hint="eastAsia" w:eastAsiaTheme="minorEastAsia"/>
                      <w:szCs w:val="21"/>
                    </w:rPr>
                    <w:t>0.01</w:t>
                  </w:r>
                </w:p>
              </w:tc>
              <w:tc>
                <w:tcPr>
                  <w:tcW w:w="1066" w:type="dxa"/>
                  <w:vAlign w:val="center"/>
                </w:tcPr>
                <w:p w14:paraId="71D97BA2">
                  <w:pPr>
                    <w:adjustRightInd w:val="0"/>
                    <w:snapToGrid w:val="0"/>
                    <w:jc w:val="center"/>
                    <w:rPr>
                      <w:rFonts w:eastAsiaTheme="minorEastAsia"/>
                      <w:szCs w:val="21"/>
                    </w:rPr>
                  </w:pPr>
                  <w:r>
                    <w:rPr>
                      <w:rFonts w:hint="eastAsia" w:eastAsiaTheme="minorEastAsia"/>
                      <w:szCs w:val="21"/>
                    </w:rPr>
                    <w:t>0.003</w:t>
                  </w:r>
                </w:p>
              </w:tc>
              <w:tc>
                <w:tcPr>
                  <w:tcW w:w="1066" w:type="dxa"/>
                  <w:vAlign w:val="center"/>
                </w:tcPr>
                <w:p w14:paraId="6ADB0EF9">
                  <w:pPr>
                    <w:adjustRightInd w:val="0"/>
                    <w:snapToGrid w:val="0"/>
                    <w:jc w:val="center"/>
                    <w:rPr>
                      <w:rFonts w:eastAsiaTheme="minorEastAsia"/>
                      <w:szCs w:val="21"/>
                    </w:rPr>
                  </w:pPr>
                  <w:r>
                    <w:rPr>
                      <w:rFonts w:hint="eastAsia" w:eastAsiaTheme="minorEastAsia"/>
                      <w:szCs w:val="21"/>
                    </w:rPr>
                    <w:t>/</w:t>
                  </w:r>
                </w:p>
              </w:tc>
              <w:tc>
                <w:tcPr>
                  <w:tcW w:w="1066" w:type="dxa"/>
                  <w:vAlign w:val="center"/>
                </w:tcPr>
                <w:p w14:paraId="22643B63">
                  <w:pPr>
                    <w:adjustRightInd w:val="0"/>
                    <w:snapToGrid w:val="0"/>
                    <w:jc w:val="center"/>
                    <w:rPr>
                      <w:rFonts w:eastAsiaTheme="minorEastAsia"/>
                      <w:szCs w:val="21"/>
                    </w:rPr>
                  </w:pPr>
                  <w:r>
                    <w:rPr>
                      <w:rFonts w:hint="eastAsia" w:eastAsiaTheme="minorEastAsia"/>
                      <w:szCs w:val="21"/>
                    </w:rPr>
                    <w:t>1.0</w:t>
                  </w:r>
                </w:p>
              </w:tc>
            </w:tr>
          </w:tbl>
          <w:p w14:paraId="6383F7A0">
            <w:pPr>
              <w:adjustRightInd w:val="0"/>
              <w:snapToGrid w:val="0"/>
              <w:spacing w:line="480" w:lineRule="exact"/>
              <w:ind w:firstLine="482" w:firstLineChars="200"/>
              <w:jc w:val="left"/>
              <w:rPr>
                <w:rFonts w:ascii="宋体" w:hAnsi="宋体"/>
                <w:b/>
                <w:sz w:val="24"/>
              </w:rPr>
            </w:pPr>
            <w:r>
              <w:rPr>
                <w:rFonts w:hint="eastAsia" w:ascii="宋体" w:hAnsi="宋体"/>
                <w:b/>
                <w:sz w:val="24"/>
              </w:rPr>
              <w:t>（4）</w:t>
            </w:r>
            <w:r>
              <w:rPr>
                <w:rFonts w:hAnsi="宋体"/>
                <w:b/>
                <w:sz w:val="24"/>
              </w:rPr>
              <w:t>胶粘废气（</w:t>
            </w:r>
            <w:r>
              <w:rPr>
                <w:b/>
                <w:sz w:val="24"/>
              </w:rPr>
              <w:t>G</w:t>
            </w:r>
            <w:r>
              <w:rPr>
                <w:rFonts w:hint="eastAsia"/>
                <w:b/>
                <w:sz w:val="24"/>
              </w:rPr>
              <w:t>6</w:t>
            </w:r>
            <w:r>
              <w:rPr>
                <w:rFonts w:hAnsi="宋体"/>
                <w:b/>
                <w:sz w:val="24"/>
              </w:rPr>
              <w:t>）</w:t>
            </w:r>
          </w:p>
          <w:p w14:paraId="6935BE53">
            <w:pPr>
              <w:adjustRightInd w:val="0"/>
              <w:snapToGrid w:val="0"/>
              <w:spacing w:line="480" w:lineRule="exact"/>
              <w:ind w:firstLine="480" w:firstLineChars="200"/>
              <w:rPr>
                <w:rFonts w:eastAsiaTheme="minorEastAsia"/>
                <w:sz w:val="24"/>
              </w:rPr>
            </w:pPr>
            <w:r>
              <w:rPr>
                <w:rFonts w:hAnsiTheme="minorEastAsia" w:eastAsiaTheme="minorEastAsia"/>
                <w:sz w:val="24"/>
              </w:rPr>
              <w:t>拟建项目裱纸、粘盒使用的是水基性胶粘剂，水基性胶粘剂用量为</w:t>
            </w:r>
            <w:r>
              <w:rPr>
                <w:rFonts w:eastAsiaTheme="minorEastAsia"/>
                <w:sz w:val="24"/>
              </w:rPr>
              <w:t>300t/a</w:t>
            </w:r>
            <w:r>
              <w:rPr>
                <w:rFonts w:hAnsiTheme="minorEastAsia" w:eastAsiaTheme="minorEastAsia"/>
                <w:sz w:val="24"/>
              </w:rPr>
              <w:t>，根据《水基性胶粘剂</w:t>
            </w:r>
            <w:r>
              <w:rPr>
                <w:rFonts w:eastAsiaTheme="minorEastAsia"/>
                <w:sz w:val="24"/>
              </w:rPr>
              <w:t>VOC</w:t>
            </w:r>
            <w:r>
              <w:rPr>
                <w:rFonts w:hAnsiTheme="minorEastAsia" w:eastAsiaTheme="minorEastAsia"/>
                <w:sz w:val="24"/>
              </w:rPr>
              <w:t>检测报告》（详见附件</w:t>
            </w:r>
            <w:r>
              <w:rPr>
                <w:rFonts w:hint="eastAsia" w:eastAsiaTheme="minorEastAsia"/>
                <w:sz w:val="24"/>
              </w:rPr>
              <w:t>11</w:t>
            </w:r>
            <w:r>
              <w:rPr>
                <w:rFonts w:hAnsiTheme="minorEastAsia" w:eastAsiaTheme="minorEastAsia"/>
                <w:sz w:val="24"/>
              </w:rPr>
              <w:t>），报告结果为未检出，本环评取其检出限</w:t>
            </w:r>
            <w:r>
              <w:rPr>
                <w:rFonts w:hint="eastAsia" w:hAnsiTheme="minorEastAsia" w:eastAsiaTheme="minorEastAsia"/>
                <w:sz w:val="24"/>
              </w:rPr>
              <w:t>作为水基性胶粘剂中VOCs的占比</w:t>
            </w:r>
            <w:r>
              <w:rPr>
                <w:rFonts w:hAnsiTheme="minorEastAsia" w:eastAsiaTheme="minorEastAsia"/>
                <w:sz w:val="24"/>
              </w:rPr>
              <w:t>，则水基性胶粘剂的</w:t>
            </w:r>
            <w:r>
              <w:rPr>
                <w:rFonts w:eastAsiaTheme="minorEastAsia"/>
                <w:sz w:val="24"/>
              </w:rPr>
              <w:t>VOCs</w:t>
            </w:r>
            <w:r>
              <w:rPr>
                <w:rFonts w:hAnsiTheme="minorEastAsia" w:eastAsiaTheme="minorEastAsia"/>
                <w:sz w:val="24"/>
              </w:rPr>
              <w:t>占比为</w:t>
            </w:r>
            <w:r>
              <w:rPr>
                <w:rFonts w:hint="eastAsia" w:eastAsiaTheme="minorEastAsia"/>
                <w:sz w:val="24"/>
              </w:rPr>
              <w:t>0.2</w:t>
            </w:r>
            <w:r>
              <w:rPr>
                <w:rFonts w:eastAsiaTheme="minorEastAsia"/>
                <w:sz w:val="24"/>
              </w:rPr>
              <w:t>%</w:t>
            </w:r>
            <w:r>
              <w:rPr>
                <w:rFonts w:hAnsiTheme="minorEastAsia" w:eastAsiaTheme="minorEastAsia"/>
                <w:sz w:val="24"/>
              </w:rPr>
              <w:t>，则非甲烷总烃产生量为</w:t>
            </w:r>
            <w:r>
              <w:rPr>
                <w:rFonts w:hint="eastAsia" w:hAnsiTheme="minorEastAsia" w:eastAsiaTheme="minorEastAsia"/>
                <w:sz w:val="24"/>
              </w:rPr>
              <w:t>0.6</w:t>
            </w:r>
            <w:r>
              <w:rPr>
                <w:rFonts w:eastAsiaTheme="minorEastAsia"/>
                <w:sz w:val="24"/>
              </w:rPr>
              <w:t xml:space="preserve"> t/a</w:t>
            </w:r>
            <w:r>
              <w:rPr>
                <w:rFonts w:hAnsiTheme="minorEastAsia" w:eastAsiaTheme="minorEastAsia"/>
                <w:sz w:val="24"/>
              </w:rPr>
              <w:t>，年裱纸、糊盒时间按</w:t>
            </w:r>
            <w:r>
              <w:rPr>
                <w:rFonts w:hint="eastAsia" w:eastAsiaTheme="minorEastAsia"/>
                <w:sz w:val="24"/>
              </w:rPr>
              <w:t>250</w:t>
            </w:r>
            <w:r>
              <w:rPr>
                <w:rFonts w:eastAsiaTheme="minorEastAsia"/>
                <w:sz w:val="24"/>
              </w:rPr>
              <w:t>d</w:t>
            </w:r>
            <w:r>
              <w:rPr>
                <w:rFonts w:hAnsiTheme="minorEastAsia" w:eastAsiaTheme="minorEastAsia"/>
                <w:sz w:val="24"/>
              </w:rPr>
              <w:t>，</w:t>
            </w:r>
            <w:r>
              <w:rPr>
                <w:rFonts w:hint="eastAsia" w:eastAsiaTheme="minorEastAsia"/>
                <w:sz w:val="24"/>
              </w:rPr>
              <w:t>20</w:t>
            </w:r>
            <w:r>
              <w:rPr>
                <w:rFonts w:eastAsiaTheme="minorEastAsia"/>
                <w:sz w:val="24"/>
              </w:rPr>
              <w:t>h/d</w:t>
            </w:r>
            <w:r>
              <w:rPr>
                <w:rFonts w:hAnsiTheme="minorEastAsia" w:eastAsiaTheme="minorEastAsia"/>
                <w:sz w:val="24"/>
              </w:rPr>
              <w:t>，则产生速率为</w:t>
            </w:r>
            <w:r>
              <w:rPr>
                <w:rFonts w:hint="eastAsia" w:hAnsiTheme="minorEastAsia" w:eastAsiaTheme="minorEastAsia"/>
                <w:sz w:val="24"/>
              </w:rPr>
              <w:t>0.12kg/h</w:t>
            </w:r>
            <w:r>
              <w:rPr>
                <w:rFonts w:hAnsiTheme="minorEastAsia" w:eastAsiaTheme="minorEastAsia"/>
                <w:sz w:val="24"/>
              </w:rPr>
              <w:t>。</w:t>
            </w:r>
          </w:p>
          <w:p w14:paraId="1E6BE02B">
            <w:pPr>
              <w:autoSpaceDE w:val="0"/>
              <w:autoSpaceDN w:val="0"/>
              <w:adjustRightInd w:val="0"/>
              <w:spacing w:line="480" w:lineRule="exact"/>
              <w:ind w:firstLine="480" w:firstLineChars="200"/>
              <w:jc w:val="left"/>
              <w:rPr>
                <w:rFonts w:eastAsiaTheme="minorEastAsia"/>
                <w:b/>
                <w:sz w:val="24"/>
              </w:rPr>
            </w:pPr>
            <w:r>
              <w:rPr>
                <w:rFonts w:hAnsiTheme="minorEastAsia" w:eastAsiaTheme="minorEastAsia"/>
                <w:kern w:val="0"/>
                <w:sz w:val="24"/>
              </w:rPr>
              <w:t>根据《挥发性有机物无组织排放控制标准》（</w:t>
            </w:r>
            <w:r>
              <w:rPr>
                <w:rFonts w:eastAsiaTheme="minorEastAsia"/>
                <w:kern w:val="0"/>
                <w:sz w:val="24"/>
              </w:rPr>
              <w:t>GB37822-2019</w:t>
            </w:r>
            <w:r>
              <w:rPr>
                <w:rFonts w:hAnsiTheme="minorEastAsia" w:eastAsiaTheme="minorEastAsia"/>
                <w:kern w:val="0"/>
                <w:sz w:val="24"/>
              </w:rPr>
              <w:t>）：</w:t>
            </w:r>
            <w:r>
              <w:rPr>
                <w:rFonts w:eastAsiaTheme="minorEastAsia"/>
                <w:kern w:val="0"/>
                <w:sz w:val="24"/>
              </w:rPr>
              <w:t>“VOCs</w:t>
            </w:r>
            <w:r>
              <w:rPr>
                <w:rFonts w:hAnsiTheme="minorEastAsia" w:eastAsiaTheme="minorEastAsia"/>
                <w:kern w:val="0"/>
                <w:sz w:val="24"/>
              </w:rPr>
              <w:t>质量占比大于等于</w:t>
            </w:r>
            <w:r>
              <w:rPr>
                <w:rFonts w:eastAsiaTheme="minorEastAsia"/>
                <w:kern w:val="0"/>
                <w:sz w:val="24"/>
              </w:rPr>
              <w:t>10%</w:t>
            </w:r>
            <w:r>
              <w:rPr>
                <w:rFonts w:hAnsiTheme="minorEastAsia" w:eastAsiaTheme="minorEastAsia"/>
                <w:kern w:val="0"/>
                <w:sz w:val="24"/>
              </w:rPr>
              <w:t>的含</w:t>
            </w:r>
            <w:r>
              <w:rPr>
                <w:rFonts w:eastAsiaTheme="minorEastAsia"/>
                <w:kern w:val="0"/>
                <w:sz w:val="24"/>
              </w:rPr>
              <w:t xml:space="preserve">VOCs </w:t>
            </w:r>
            <w:r>
              <w:rPr>
                <w:rFonts w:hAnsiTheme="minorEastAsia" w:eastAsiaTheme="minorEastAsia"/>
                <w:kern w:val="0"/>
                <w:sz w:val="24"/>
              </w:rPr>
              <w:t>产品，其使用过程应采用密闭设备或在密闭空间内操作，废气应排至</w:t>
            </w:r>
            <w:r>
              <w:rPr>
                <w:rFonts w:eastAsiaTheme="minorEastAsia"/>
                <w:kern w:val="0"/>
                <w:sz w:val="24"/>
              </w:rPr>
              <w:t xml:space="preserve">VOCs </w:t>
            </w:r>
            <w:r>
              <w:rPr>
                <w:rFonts w:hAnsiTheme="minorEastAsia" w:eastAsiaTheme="minorEastAsia"/>
                <w:kern w:val="0"/>
                <w:sz w:val="24"/>
              </w:rPr>
              <w:t>废气收集处理系统；无法密闭的，应采取局部气体收集措施，废气应排至</w:t>
            </w:r>
            <w:r>
              <w:rPr>
                <w:rFonts w:eastAsiaTheme="minorEastAsia"/>
                <w:kern w:val="0"/>
                <w:sz w:val="24"/>
              </w:rPr>
              <w:t xml:space="preserve">VOCs </w:t>
            </w:r>
            <w:r>
              <w:rPr>
                <w:rFonts w:hAnsiTheme="minorEastAsia" w:eastAsiaTheme="minorEastAsia"/>
                <w:kern w:val="0"/>
                <w:sz w:val="24"/>
              </w:rPr>
              <w:t>废气收集处理系统。</w:t>
            </w:r>
            <w:r>
              <w:rPr>
                <w:rFonts w:eastAsiaTheme="minorEastAsia"/>
                <w:kern w:val="0"/>
                <w:sz w:val="24"/>
              </w:rPr>
              <w:t>”</w:t>
            </w:r>
            <w:r>
              <w:rPr>
                <w:rFonts w:hAnsiTheme="minorEastAsia" w:eastAsiaTheme="minorEastAsia"/>
                <w:kern w:val="0"/>
                <w:sz w:val="24"/>
              </w:rPr>
              <w:t>。本项目使用的</w:t>
            </w:r>
            <w:r>
              <w:rPr>
                <w:rFonts w:hAnsiTheme="minorEastAsia" w:eastAsiaTheme="minorEastAsia"/>
                <w:sz w:val="24"/>
              </w:rPr>
              <w:t>水基性胶粘剂</w:t>
            </w:r>
            <w:r>
              <w:rPr>
                <w:rFonts w:eastAsiaTheme="minorEastAsia"/>
                <w:kern w:val="0"/>
                <w:sz w:val="24"/>
              </w:rPr>
              <w:t xml:space="preserve">VOCs </w:t>
            </w:r>
            <w:r>
              <w:rPr>
                <w:rFonts w:hAnsiTheme="minorEastAsia" w:eastAsiaTheme="minorEastAsia"/>
                <w:kern w:val="0"/>
                <w:sz w:val="24"/>
              </w:rPr>
              <w:t>质量占比均远低于</w:t>
            </w:r>
            <w:r>
              <w:rPr>
                <w:rFonts w:eastAsiaTheme="minorEastAsia"/>
                <w:kern w:val="0"/>
                <w:sz w:val="24"/>
              </w:rPr>
              <w:t>10%</w:t>
            </w:r>
            <w:r>
              <w:rPr>
                <w:rFonts w:hAnsiTheme="minorEastAsia" w:eastAsiaTheme="minorEastAsia"/>
                <w:kern w:val="0"/>
                <w:sz w:val="24"/>
              </w:rPr>
              <w:t>，故无组织排放可行。</w:t>
            </w:r>
          </w:p>
          <w:p w14:paraId="210F029E">
            <w:pPr>
              <w:adjustRightInd w:val="0"/>
              <w:snapToGrid w:val="0"/>
              <w:spacing w:line="480" w:lineRule="exact"/>
              <w:jc w:val="center"/>
              <w:rPr>
                <w:rFonts w:hAnsi="宋体"/>
                <w:b/>
                <w:szCs w:val="21"/>
              </w:rPr>
            </w:pPr>
            <w:r>
              <w:rPr>
                <w:rFonts w:hint="eastAsia" w:hAnsi="宋体"/>
                <w:b/>
                <w:szCs w:val="21"/>
              </w:rPr>
              <w:t>表4.2-9  胶粘废气无组织产排情况表</w:t>
            </w:r>
          </w:p>
          <w:tbl>
            <w:tblPr>
              <w:tblStyle w:val="24"/>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14"/>
              <w:gridCol w:w="850"/>
              <w:gridCol w:w="992"/>
              <w:gridCol w:w="1134"/>
              <w:gridCol w:w="851"/>
              <w:gridCol w:w="992"/>
              <w:gridCol w:w="1134"/>
              <w:gridCol w:w="1134"/>
            </w:tblGrid>
            <w:tr w14:paraId="69C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F1A5F76">
                  <w:pPr>
                    <w:adjustRightInd w:val="0"/>
                    <w:snapToGrid w:val="0"/>
                    <w:jc w:val="center"/>
                    <w:rPr>
                      <w:rFonts w:eastAsiaTheme="minorEastAsia"/>
                      <w:szCs w:val="21"/>
                    </w:rPr>
                  </w:pPr>
                  <w:r>
                    <w:rPr>
                      <w:rFonts w:hAnsiTheme="minorEastAsia" w:eastAsiaTheme="minorEastAsia"/>
                      <w:szCs w:val="21"/>
                    </w:rPr>
                    <w:t>污染源</w:t>
                  </w:r>
                </w:p>
              </w:tc>
              <w:tc>
                <w:tcPr>
                  <w:tcW w:w="1014" w:type="dxa"/>
                  <w:vMerge w:val="restart"/>
                  <w:vAlign w:val="center"/>
                </w:tcPr>
                <w:p w14:paraId="48162529">
                  <w:pPr>
                    <w:adjustRightInd w:val="0"/>
                    <w:snapToGrid w:val="0"/>
                    <w:jc w:val="center"/>
                    <w:rPr>
                      <w:rFonts w:hAnsiTheme="minorEastAsia" w:eastAsiaTheme="minorEastAsia"/>
                      <w:szCs w:val="21"/>
                    </w:rPr>
                  </w:pPr>
                  <w:r>
                    <w:rPr>
                      <w:rFonts w:hint="eastAsia" w:hAnsiTheme="minorEastAsia" w:eastAsiaTheme="minorEastAsia"/>
                      <w:szCs w:val="21"/>
                    </w:rPr>
                    <w:t>污染因子</w:t>
                  </w:r>
                </w:p>
              </w:tc>
              <w:tc>
                <w:tcPr>
                  <w:tcW w:w="2976" w:type="dxa"/>
                  <w:gridSpan w:val="3"/>
                  <w:vAlign w:val="center"/>
                </w:tcPr>
                <w:p w14:paraId="0AA59F1A">
                  <w:pPr>
                    <w:adjustRightInd w:val="0"/>
                    <w:snapToGrid w:val="0"/>
                    <w:jc w:val="center"/>
                    <w:rPr>
                      <w:rFonts w:eastAsiaTheme="minorEastAsia"/>
                      <w:szCs w:val="21"/>
                    </w:rPr>
                  </w:pPr>
                  <w:r>
                    <w:rPr>
                      <w:rFonts w:hAnsiTheme="minorEastAsia" w:eastAsiaTheme="minorEastAsia"/>
                      <w:szCs w:val="21"/>
                    </w:rPr>
                    <w:t>产生情况</w:t>
                  </w:r>
                </w:p>
              </w:tc>
              <w:tc>
                <w:tcPr>
                  <w:tcW w:w="2977" w:type="dxa"/>
                  <w:gridSpan w:val="3"/>
                  <w:vAlign w:val="center"/>
                </w:tcPr>
                <w:p w14:paraId="68D3CA16">
                  <w:pPr>
                    <w:adjustRightInd w:val="0"/>
                    <w:snapToGrid w:val="0"/>
                    <w:jc w:val="center"/>
                    <w:rPr>
                      <w:rFonts w:eastAsiaTheme="minorEastAsia"/>
                      <w:szCs w:val="21"/>
                    </w:rPr>
                  </w:pPr>
                  <w:r>
                    <w:rPr>
                      <w:rFonts w:hAnsiTheme="minorEastAsia" w:eastAsiaTheme="minorEastAsia"/>
                      <w:szCs w:val="21"/>
                    </w:rPr>
                    <w:t>排放情况</w:t>
                  </w:r>
                </w:p>
              </w:tc>
              <w:tc>
                <w:tcPr>
                  <w:tcW w:w="1134" w:type="dxa"/>
                  <w:vMerge w:val="restart"/>
                  <w:vAlign w:val="center"/>
                </w:tcPr>
                <w:p w14:paraId="6CCB6605">
                  <w:pPr>
                    <w:adjustRightInd w:val="0"/>
                    <w:snapToGrid w:val="0"/>
                    <w:jc w:val="center"/>
                    <w:rPr>
                      <w:rFonts w:eastAsiaTheme="minorEastAsia"/>
                      <w:szCs w:val="21"/>
                    </w:rPr>
                  </w:pPr>
                  <w:r>
                    <w:rPr>
                      <w:rFonts w:hAnsiTheme="minorEastAsia" w:eastAsiaTheme="minorEastAsia"/>
                      <w:szCs w:val="21"/>
                    </w:rPr>
                    <w:t>标准限值</w:t>
                  </w:r>
                  <w:r>
                    <w:rPr>
                      <w:rFonts w:eastAsiaTheme="minorEastAsia"/>
                      <w:szCs w:val="21"/>
                    </w:rPr>
                    <w:t>mg/m</w:t>
                  </w:r>
                  <w:r>
                    <w:rPr>
                      <w:rFonts w:eastAsiaTheme="minorEastAsia"/>
                      <w:szCs w:val="21"/>
                      <w:vertAlign w:val="superscript"/>
                    </w:rPr>
                    <w:t>3</w:t>
                  </w:r>
                </w:p>
              </w:tc>
            </w:tr>
            <w:tr w14:paraId="26BD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62ADDA4">
                  <w:pPr>
                    <w:adjustRightInd w:val="0"/>
                    <w:snapToGrid w:val="0"/>
                    <w:jc w:val="center"/>
                    <w:rPr>
                      <w:rFonts w:eastAsiaTheme="minorEastAsia"/>
                      <w:szCs w:val="21"/>
                    </w:rPr>
                  </w:pPr>
                </w:p>
              </w:tc>
              <w:tc>
                <w:tcPr>
                  <w:tcW w:w="1014" w:type="dxa"/>
                  <w:vMerge w:val="continue"/>
                  <w:vAlign w:val="center"/>
                </w:tcPr>
                <w:p w14:paraId="56B1FEAA">
                  <w:pPr>
                    <w:adjustRightInd w:val="0"/>
                    <w:snapToGrid w:val="0"/>
                    <w:jc w:val="center"/>
                    <w:rPr>
                      <w:rFonts w:hAnsiTheme="minorEastAsia" w:eastAsiaTheme="minorEastAsia"/>
                      <w:szCs w:val="21"/>
                    </w:rPr>
                  </w:pPr>
                </w:p>
              </w:tc>
              <w:tc>
                <w:tcPr>
                  <w:tcW w:w="850" w:type="dxa"/>
                  <w:vAlign w:val="center"/>
                </w:tcPr>
                <w:p w14:paraId="266CDBEF">
                  <w:pPr>
                    <w:adjustRightInd w:val="0"/>
                    <w:snapToGrid w:val="0"/>
                    <w:jc w:val="center"/>
                    <w:rPr>
                      <w:rFonts w:eastAsiaTheme="minorEastAsia"/>
                      <w:szCs w:val="21"/>
                    </w:rPr>
                  </w:pPr>
                  <w:r>
                    <w:rPr>
                      <w:rFonts w:hAnsiTheme="minorEastAsia" w:eastAsiaTheme="minorEastAsia"/>
                      <w:szCs w:val="21"/>
                    </w:rPr>
                    <w:t>产生量</w:t>
                  </w:r>
                </w:p>
                <w:p w14:paraId="27A3D316">
                  <w:pPr>
                    <w:adjustRightInd w:val="0"/>
                    <w:snapToGrid w:val="0"/>
                    <w:jc w:val="center"/>
                    <w:rPr>
                      <w:rFonts w:eastAsiaTheme="minorEastAsia"/>
                      <w:szCs w:val="21"/>
                    </w:rPr>
                  </w:pPr>
                  <w:r>
                    <w:rPr>
                      <w:rFonts w:eastAsiaTheme="minorEastAsia"/>
                      <w:szCs w:val="21"/>
                    </w:rPr>
                    <w:t>t/a</w:t>
                  </w:r>
                </w:p>
              </w:tc>
              <w:tc>
                <w:tcPr>
                  <w:tcW w:w="992" w:type="dxa"/>
                  <w:vAlign w:val="center"/>
                </w:tcPr>
                <w:p w14:paraId="10286245">
                  <w:pPr>
                    <w:adjustRightInd w:val="0"/>
                    <w:snapToGrid w:val="0"/>
                    <w:jc w:val="center"/>
                    <w:rPr>
                      <w:rFonts w:eastAsiaTheme="minorEastAsia"/>
                      <w:szCs w:val="21"/>
                    </w:rPr>
                  </w:pPr>
                  <w:r>
                    <w:rPr>
                      <w:rFonts w:hAnsiTheme="minorEastAsia" w:eastAsiaTheme="minorEastAsia"/>
                      <w:szCs w:val="21"/>
                    </w:rPr>
                    <w:t>产生速率</w:t>
                  </w:r>
                  <w:r>
                    <w:rPr>
                      <w:rFonts w:eastAsiaTheme="minorEastAsia"/>
                      <w:szCs w:val="21"/>
                    </w:rPr>
                    <w:t>kg/h</w:t>
                  </w:r>
                </w:p>
              </w:tc>
              <w:tc>
                <w:tcPr>
                  <w:tcW w:w="1134" w:type="dxa"/>
                  <w:vAlign w:val="center"/>
                </w:tcPr>
                <w:p w14:paraId="5F5497D8">
                  <w:pPr>
                    <w:adjustRightInd w:val="0"/>
                    <w:snapToGrid w:val="0"/>
                    <w:jc w:val="center"/>
                    <w:rPr>
                      <w:rFonts w:eastAsiaTheme="minorEastAsia"/>
                      <w:szCs w:val="21"/>
                    </w:rPr>
                  </w:pPr>
                  <w:r>
                    <w:rPr>
                      <w:rFonts w:hAnsiTheme="minorEastAsia" w:eastAsiaTheme="minorEastAsia"/>
                      <w:szCs w:val="21"/>
                    </w:rPr>
                    <w:t>产生浓度</w:t>
                  </w:r>
                  <w:r>
                    <w:rPr>
                      <w:rFonts w:eastAsiaTheme="minorEastAsia"/>
                      <w:szCs w:val="21"/>
                    </w:rPr>
                    <w:t>mg/m</w:t>
                  </w:r>
                  <w:r>
                    <w:rPr>
                      <w:rFonts w:eastAsiaTheme="minorEastAsia"/>
                      <w:szCs w:val="21"/>
                      <w:vertAlign w:val="superscript"/>
                    </w:rPr>
                    <w:t>3</w:t>
                  </w:r>
                </w:p>
              </w:tc>
              <w:tc>
                <w:tcPr>
                  <w:tcW w:w="851" w:type="dxa"/>
                  <w:vAlign w:val="center"/>
                </w:tcPr>
                <w:p w14:paraId="53A964B5">
                  <w:pPr>
                    <w:adjustRightInd w:val="0"/>
                    <w:snapToGrid w:val="0"/>
                    <w:jc w:val="center"/>
                    <w:rPr>
                      <w:rFonts w:eastAsiaTheme="minorEastAsia"/>
                      <w:szCs w:val="21"/>
                    </w:rPr>
                  </w:pPr>
                  <w:r>
                    <w:rPr>
                      <w:rFonts w:hAnsiTheme="minorEastAsia" w:eastAsiaTheme="minorEastAsia"/>
                      <w:szCs w:val="21"/>
                    </w:rPr>
                    <w:t>产生量</w:t>
                  </w:r>
                </w:p>
                <w:p w14:paraId="619417C5">
                  <w:pPr>
                    <w:adjustRightInd w:val="0"/>
                    <w:snapToGrid w:val="0"/>
                    <w:jc w:val="center"/>
                    <w:rPr>
                      <w:rFonts w:eastAsiaTheme="minorEastAsia"/>
                      <w:szCs w:val="21"/>
                    </w:rPr>
                  </w:pPr>
                  <w:r>
                    <w:rPr>
                      <w:rFonts w:eastAsiaTheme="minorEastAsia"/>
                      <w:szCs w:val="21"/>
                    </w:rPr>
                    <w:t>t/a</w:t>
                  </w:r>
                </w:p>
              </w:tc>
              <w:tc>
                <w:tcPr>
                  <w:tcW w:w="992" w:type="dxa"/>
                  <w:vAlign w:val="center"/>
                </w:tcPr>
                <w:p w14:paraId="1E2ADB8E">
                  <w:pPr>
                    <w:adjustRightInd w:val="0"/>
                    <w:snapToGrid w:val="0"/>
                    <w:jc w:val="center"/>
                    <w:rPr>
                      <w:rFonts w:eastAsiaTheme="minorEastAsia"/>
                      <w:szCs w:val="21"/>
                    </w:rPr>
                  </w:pPr>
                  <w:r>
                    <w:rPr>
                      <w:rFonts w:hAnsiTheme="minorEastAsia" w:eastAsiaTheme="minorEastAsia"/>
                      <w:szCs w:val="21"/>
                    </w:rPr>
                    <w:t>产生速率</w:t>
                  </w:r>
                  <w:r>
                    <w:rPr>
                      <w:rFonts w:eastAsiaTheme="minorEastAsia"/>
                      <w:szCs w:val="21"/>
                    </w:rPr>
                    <w:t>kg/h</w:t>
                  </w:r>
                </w:p>
              </w:tc>
              <w:tc>
                <w:tcPr>
                  <w:tcW w:w="1134" w:type="dxa"/>
                  <w:vAlign w:val="center"/>
                </w:tcPr>
                <w:p w14:paraId="113543BD">
                  <w:pPr>
                    <w:adjustRightInd w:val="0"/>
                    <w:snapToGrid w:val="0"/>
                    <w:jc w:val="center"/>
                    <w:rPr>
                      <w:rFonts w:eastAsiaTheme="minorEastAsia"/>
                      <w:szCs w:val="21"/>
                    </w:rPr>
                  </w:pPr>
                  <w:r>
                    <w:rPr>
                      <w:rFonts w:hAnsiTheme="minorEastAsia" w:eastAsiaTheme="minorEastAsia"/>
                      <w:szCs w:val="21"/>
                    </w:rPr>
                    <w:t>产生浓度</w:t>
                  </w:r>
                  <w:r>
                    <w:rPr>
                      <w:rFonts w:eastAsiaTheme="minorEastAsia"/>
                      <w:szCs w:val="21"/>
                    </w:rPr>
                    <w:t>mg/m</w:t>
                  </w:r>
                  <w:r>
                    <w:rPr>
                      <w:rFonts w:eastAsiaTheme="minorEastAsia"/>
                      <w:szCs w:val="21"/>
                      <w:vertAlign w:val="superscript"/>
                    </w:rPr>
                    <w:t>3</w:t>
                  </w:r>
                </w:p>
              </w:tc>
              <w:tc>
                <w:tcPr>
                  <w:tcW w:w="1134" w:type="dxa"/>
                  <w:vMerge w:val="continue"/>
                  <w:vAlign w:val="center"/>
                </w:tcPr>
                <w:p w14:paraId="2DDA49FF">
                  <w:pPr>
                    <w:adjustRightInd w:val="0"/>
                    <w:snapToGrid w:val="0"/>
                    <w:jc w:val="center"/>
                    <w:rPr>
                      <w:rFonts w:eastAsiaTheme="minorEastAsia"/>
                      <w:szCs w:val="21"/>
                    </w:rPr>
                  </w:pPr>
                </w:p>
              </w:tc>
            </w:tr>
            <w:tr w14:paraId="4A87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87DB33B">
                  <w:pPr>
                    <w:adjustRightInd w:val="0"/>
                    <w:snapToGrid w:val="0"/>
                    <w:jc w:val="center"/>
                    <w:rPr>
                      <w:rFonts w:eastAsiaTheme="minorEastAsia"/>
                      <w:szCs w:val="21"/>
                    </w:rPr>
                  </w:pPr>
                  <w:r>
                    <w:rPr>
                      <w:rFonts w:hint="eastAsia" w:eastAsiaTheme="minorEastAsia"/>
                      <w:szCs w:val="21"/>
                    </w:rPr>
                    <w:t>胶粘废气</w:t>
                  </w:r>
                </w:p>
              </w:tc>
              <w:tc>
                <w:tcPr>
                  <w:tcW w:w="1014" w:type="dxa"/>
                  <w:vAlign w:val="center"/>
                </w:tcPr>
                <w:p w14:paraId="6C485036">
                  <w:pPr>
                    <w:adjustRightInd w:val="0"/>
                    <w:snapToGrid w:val="0"/>
                    <w:jc w:val="center"/>
                    <w:rPr>
                      <w:rFonts w:eastAsiaTheme="minorEastAsia"/>
                      <w:szCs w:val="21"/>
                    </w:rPr>
                  </w:pPr>
                  <w:r>
                    <w:rPr>
                      <w:rFonts w:hint="eastAsia" w:eastAsiaTheme="minorEastAsia"/>
                      <w:szCs w:val="21"/>
                    </w:rPr>
                    <w:t>非甲烷总烃</w:t>
                  </w:r>
                </w:p>
              </w:tc>
              <w:tc>
                <w:tcPr>
                  <w:tcW w:w="850" w:type="dxa"/>
                  <w:vAlign w:val="center"/>
                </w:tcPr>
                <w:p w14:paraId="1DDA8510">
                  <w:pPr>
                    <w:adjustRightInd w:val="0"/>
                    <w:snapToGrid w:val="0"/>
                    <w:jc w:val="center"/>
                    <w:rPr>
                      <w:rFonts w:eastAsiaTheme="minorEastAsia"/>
                      <w:szCs w:val="21"/>
                    </w:rPr>
                  </w:pPr>
                  <w:r>
                    <w:rPr>
                      <w:rFonts w:hint="eastAsia" w:eastAsiaTheme="minorEastAsia"/>
                      <w:szCs w:val="21"/>
                    </w:rPr>
                    <w:t>0.6</w:t>
                  </w:r>
                </w:p>
              </w:tc>
              <w:tc>
                <w:tcPr>
                  <w:tcW w:w="992" w:type="dxa"/>
                  <w:vAlign w:val="center"/>
                </w:tcPr>
                <w:p w14:paraId="224ADF77">
                  <w:pPr>
                    <w:adjustRightInd w:val="0"/>
                    <w:snapToGrid w:val="0"/>
                    <w:jc w:val="center"/>
                    <w:rPr>
                      <w:rFonts w:eastAsiaTheme="minorEastAsia"/>
                      <w:szCs w:val="21"/>
                    </w:rPr>
                  </w:pPr>
                  <w:r>
                    <w:rPr>
                      <w:rFonts w:hint="eastAsia" w:eastAsiaTheme="minorEastAsia"/>
                      <w:szCs w:val="21"/>
                    </w:rPr>
                    <w:t>0.12</w:t>
                  </w:r>
                </w:p>
              </w:tc>
              <w:tc>
                <w:tcPr>
                  <w:tcW w:w="1134" w:type="dxa"/>
                  <w:vAlign w:val="center"/>
                </w:tcPr>
                <w:p w14:paraId="449C366A">
                  <w:pPr>
                    <w:adjustRightInd w:val="0"/>
                    <w:snapToGrid w:val="0"/>
                    <w:jc w:val="center"/>
                    <w:rPr>
                      <w:rFonts w:eastAsiaTheme="minorEastAsia"/>
                      <w:szCs w:val="21"/>
                    </w:rPr>
                  </w:pPr>
                  <w:r>
                    <w:rPr>
                      <w:rFonts w:hint="eastAsia" w:eastAsiaTheme="minorEastAsia"/>
                      <w:szCs w:val="21"/>
                    </w:rPr>
                    <w:t>/</w:t>
                  </w:r>
                </w:p>
              </w:tc>
              <w:tc>
                <w:tcPr>
                  <w:tcW w:w="851" w:type="dxa"/>
                  <w:vAlign w:val="center"/>
                </w:tcPr>
                <w:p w14:paraId="3CC11C87">
                  <w:pPr>
                    <w:adjustRightInd w:val="0"/>
                    <w:snapToGrid w:val="0"/>
                    <w:jc w:val="center"/>
                    <w:rPr>
                      <w:rFonts w:eastAsiaTheme="minorEastAsia"/>
                      <w:szCs w:val="21"/>
                    </w:rPr>
                  </w:pPr>
                  <w:r>
                    <w:rPr>
                      <w:rFonts w:hint="eastAsia" w:eastAsiaTheme="minorEastAsia"/>
                      <w:szCs w:val="21"/>
                    </w:rPr>
                    <w:t>0.6</w:t>
                  </w:r>
                </w:p>
              </w:tc>
              <w:tc>
                <w:tcPr>
                  <w:tcW w:w="992" w:type="dxa"/>
                  <w:vAlign w:val="center"/>
                </w:tcPr>
                <w:p w14:paraId="7F98DC59">
                  <w:pPr>
                    <w:adjustRightInd w:val="0"/>
                    <w:snapToGrid w:val="0"/>
                    <w:jc w:val="center"/>
                    <w:rPr>
                      <w:rFonts w:eastAsiaTheme="minorEastAsia"/>
                      <w:szCs w:val="21"/>
                    </w:rPr>
                  </w:pPr>
                  <w:r>
                    <w:rPr>
                      <w:rFonts w:hint="eastAsia" w:eastAsiaTheme="minorEastAsia"/>
                      <w:szCs w:val="21"/>
                    </w:rPr>
                    <w:t>0.12</w:t>
                  </w:r>
                </w:p>
              </w:tc>
              <w:tc>
                <w:tcPr>
                  <w:tcW w:w="1134" w:type="dxa"/>
                  <w:vAlign w:val="center"/>
                </w:tcPr>
                <w:p w14:paraId="15E4CF59">
                  <w:pPr>
                    <w:adjustRightInd w:val="0"/>
                    <w:snapToGrid w:val="0"/>
                    <w:jc w:val="center"/>
                    <w:rPr>
                      <w:rFonts w:eastAsiaTheme="minorEastAsia"/>
                      <w:szCs w:val="21"/>
                    </w:rPr>
                  </w:pPr>
                  <w:r>
                    <w:rPr>
                      <w:rFonts w:hint="eastAsia" w:eastAsiaTheme="minorEastAsia"/>
                      <w:szCs w:val="21"/>
                    </w:rPr>
                    <w:t>/</w:t>
                  </w:r>
                </w:p>
              </w:tc>
              <w:tc>
                <w:tcPr>
                  <w:tcW w:w="1134" w:type="dxa"/>
                  <w:vAlign w:val="center"/>
                </w:tcPr>
                <w:p w14:paraId="7C6F48DB">
                  <w:pPr>
                    <w:adjustRightInd w:val="0"/>
                    <w:snapToGrid w:val="0"/>
                    <w:jc w:val="center"/>
                    <w:rPr>
                      <w:rFonts w:eastAsiaTheme="minorEastAsia"/>
                      <w:szCs w:val="21"/>
                    </w:rPr>
                  </w:pPr>
                  <w:r>
                    <w:rPr>
                      <w:rFonts w:hint="eastAsia" w:eastAsiaTheme="minorEastAsia"/>
                      <w:szCs w:val="21"/>
                    </w:rPr>
                    <w:t>4.0</w:t>
                  </w:r>
                </w:p>
              </w:tc>
            </w:tr>
          </w:tbl>
          <w:p w14:paraId="406E6C4A">
            <w:pPr>
              <w:overflowPunct w:val="0"/>
              <w:spacing w:line="480" w:lineRule="exact"/>
              <w:ind w:firstLine="482" w:firstLineChars="200"/>
              <w:rPr>
                <w:b/>
                <w:sz w:val="24"/>
              </w:rPr>
            </w:pPr>
            <w:r>
              <w:rPr>
                <w:rFonts w:hint="eastAsia"/>
                <w:b/>
                <w:sz w:val="24"/>
              </w:rPr>
              <w:t>（5）食堂废气</w:t>
            </w:r>
          </w:p>
          <w:p w14:paraId="68589446">
            <w:pPr>
              <w:pStyle w:val="77"/>
              <w:spacing w:line="480" w:lineRule="exact"/>
              <w:ind w:firstLine="480" w:firstLineChars="200"/>
              <w:jc w:val="both"/>
              <w:rPr>
                <w:rFonts w:ascii="Times New Roman" w:hAnsi="Times New Roman" w:eastAsiaTheme="minorEastAsia"/>
                <w:color w:val="auto"/>
              </w:rPr>
            </w:pPr>
            <w:r>
              <w:rPr>
                <w:rFonts w:ascii="Times New Roman" w:hAnsiTheme="minorEastAsia" w:eastAsiaTheme="minorEastAsia"/>
                <w:color w:val="auto"/>
              </w:rPr>
              <w:t>项目设置员工食堂，设</w:t>
            </w:r>
            <w:r>
              <w:rPr>
                <w:rFonts w:hint="eastAsia" w:ascii="Times New Roman" w:hAnsi="Times New Roman" w:eastAsiaTheme="minorEastAsia"/>
                <w:color w:val="auto"/>
              </w:rPr>
              <w:t>6</w:t>
            </w:r>
            <w:r>
              <w:rPr>
                <w:rFonts w:ascii="Times New Roman" w:hAnsiTheme="minorEastAsia" w:eastAsiaTheme="minorEastAsia"/>
                <w:color w:val="auto"/>
              </w:rPr>
              <w:t>个基准灶头，根据《餐饮业大气污染物排放标准》</w:t>
            </w:r>
            <w:r>
              <w:rPr>
                <w:rFonts w:ascii="Times New Roman" w:hAnsi="Times New Roman" w:eastAsiaTheme="minorEastAsia"/>
                <w:color w:val="auto"/>
              </w:rPr>
              <w:t>(DB50/859-2018</w:t>
            </w:r>
            <w:r>
              <w:rPr>
                <w:rFonts w:ascii="Times New Roman" w:hAnsiTheme="minorEastAsia" w:eastAsiaTheme="minorEastAsia"/>
                <w:color w:val="auto"/>
              </w:rPr>
              <w:t>）：基准灶头</w:t>
            </w:r>
            <w:r>
              <w:rPr>
                <w:rFonts w:ascii="Times New Roman" w:hAnsi="Times New Roman" w:eastAsiaTheme="minorEastAsia"/>
                <w:color w:val="auto"/>
              </w:rPr>
              <w:t>≥</w:t>
            </w:r>
            <w:r>
              <w:rPr>
                <w:rFonts w:hint="eastAsia" w:ascii="Times New Roman" w:hAnsi="Times New Roman" w:eastAsiaTheme="minorEastAsia"/>
                <w:color w:val="auto"/>
              </w:rPr>
              <w:t>6</w:t>
            </w:r>
            <w:r>
              <w:rPr>
                <w:rFonts w:ascii="Times New Roman" w:hAnsiTheme="minorEastAsia" w:eastAsiaTheme="minorEastAsia"/>
                <w:color w:val="auto"/>
              </w:rPr>
              <w:t>的餐饮单位为</w:t>
            </w:r>
            <w:r>
              <w:rPr>
                <w:rFonts w:hint="eastAsia" w:ascii="Times New Roman" w:hAnsiTheme="minorEastAsia" w:eastAsiaTheme="minorEastAsia"/>
                <w:color w:val="auto"/>
              </w:rPr>
              <w:t>大</w:t>
            </w:r>
            <w:r>
              <w:rPr>
                <w:rFonts w:ascii="Times New Roman" w:hAnsiTheme="minorEastAsia" w:eastAsiaTheme="minorEastAsia"/>
                <w:color w:val="auto"/>
              </w:rPr>
              <w:t>型餐饮单位；设计排放风量</w:t>
            </w:r>
            <w:r>
              <w:rPr>
                <w:rFonts w:ascii="Times New Roman" w:hAnsi="Times New Roman" w:eastAsiaTheme="minorEastAsia"/>
                <w:color w:val="auto"/>
              </w:rPr>
              <w:t>=</w:t>
            </w:r>
            <w:r>
              <w:rPr>
                <w:rFonts w:ascii="Times New Roman" w:hAnsiTheme="minorEastAsia" w:eastAsiaTheme="minorEastAsia"/>
                <w:color w:val="auto"/>
              </w:rPr>
              <w:t>基准灶头数</w:t>
            </w:r>
            <w:r>
              <w:rPr>
                <w:rFonts w:ascii="Times New Roman" w:hAnsi="Times New Roman" w:eastAsiaTheme="minorEastAsia"/>
                <w:color w:val="auto"/>
              </w:rPr>
              <w:t>×</w:t>
            </w:r>
            <w:r>
              <w:rPr>
                <w:rFonts w:ascii="Times New Roman" w:hAnsiTheme="minorEastAsia" w:eastAsiaTheme="minorEastAsia"/>
                <w:color w:val="auto"/>
              </w:rPr>
              <w:t>基准风量（单个基准灶头的基准风量以</w:t>
            </w:r>
            <w:r>
              <w:rPr>
                <w:rFonts w:hint="eastAsia" w:ascii="Times New Roman" w:hAnsi="Times New Roman" w:eastAsiaTheme="minorEastAsia"/>
                <w:color w:val="auto"/>
              </w:rPr>
              <w:t>3</w:t>
            </w:r>
            <w:r>
              <w:rPr>
                <w:rFonts w:ascii="Times New Roman" w:hAnsi="Times New Roman" w:eastAsiaTheme="minorEastAsia"/>
                <w:color w:val="auto"/>
              </w:rPr>
              <w:t>000m</w:t>
            </w:r>
            <w:r>
              <w:rPr>
                <w:rFonts w:ascii="Times New Roman" w:hAnsi="Times New Roman" w:eastAsiaTheme="minorEastAsia"/>
                <w:color w:val="auto"/>
                <w:vertAlign w:val="superscript"/>
              </w:rPr>
              <w:t>3</w:t>
            </w:r>
            <w:r>
              <w:rPr>
                <w:rFonts w:ascii="Times New Roman" w:hAnsi="Times New Roman" w:eastAsiaTheme="minorEastAsia"/>
                <w:color w:val="auto"/>
              </w:rPr>
              <w:t>/h</w:t>
            </w:r>
            <w:r>
              <w:rPr>
                <w:rFonts w:ascii="Times New Roman" w:hAnsiTheme="minorEastAsia" w:eastAsiaTheme="minorEastAsia"/>
                <w:color w:val="auto"/>
              </w:rPr>
              <w:t>计），则项目总风量为</w:t>
            </w:r>
            <w:r>
              <w:rPr>
                <w:rFonts w:hint="eastAsia" w:ascii="Times New Roman" w:hAnsi="Times New Roman" w:eastAsiaTheme="minorEastAsia"/>
                <w:color w:val="auto"/>
              </w:rPr>
              <w:t>18</w:t>
            </w:r>
            <w:r>
              <w:rPr>
                <w:rFonts w:ascii="Times New Roman" w:hAnsi="Times New Roman" w:eastAsiaTheme="minorEastAsia"/>
                <w:color w:val="auto"/>
              </w:rPr>
              <w:t>000m</w:t>
            </w:r>
            <w:r>
              <w:rPr>
                <w:rFonts w:ascii="Times New Roman" w:hAnsi="Times New Roman" w:eastAsiaTheme="minorEastAsia"/>
                <w:color w:val="auto"/>
                <w:vertAlign w:val="superscript"/>
              </w:rPr>
              <w:t>3</w:t>
            </w:r>
            <w:r>
              <w:rPr>
                <w:rFonts w:ascii="Times New Roman" w:hAnsi="Times New Roman" w:eastAsiaTheme="minorEastAsia"/>
                <w:color w:val="auto"/>
              </w:rPr>
              <w:t>/h</w:t>
            </w:r>
            <w:r>
              <w:rPr>
                <w:rFonts w:ascii="Times New Roman" w:hAnsiTheme="minorEastAsia" w:eastAsiaTheme="minorEastAsia"/>
                <w:color w:val="auto"/>
              </w:rPr>
              <w:t>；</w:t>
            </w:r>
            <w:r>
              <w:rPr>
                <w:rFonts w:hint="eastAsia" w:ascii="Times New Roman" w:hAnsiTheme="minorEastAsia" w:eastAsiaTheme="minorEastAsia"/>
                <w:color w:val="auto"/>
              </w:rPr>
              <w:t>大</w:t>
            </w:r>
            <w:r>
              <w:rPr>
                <w:rFonts w:ascii="Times New Roman" w:hAnsiTheme="minorEastAsia" w:eastAsiaTheme="minorEastAsia"/>
                <w:color w:val="auto"/>
              </w:rPr>
              <w:t>型餐饮单位净化设备的油烟去除效率不应低于</w:t>
            </w:r>
            <w:r>
              <w:rPr>
                <w:rFonts w:ascii="Times New Roman" w:hAnsi="Times New Roman" w:eastAsiaTheme="minorEastAsia"/>
                <w:color w:val="auto"/>
              </w:rPr>
              <w:t>90%</w:t>
            </w:r>
            <w:r>
              <w:rPr>
                <w:rFonts w:ascii="Times New Roman" w:hAnsiTheme="minorEastAsia" w:eastAsiaTheme="minorEastAsia"/>
                <w:color w:val="auto"/>
              </w:rPr>
              <w:t>，本项目取</w:t>
            </w:r>
            <w:r>
              <w:rPr>
                <w:rFonts w:ascii="Times New Roman" w:hAnsi="Times New Roman" w:eastAsiaTheme="minorEastAsia"/>
                <w:color w:val="auto"/>
              </w:rPr>
              <w:t>9</w:t>
            </w:r>
            <w:r>
              <w:rPr>
                <w:rFonts w:hint="eastAsia" w:ascii="Times New Roman" w:hAnsi="Times New Roman" w:eastAsiaTheme="minorEastAsia"/>
                <w:color w:val="auto"/>
              </w:rPr>
              <w:t>0</w:t>
            </w:r>
            <w:r>
              <w:rPr>
                <w:rFonts w:ascii="Times New Roman" w:hAnsi="Times New Roman" w:eastAsiaTheme="minorEastAsia"/>
                <w:color w:val="auto"/>
              </w:rPr>
              <w:t>%</w:t>
            </w:r>
            <w:r>
              <w:rPr>
                <w:rFonts w:ascii="Times New Roman" w:hAnsiTheme="minorEastAsia" w:eastAsiaTheme="minorEastAsia"/>
                <w:color w:val="auto"/>
              </w:rPr>
              <w:t>；非甲烷总烃去除效率不应低于</w:t>
            </w:r>
            <w:r>
              <w:rPr>
                <w:rFonts w:ascii="Times New Roman" w:hAnsi="Times New Roman" w:eastAsiaTheme="minorEastAsia"/>
                <w:color w:val="auto"/>
              </w:rPr>
              <w:t>75%</w:t>
            </w:r>
            <w:r>
              <w:rPr>
                <w:rFonts w:ascii="Times New Roman" w:hAnsiTheme="minorEastAsia" w:eastAsiaTheme="minorEastAsia"/>
                <w:color w:val="auto"/>
              </w:rPr>
              <w:t>，本项目取</w:t>
            </w:r>
            <w:r>
              <w:rPr>
                <w:rFonts w:ascii="Times New Roman" w:hAnsi="Times New Roman" w:eastAsiaTheme="minorEastAsia"/>
                <w:color w:val="auto"/>
              </w:rPr>
              <w:t>75%</w:t>
            </w:r>
            <w:r>
              <w:rPr>
                <w:rFonts w:ascii="Times New Roman" w:hAnsiTheme="minorEastAsia" w:eastAsiaTheme="minorEastAsia"/>
                <w:color w:val="auto"/>
              </w:rPr>
              <w:t>。</w:t>
            </w:r>
          </w:p>
          <w:p w14:paraId="42F64562">
            <w:pPr>
              <w:spacing w:line="480" w:lineRule="exact"/>
              <w:ind w:firstLine="480" w:firstLineChars="200"/>
              <w:rPr>
                <w:rFonts w:eastAsiaTheme="minorEastAsia"/>
                <w:sz w:val="24"/>
              </w:rPr>
            </w:pPr>
            <w:r>
              <w:rPr>
                <w:rFonts w:hAnsiTheme="minorEastAsia" w:eastAsiaTheme="minorEastAsia"/>
                <w:kern w:val="0"/>
                <w:sz w:val="24"/>
              </w:rPr>
              <w:t>项目就餐人员</w:t>
            </w:r>
            <w:r>
              <w:rPr>
                <w:rFonts w:eastAsiaTheme="minorEastAsia"/>
                <w:kern w:val="0"/>
                <w:sz w:val="24"/>
              </w:rPr>
              <w:t>1</w:t>
            </w:r>
            <w:r>
              <w:rPr>
                <w:rFonts w:hint="eastAsia" w:eastAsiaTheme="minorEastAsia"/>
                <w:kern w:val="0"/>
                <w:sz w:val="24"/>
              </w:rPr>
              <w:t>0</w:t>
            </w:r>
            <w:r>
              <w:rPr>
                <w:rFonts w:eastAsiaTheme="minorEastAsia"/>
                <w:kern w:val="0"/>
                <w:sz w:val="24"/>
              </w:rPr>
              <w:t>00</w:t>
            </w:r>
            <w:r>
              <w:rPr>
                <w:rFonts w:hAnsiTheme="minorEastAsia" w:eastAsiaTheme="minorEastAsia"/>
                <w:kern w:val="0"/>
                <w:sz w:val="24"/>
              </w:rPr>
              <w:t>人，年工作</w:t>
            </w:r>
            <w:r>
              <w:rPr>
                <w:rFonts w:hint="eastAsia" w:eastAsiaTheme="minorEastAsia"/>
                <w:kern w:val="0"/>
                <w:sz w:val="24"/>
              </w:rPr>
              <w:t>250</w:t>
            </w:r>
            <w:r>
              <w:rPr>
                <w:rFonts w:hAnsiTheme="minorEastAsia" w:eastAsiaTheme="minorEastAsia"/>
                <w:kern w:val="0"/>
                <w:sz w:val="24"/>
              </w:rPr>
              <w:t>天，</w:t>
            </w:r>
            <w:r>
              <w:rPr>
                <w:rFonts w:hAnsiTheme="minorEastAsia" w:eastAsiaTheme="minorEastAsia"/>
                <w:sz w:val="24"/>
              </w:rPr>
              <w:t>根据类比调查，食堂油烟产生量占总耗油量的</w:t>
            </w:r>
            <w:r>
              <w:rPr>
                <w:rFonts w:eastAsiaTheme="minorEastAsia"/>
                <w:sz w:val="24"/>
              </w:rPr>
              <w:t>2~4%</w:t>
            </w:r>
            <w:r>
              <w:rPr>
                <w:rFonts w:hAnsiTheme="minorEastAsia" w:eastAsiaTheme="minorEastAsia"/>
                <w:sz w:val="24"/>
              </w:rPr>
              <w:t>，本评价按</w:t>
            </w:r>
            <w:r>
              <w:rPr>
                <w:rFonts w:eastAsiaTheme="minorEastAsia"/>
                <w:sz w:val="24"/>
              </w:rPr>
              <w:t>3%</w:t>
            </w:r>
            <w:r>
              <w:rPr>
                <w:rFonts w:hAnsiTheme="minorEastAsia" w:eastAsiaTheme="minorEastAsia"/>
                <w:sz w:val="24"/>
              </w:rPr>
              <w:t>考虑，厨房食用油用量平均按</w:t>
            </w:r>
            <w:r>
              <w:rPr>
                <w:rFonts w:eastAsiaTheme="minorEastAsia"/>
                <w:sz w:val="24"/>
              </w:rPr>
              <w:t>0.03kg/</w:t>
            </w:r>
            <w:r>
              <w:rPr>
                <w:rFonts w:hAnsiTheme="minorEastAsia" w:eastAsiaTheme="minorEastAsia"/>
                <w:sz w:val="24"/>
              </w:rPr>
              <w:t>人﹒天计，则油烟产生量为</w:t>
            </w:r>
            <w:r>
              <w:rPr>
                <w:rFonts w:eastAsiaTheme="minorEastAsia"/>
                <w:sz w:val="24"/>
              </w:rPr>
              <w:t>0.</w:t>
            </w:r>
            <w:r>
              <w:rPr>
                <w:rFonts w:hint="eastAsia" w:eastAsiaTheme="minorEastAsia"/>
                <w:sz w:val="24"/>
              </w:rPr>
              <w:t>225</w:t>
            </w:r>
            <w:r>
              <w:rPr>
                <w:rFonts w:eastAsiaTheme="minorEastAsia"/>
                <w:sz w:val="24"/>
              </w:rPr>
              <w:t>t/a</w:t>
            </w:r>
            <w:r>
              <w:rPr>
                <w:rFonts w:hAnsiTheme="minorEastAsia" w:eastAsiaTheme="minorEastAsia"/>
                <w:sz w:val="24"/>
              </w:rPr>
              <w:t>。按每天烹饪</w:t>
            </w:r>
            <w:r>
              <w:rPr>
                <w:rFonts w:eastAsiaTheme="minorEastAsia"/>
                <w:sz w:val="24"/>
              </w:rPr>
              <w:t>6</w:t>
            </w:r>
            <w:r>
              <w:rPr>
                <w:rFonts w:hint="eastAsia" w:hAnsiTheme="minorEastAsia" w:eastAsiaTheme="minorEastAsia"/>
                <w:sz w:val="24"/>
              </w:rPr>
              <w:t>h</w:t>
            </w:r>
            <w:r>
              <w:rPr>
                <w:rFonts w:hAnsiTheme="minorEastAsia" w:eastAsiaTheme="minorEastAsia"/>
                <w:sz w:val="24"/>
              </w:rPr>
              <w:t>算，油烟净化器对油烟的处理效率为</w:t>
            </w:r>
            <w:r>
              <w:rPr>
                <w:rFonts w:eastAsiaTheme="minorEastAsia"/>
                <w:sz w:val="24"/>
              </w:rPr>
              <w:t>9</w:t>
            </w:r>
            <w:r>
              <w:rPr>
                <w:rFonts w:hint="eastAsia" w:eastAsiaTheme="minorEastAsia"/>
                <w:sz w:val="24"/>
              </w:rPr>
              <w:t>0</w:t>
            </w:r>
            <w:r>
              <w:rPr>
                <w:rFonts w:eastAsiaTheme="minorEastAsia"/>
                <w:sz w:val="24"/>
              </w:rPr>
              <w:t>%</w:t>
            </w:r>
            <w:r>
              <w:rPr>
                <w:rFonts w:hAnsiTheme="minorEastAsia" w:eastAsiaTheme="minorEastAsia"/>
                <w:sz w:val="24"/>
              </w:rPr>
              <w:t>，则油烟排放量为</w:t>
            </w:r>
            <w:r>
              <w:rPr>
                <w:rFonts w:eastAsiaTheme="minorEastAsia"/>
                <w:sz w:val="24"/>
              </w:rPr>
              <w:t>0.</w:t>
            </w:r>
            <w:r>
              <w:rPr>
                <w:rFonts w:hint="eastAsia" w:eastAsiaTheme="minorEastAsia"/>
                <w:sz w:val="24"/>
              </w:rPr>
              <w:t>023</w:t>
            </w:r>
            <w:r>
              <w:rPr>
                <w:rFonts w:eastAsiaTheme="minorEastAsia"/>
                <w:sz w:val="24"/>
              </w:rPr>
              <w:t>t/a</w:t>
            </w:r>
            <w:r>
              <w:rPr>
                <w:rFonts w:hAnsiTheme="minorEastAsia" w:eastAsiaTheme="minorEastAsia"/>
                <w:sz w:val="24"/>
              </w:rPr>
              <w:t>，排放速率为</w:t>
            </w:r>
            <w:r>
              <w:rPr>
                <w:rFonts w:hint="eastAsia" w:eastAsiaTheme="minorEastAsia"/>
                <w:sz w:val="24"/>
              </w:rPr>
              <w:t>0.015</w:t>
            </w:r>
            <w:r>
              <w:rPr>
                <w:rFonts w:eastAsiaTheme="minorEastAsia"/>
                <w:sz w:val="24"/>
              </w:rPr>
              <w:t>kg/h</w:t>
            </w:r>
            <w:r>
              <w:rPr>
                <w:rFonts w:hAnsiTheme="minorEastAsia" w:eastAsiaTheme="minorEastAsia"/>
                <w:sz w:val="24"/>
              </w:rPr>
              <w:t>，排放浓度为</w:t>
            </w:r>
            <w:r>
              <w:rPr>
                <w:rFonts w:hint="eastAsia" w:eastAsiaTheme="minorEastAsia"/>
                <w:sz w:val="24"/>
              </w:rPr>
              <w:t>0.85</w:t>
            </w:r>
            <w:r>
              <w:rPr>
                <w:rFonts w:eastAsiaTheme="minorEastAsia"/>
                <w:sz w:val="24"/>
              </w:rPr>
              <w:t>mg/m</w:t>
            </w:r>
            <w:r>
              <w:rPr>
                <w:rFonts w:eastAsiaTheme="minorEastAsia"/>
                <w:sz w:val="24"/>
                <w:vertAlign w:val="superscript"/>
              </w:rPr>
              <w:t>3</w:t>
            </w:r>
            <w:r>
              <w:rPr>
                <w:rFonts w:hAnsiTheme="minorEastAsia" w:eastAsiaTheme="minorEastAsia"/>
                <w:sz w:val="24"/>
              </w:rPr>
              <w:t>。</w:t>
            </w:r>
          </w:p>
          <w:p w14:paraId="06963A49">
            <w:pPr>
              <w:spacing w:line="480" w:lineRule="exact"/>
              <w:ind w:firstLine="480" w:firstLineChars="200"/>
              <w:rPr>
                <w:sz w:val="24"/>
              </w:rPr>
            </w:pPr>
            <w:r>
              <w:rPr>
                <w:rFonts w:hAnsi="宋体"/>
                <w:sz w:val="24"/>
              </w:rPr>
              <w:t>根据《环境监控与预警》2018年第1期郭浩等人对《家庭烹饪油烟污染物排放特征研究》，烹炒类菜品非甲烷总烃产生浓度为13.46mg/m</w:t>
            </w:r>
            <w:r>
              <w:rPr>
                <w:rFonts w:hAnsi="宋体"/>
                <w:sz w:val="24"/>
                <w:vertAlign w:val="superscript"/>
              </w:rPr>
              <w:t>3</w:t>
            </w:r>
            <w:r>
              <w:rPr>
                <w:rFonts w:hint="eastAsia" w:hAnsi="宋体"/>
                <w:sz w:val="24"/>
              </w:rPr>
              <w:t>，</w:t>
            </w:r>
            <w:r>
              <w:rPr>
                <w:rFonts w:hAnsi="宋体"/>
                <w:sz w:val="24"/>
              </w:rPr>
              <w:t>保守考虑本项目食堂油烟中非甲烷总烃产生浓度取值15mg/m</w:t>
            </w:r>
            <w:r>
              <w:rPr>
                <w:rFonts w:hAnsi="宋体"/>
                <w:sz w:val="24"/>
                <w:vertAlign w:val="superscript"/>
              </w:rPr>
              <w:t>3</w:t>
            </w:r>
            <w:r>
              <w:rPr>
                <w:rFonts w:hAnsi="宋体"/>
                <w:sz w:val="24"/>
              </w:rPr>
              <w:t>，则产生量为 0.</w:t>
            </w:r>
            <w:r>
              <w:rPr>
                <w:rFonts w:hint="eastAsia" w:hAnsi="宋体"/>
                <w:sz w:val="24"/>
              </w:rPr>
              <w:t>405t</w:t>
            </w:r>
            <w:r>
              <w:rPr>
                <w:rFonts w:hAnsi="宋体"/>
                <w:sz w:val="24"/>
              </w:rPr>
              <w:t>/a。</w:t>
            </w:r>
            <w:r>
              <w:rPr>
                <w:rFonts w:hint="eastAsia"/>
                <w:sz w:val="24"/>
              </w:rPr>
              <w:t>项目食堂设置油烟净化器（非甲烷总烃去除率约75%）处理，则非甲烷总烃</w:t>
            </w:r>
            <w:r>
              <w:rPr>
                <w:sz w:val="24"/>
              </w:rPr>
              <w:t>排放量为</w:t>
            </w:r>
            <w:r>
              <w:rPr>
                <w:rFonts w:hint="eastAsia"/>
                <w:sz w:val="24"/>
              </w:rPr>
              <w:t>0.101</w:t>
            </w:r>
            <w:r>
              <w:rPr>
                <w:sz w:val="24"/>
              </w:rPr>
              <w:t>t/a</w:t>
            </w:r>
            <w:r>
              <w:rPr>
                <w:rFonts w:hint="eastAsia"/>
                <w:sz w:val="24"/>
              </w:rPr>
              <w:t>（0.067</w:t>
            </w:r>
            <w:r>
              <w:rPr>
                <w:sz w:val="24"/>
              </w:rPr>
              <w:t>kg/h</w:t>
            </w:r>
            <w:r>
              <w:rPr>
                <w:rFonts w:hint="eastAsia"/>
                <w:sz w:val="24"/>
              </w:rPr>
              <w:t>）</w:t>
            </w:r>
            <w:r>
              <w:rPr>
                <w:sz w:val="24"/>
              </w:rPr>
              <w:t>，排放浓度约</w:t>
            </w:r>
            <w:r>
              <w:rPr>
                <w:rFonts w:hint="eastAsia"/>
                <w:sz w:val="24"/>
              </w:rPr>
              <w:t>3.74</w:t>
            </w:r>
            <w:r>
              <w:rPr>
                <w:sz w:val="24"/>
              </w:rPr>
              <w:t>mg/m</w:t>
            </w:r>
            <w:r>
              <w:rPr>
                <w:sz w:val="24"/>
                <w:vertAlign w:val="superscript"/>
              </w:rPr>
              <w:t>3</w:t>
            </w:r>
            <w:r>
              <w:rPr>
                <w:rFonts w:hint="eastAsia"/>
                <w:sz w:val="24"/>
              </w:rPr>
              <w:t>。</w:t>
            </w:r>
            <w:r>
              <w:rPr>
                <w:rFonts w:hAnsi="宋体"/>
                <w:sz w:val="24"/>
              </w:rPr>
              <w:t>通过专用烟道引至</w:t>
            </w:r>
            <w:r>
              <w:rPr>
                <w:rFonts w:hint="eastAsia" w:hAnsi="宋体"/>
                <w:sz w:val="24"/>
              </w:rPr>
              <w:t>8#食堂</w:t>
            </w:r>
            <w:r>
              <w:rPr>
                <w:rFonts w:hAnsi="宋体"/>
                <w:sz w:val="24"/>
              </w:rPr>
              <w:t>楼顶排放。</w:t>
            </w:r>
          </w:p>
          <w:p w14:paraId="6BF9DD2D">
            <w:pPr>
              <w:adjustRightInd w:val="0"/>
              <w:snapToGrid w:val="0"/>
              <w:spacing w:line="480" w:lineRule="exact"/>
              <w:ind w:firstLine="482" w:firstLineChars="200"/>
              <w:rPr>
                <w:b/>
                <w:sz w:val="24"/>
              </w:rPr>
            </w:pPr>
            <w:r>
              <w:rPr>
                <w:rFonts w:hint="eastAsia"/>
                <w:b/>
                <w:sz w:val="24"/>
              </w:rPr>
              <w:t>（6）生化池臭气</w:t>
            </w:r>
          </w:p>
          <w:p w14:paraId="1C15CE10">
            <w:pPr>
              <w:adjustRightInd w:val="0"/>
              <w:snapToGrid w:val="0"/>
              <w:spacing w:line="480" w:lineRule="exact"/>
              <w:ind w:firstLine="480" w:firstLineChars="200"/>
              <w:rPr>
                <w:sz w:val="24"/>
              </w:rPr>
            </w:pPr>
            <w:r>
              <w:rPr>
                <w:rFonts w:hint="eastAsia"/>
                <w:sz w:val="24"/>
              </w:rPr>
              <w:t>拟建项目设置1个生化池，生化池臭气通过设置专用管道引至地面绿化带排放，对周边环境影响较小。</w:t>
            </w:r>
          </w:p>
          <w:p w14:paraId="2FA5E6B6">
            <w:pPr>
              <w:adjustRightInd w:val="0"/>
              <w:snapToGrid w:val="0"/>
              <w:spacing w:line="480" w:lineRule="exact"/>
              <w:ind w:firstLine="442" w:firstLineChars="200"/>
              <w:rPr>
                <w:b/>
                <w:spacing w:val="-10"/>
                <w:sz w:val="24"/>
              </w:rPr>
            </w:pPr>
            <w:r>
              <w:rPr>
                <w:b/>
                <w:spacing w:val="-10"/>
                <w:sz w:val="24"/>
              </w:rPr>
              <w:t>4.2.2</w:t>
            </w:r>
            <w:r>
              <w:rPr>
                <w:rFonts w:hint="eastAsia"/>
                <w:b/>
                <w:spacing w:val="-10"/>
                <w:sz w:val="24"/>
              </w:rPr>
              <w:t>.3 排放口基本情况</w:t>
            </w:r>
          </w:p>
          <w:p w14:paraId="4C192113">
            <w:pPr>
              <w:adjustRightInd w:val="0"/>
              <w:snapToGrid w:val="0"/>
              <w:spacing w:line="480" w:lineRule="exact"/>
              <w:ind w:firstLine="480" w:firstLineChars="200"/>
              <w:rPr>
                <w:sz w:val="24"/>
              </w:rPr>
            </w:pPr>
            <w:r>
              <w:rPr>
                <w:rFonts w:hint="eastAsia"/>
                <w:sz w:val="24"/>
              </w:rPr>
              <w:t>拟建项目废气排放口基本情况见表4.2-10。</w:t>
            </w:r>
          </w:p>
          <w:p w14:paraId="42817436">
            <w:pPr>
              <w:ind w:firstLine="482"/>
              <w:jc w:val="center"/>
              <w:rPr>
                <w:b/>
                <w:szCs w:val="21"/>
              </w:rPr>
            </w:pPr>
            <w:r>
              <w:rPr>
                <w:rFonts w:hint="eastAsia"/>
                <w:b/>
                <w:szCs w:val="21"/>
              </w:rPr>
              <w:t>表4.2-10</w:t>
            </w:r>
            <w:r>
              <w:rPr>
                <w:b/>
                <w:szCs w:val="21"/>
              </w:rPr>
              <w:t xml:space="preserve"> </w:t>
            </w:r>
            <w:r>
              <w:rPr>
                <w:rFonts w:hint="eastAsia"/>
                <w:b/>
                <w:szCs w:val="21"/>
              </w:rPr>
              <w:t>拟建项目废气排放口基本情况表</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7"/>
              <w:gridCol w:w="724"/>
              <w:gridCol w:w="947"/>
              <w:gridCol w:w="881"/>
              <w:gridCol w:w="823"/>
              <w:gridCol w:w="521"/>
              <w:gridCol w:w="596"/>
              <w:gridCol w:w="742"/>
              <w:gridCol w:w="729"/>
              <w:gridCol w:w="679"/>
              <w:gridCol w:w="528"/>
              <w:gridCol w:w="927"/>
            </w:tblGrid>
            <w:tr w14:paraId="4094D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338" w:type="pct"/>
                  <w:vMerge w:val="restart"/>
                  <w:vAlign w:val="center"/>
                </w:tcPr>
                <w:p w14:paraId="4B99198A">
                  <w:pPr>
                    <w:snapToGrid w:val="0"/>
                    <w:spacing w:line="240" w:lineRule="exact"/>
                    <w:jc w:val="center"/>
                    <w:rPr>
                      <w:szCs w:val="21"/>
                    </w:rPr>
                  </w:pPr>
                  <w:r>
                    <w:rPr>
                      <w:szCs w:val="21"/>
                    </w:rPr>
                    <w:t>编号</w:t>
                  </w:r>
                </w:p>
              </w:tc>
              <w:tc>
                <w:tcPr>
                  <w:tcW w:w="417" w:type="pct"/>
                  <w:vMerge w:val="restart"/>
                  <w:vAlign w:val="center"/>
                </w:tcPr>
                <w:p w14:paraId="13441FEC">
                  <w:pPr>
                    <w:snapToGrid w:val="0"/>
                    <w:spacing w:line="240" w:lineRule="exact"/>
                    <w:jc w:val="center"/>
                    <w:rPr>
                      <w:szCs w:val="21"/>
                    </w:rPr>
                  </w:pPr>
                  <w:r>
                    <w:rPr>
                      <w:szCs w:val="21"/>
                    </w:rPr>
                    <w:t>名称</w:t>
                  </w:r>
                </w:p>
              </w:tc>
              <w:tc>
                <w:tcPr>
                  <w:tcW w:w="1052" w:type="pct"/>
                  <w:gridSpan w:val="2"/>
                  <w:vAlign w:val="center"/>
                </w:tcPr>
                <w:p w14:paraId="66D0C132">
                  <w:pPr>
                    <w:snapToGrid w:val="0"/>
                    <w:spacing w:line="240" w:lineRule="exact"/>
                    <w:jc w:val="center"/>
                    <w:rPr>
                      <w:szCs w:val="21"/>
                    </w:rPr>
                  </w:pPr>
                  <w:r>
                    <w:rPr>
                      <w:szCs w:val="21"/>
                    </w:rPr>
                    <w:t>排气筒底部中心坐标</w:t>
                  </w:r>
                  <w:r>
                    <w:rPr>
                      <w:rFonts w:hint="eastAsia"/>
                      <w:szCs w:val="21"/>
                    </w:rPr>
                    <w:t>/m</w:t>
                  </w:r>
                </w:p>
              </w:tc>
              <w:tc>
                <w:tcPr>
                  <w:tcW w:w="474" w:type="pct"/>
                  <w:vMerge w:val="restart"/>
                  <w:vAlign w:val="center"/>
                </w:tcPr>
                <w:p w14:paraId="02B8E835">
                  <w:pPr>
                    <w:snapToGrid w:val="0"/>
                    <w:spacing w:line="240" w:lineRule="exact"/>
                    <w:jc w:val="center"/>
                    <w:rPr>
                      <w:szCs w:val="21"/>
                    </w:rPr>
                  </w:pPr>
                  <w:r>
                    <w:rPr>
                      <w:szCs w:val="21"/>
                    </w:rPr>
                    <w:t>排气筒底部海拔高度/m</w:t>
                  </w:r>
                </w:p>
              </w:tc>
              <w:tc>
                <w:tcPr>
                  <w:tcW w:w="300" w:type="pct"/>
                  <w:vMerge w:val="restart"/>
                  <w:vAlign w:val="center"/>
                </w:tcPr>
                <w:p w14:paraId="17CE4D04">
                  <w:pPr>
                    <w:snapToGrid w:val="0"/>
                    <w:spacing w:line="240" w:lineRule="exact"/>
                    <w:jc w:val="center"/>
                    <w:rPr>
                      <w:szCs w:val="21"/>
                    </w:rPr>
                  </w:pPr>
                  <w:r>
                    <w:rPr>
                      <w:szCs w:val="21"/>
                    </w:rPr>
                    <w:t>排气筒高度/m</w:t>
                  </w:r>
                </w:p>
              </w:tc>
              <w:tc>
                <w:tcPr>
                  <w:tcW w:w="343" w:type="pct"/>
                  <w:vMerge w:val="restart"/>
                  <w:vAlign w:val="center"/>
                </w:tcPr>
                <w:p w14:paraId="012A1B9B">
                  <w:pPr>
                    <w:snapToGrid w:val="0"/>
                    <w:spacing w:line="240" w:lineRule="exact"/>
                    <w:jc w:val="center"/>
                    <w:rPr>
                      <w:szCs w:val="21"/>
                    </w:rPr>
                  </w:pPr>
                  <w:r>
                    <w:rPr>
                      <w:szCs w:val="21"/>
                    </w:rPr>
                    <w:t>排气筒内径/m</w:t>
                  </w:r>
                </w:p>
              </w:tc>
              <w:tc>
                <w:tcPr>
                  <w:tcW w:w="427" w:type="pct"/>
                  <w:vMerge w:val="restart"/>
                  <w:vAlign w:val="center"/>
                </w:tcPr>
                <w:p w14:paraId="2A25C9F2">
                  <w:pPr>
                    <w:snapToGrid w:val="0"/>
                    <w:spacing w:line="240" w:lineRule="exact"/>
                    <w:jc w:val="center"/>
                    <w:rPr>
                      <w:szCs w:val="21"/>
                    </w:rPr>
                  </w:pPr>
                  <w:r>
                    <w:rPr>
                      <w:szCs w:val="21"/>
                    </w:rPr>
                    <w:t>烟气速率m/s</w:t>
                  </w:r>
                </w:p>
              </w:tc>
              <w:tc>
                <w:tcPr>
                  <w:tcW w:w="420" w:type="pct"/>
                  <w:vMerge w:val="restart"/>
                  <w:vAlign w:val="center"/>
                </w:tcPr>
                <w:p w14:paraId="203A99AD">
                  <w:pPr>
                    <w:snapToGrid w:val="0"/>
                    <w:spacing w:line="240" w:lineRule="exact"/>
                    <w:jc w:val="center"/>
                    <w:rPr>
                      <w:szCs w:val="21"/>
                    </w:rPr>
                  </w:pPr>
                  <w:r>
                    <w:rPr>
                      <w:szCs w:val="21"/>
                    </w:rPr>
                    <w:t>烟气出口温度</w:t>
                  </w:r>
                  <w:r>
                    <w:rPr>
                      <w:rFonts w:hint="eastAsia" w:ascii="宋体" w:hAnsi="宋体" w:cs="宋体"/>
                      <w:szCs w:val="21"/>
                    </w:rPr>
                    <w:t>℃</w:t>
                  </w:r>
                </w:p>
              </w:tc>
              <w:tc>
                <w:tcPr>
                  <w:tcW w:w="391" w:type="pct"/>
                  <w:vMerge w:val="restart"/>
                  <w:vAlign w:val="center"/>
                </w:tcPr>
                <w:p w14:paraId="27226C06">
                  <w:pPr>
                    <w:snapToGrid w:val="0"/>
                    <w:spacing w:line="240" w:lineRule="exact"/>
                    <w:jc w:val="center"/>
                    <w:rPr>
                      <w:szCs w:val="21"/>
                    </w:rPr>
                  </w:pPr>
                  <w:r>
                    <w:rPr>
                      <w:szCs w:val="21"/>
                    </w:rPr>
                    <w:t>年排放小时数/h</w:t>
                  </w:r>
                </w:p>
              </w:tc>
              <w:tc>
                <w:tcPr>
                  <w:tcW w:w="304" w:type="pct"/>
                  <w:vMerge w:val="restart"/>
                  <w:vAlign w:val="center"/>
                </w:tcPr>
                <w:p w14:paraId="66A031A1">
                  <w:pPr>
                    <w:snapToGrid w:val="0"/>
                    <w:spacing w:line="240" w:lineRule="exact"/>
                    <w:jc w:val="center"/>
                    <w:rPr>
                      <w:szCs w:val="21"/>
                    </w:rPr>
                  </w:pPr>
                  <w:r>
                    <w:rPr>
                      <w:szCs w:val="21"/>
                    </w:rPr>
                    <w:t>排放工况</w:t>
                  </w:r>
                </w:p>
              </w:tc>
              <w:tc>
                <w:tcPr>
                  <w:tcW w:w="534" w:type="pct"/>
                  <w:vMerge w:val="restart"/>
                  <w:vAlign w:val="center"/>
                </w:tcPr>
                <w:p w14:paraId="547C9974">
                  <w:pPr>
                    <w:snapToGrid w:val="0"/>
                    <w:spacing w:line="240" w:lineRule="exact"/>
                    <w:jc w:val="center"/>
                    <w:rPr>
                      <w:szCs w:val="21"/>
                    </w:rPr>
                  </w:pPr>
                  <w:r>
                    <w:rPr>
                      <w:szCs w:val="21"/>
                    </w:rPr>
                    <w:t>污染物排放速率kg/h</w:t>
                  </w:r>
                </w:p>
              </w:tc>
            </w:tr>
            <w:tr w14:paraId="45BA1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38" w:type="pct"/>
                  <w:vMerge w:val="continue"/>
                  <w:vAlign w:val="center"/>
                </w:tcPr>
                <w:p w14:paraId="77FAF636">
                  <w:pPr>
                    <w:widowControl/>
                    <w:spacing w:line="240" w:lineRule="exact"/>
                    <w:jc w:val="center"/>
                    <w:rPr>
                      <w:szCs w:val="21"/>
                    </w:rPr>
                  </w:pPr>
                </w:p>
              </w:tc>
              <w:tc>
                <w:tcPr>
                  <w:tcW w:w="417" w:type="pct"/>
                  <w:vMerge w:val="continue"/>
                  <w:vAlign w:val="center"/>
                </w:tcPr>
                <w:p w14:paraId="7C5DDC58">
                  <w:pPr>
                    <w:widowControl/>
                    <w:spacing w:line="240" w:lineRule="exact"/>
                    <w:jc w:val="center"/>
                    <w:rPr>
                      <w:szCs w:val="21"/>
                    </w:rPr>
                  </w:pPr>
                </w:p>
              </w:tc>
              <w:tc>
                <w:tcPr>
                  <w:tcW w:w="545" w:type="pct"/>
                  <w:vAlign w:val="center"/>
                </w:tcPr>
                <w:p w14:paraId="6B510533">
                  <w:pPr>
                    <w:snapToGrid w:val="0"/>
                    <w:spacing w:line="240" w:lineRule="exact"/>
                    <w:jc w:val="center"/>
                    <w:rPr>
                      <w:szCs w:val="21"/>
                    </w:rPr>
                  </w:pPr>
                  <w:r>
                    <w:rPr>
                      <w:rFonts w:hint="eastAsia"/>
                      <w:szCs w:val="21"/>
                    </w:rPr>
                    <w:t>X</w:t>
                  </w:r>
                </w:p>
              </w:tc>
              <w:tc>
                <w:tcPr>
                  <w:tcW w:w="507" w:type="pct"/>
                  <w:vAlign w:val="center"/>
                </w:tcPr>
                <w:p w14:paraId="6A13E11C">
                  <w:pPr>
                    <w:snapToGrid w:val="0"/>
                    <w:spacing w:line="240" w:lineRule="exact"/>
                    <w:jc w:val="center"/>
                    <w:rPr>
                      <w:szCs w:val="21"/>
                    </w:rPr>
                  </w:pPr>
                  <w:r>
                    <w:rPr>
                      <w:rFonts w:hint="eastAsia"/>
                      <w:szCs w:val="21"/>
                    </w:rPr>
                    <w:t>Y</w:t>
                  </w:r>
                </w:p>
              </w:tc>
              <w:tc>
                <w:tcPr>
                  <w:tcW w:w="474" w:type="pct"/>
                  <w:vMerge w:val="continue"/>
                  <w:vAlign w:val="center"/>
                </w:tcPr>
                <w:p w14:paraId="371BD3C4">
                  <w:pPr>
                    <w:widowControl/>
                    <w:spacing w:line="240" w:lineRule="exact"/>
                    <w:jc w:val="center"/>
                    <w:rPr>
                      <w:szCs w:val="21"/>
                    </w:rPr>
                  </w:pPr>
                </w:p>
              </w:tc>
              <w:tc>
                <w:tcPr>
                  <w:tcW w:w="300" w:type="pct"/>
                  <w:vMerge w:val="continue"/>
                  <w:vAlign w:val="center"/>
                </w:tcPr>
                <w:p w14:paraId="2A1E0308">
                  <w:pPr>
                    <w:widowControl/>
                    <w:spacing w:line="240" w:lineRule="exact"/>
                    <w:jc w:val="center"/>
                    <w:rPr>
                      <w:szCs w:val="21"/>
                    </w:rPr>
                  </w:pPr>
                </w:p>
              </w:tc>
              <w:tc>
                <w:tcPr>
                  <w:tcW w:w="343" w:type="pct"/>
                  <w:vMerge w:val="continue"/>
                  <w:vAlign w:val="center"/>
                </w:tcPr>
                <w:p w14:paraId="30374E9F">
                  <w:pPr>
                    <w:widowControl/>
                    <w:spacing w:line="240" w:lineRule="exact"/>
                    <w:jc w:val="center"/>
                    <w:rPr>
                      <w:szCs w:val="21"/>
                    </w:rPr>
                  </w:pPr>
                </w:p>
              </w:tc>
              <w:tc>
                <w:tcPr>
                  <w:tcW w:w="427" w:type="pct"/>
                  <w:vMerge w:val="continue"/>
                  <w:vAlign w:val="center"/>
                </w:tcPr>
                <w:p w14:paraId="2B8C3DED">
                  <w:pPr>
                    <w:widowControl/>
                    <w:spacing w:line="240" w:lineRule="exact"/>
                    <w:jc w:val="center"/>
                    <w:rPr>
                      <w:szCs w:val="21"/>
                    </w:rPr>
                  </w:pPr>
                </w:p>
              </w:tc>
              <w:tc>
                <w:tcPr>
                  <w:tcW w:w="420" w:type="pct"/>
                  <w:vMerge w:val="continue"/>
                  <w:vAlign w:val="center"/>
                </w:tcPr>
                <w:p w14:paraId="1BD9D983">
                  <w:pPr>
                    <w:widowControl/>
                    <w:spacing w:line="240" w:lineRule="exact"/>
                    <w:jc w:val="center"/>
                    <w:rPr>
                      <w:szCs w:val="21"/>
                    </w:rPr>
                  </w:pPr>
                </w:p>
              </w:tc>
              <w:tc>
                <w:tcPr>
                  <w:tcW w:w="391" w:type="pct"/>
                  <w:vMerge w:val="continue"/>
                  <w:vAlign w:val="center"/>
                </w:tcPr>
                <w:p w14:paraId="2C61F58E">
                  <w:pPr>
                    <w:widowControl/>
                    <w:spacing w:line="240" w:lineRule="exact"/>
                    <w:jc w:val="center"/>
                    <w:rPr>
                      <w:szCs w:val="21"/>
                    </w:rPr>
                  </w:pPr>
                </w:p>
              </w:tc>
              <w:tc>
                <w:tcPr>
                  <w:tcW w:w="304" w:type="pct"/>
                  <w:vMerge w:val="continue"/>
                  <w:vAlign w:val="center"/>
                </w:tcPr>
                <w:p w14:paraId="3B159A38">
                  <w:pPr>
                    <w:widowControl/>
                    <w:spacing w:line="240" w:lineRule="exact"/>
                    <w:jc w:val="center"/>
                    <w:rPr>
                      <w:szCs w:val="21"/>
                    </w:rPr>
                  </w:pPr>
                </w:p>
              </w:tc>
              <w:tc>
                <w:tcPr>
                  <w:tcW w:w="534" w:type="pct"/>
                  <w:vMerge w:val="continue"/>
                  <w:vAlign w:val="center"/>
                </w:tcPr>
                <w:p w14:paraId="3B68ED1D">
                  <w:pPr>
                    <w:widowControl/>
                    <w:spacing w:line="240" w:lineRule="exact"/>
                    <w:jc w:val="center"/>
                    <w:rPr>
                      <w:szCs w:val="21"/>
                    </w:rPr>
                  </w:pPr>
                </w:p>
              </w:tc>
            </w:tr>
            <w:tr w14:paraId="6C828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38" w:type="pct"/>
                  <w:vAlign w:val="center"/>
                </w:tcPr>
                <w:p w14:paraId="2A77B089">
                  <w:pPr>
                    <w:snapToGrid w:val="0"/>
                    <w:spacing w:line="240" w:lineRule="exact"/>
                    <w:jc w:val="center"/>
                    <w:rPr>
                      <w:szCs w:val="21"/>
                    </w:rPr>
                  </w:pPr>
                  <w:r>
                    <w:rPr>
                      <w:rFonts w:hint="eastAsia"/>
                      <w:szCs w:val="21"/>
                    </w:rPr>
                    <w:t>1</w:t>
                  </w:r>
                  <w:r>
                    <w:rPr>
                      <w:szCs w:val="21"/>
                    </w:rPr>
                    <w:t>#排</w:t>
                  </w:r>
                </w:p>
                <w:p w14:paraId="72E5A20D">
                  <w:pPr>
                    <w:snapToGrid w:val="0"/>
                    <w:spacing w:line="240" w:lineRule="exact"/>
                    <w:jc w:val="center"/>
                    <w:rPr>
                      <w:szCs w:val="21"/>
                    </w:rPr>
                  </w:pPr>
                  <w:r>
                    <w:rPr>
                      <w:szCs w:val="21"/>
                    </w:rPr>
                    <w:t>气筒</w:t>
                  </w:r>
                </w:p>
                <w:p w14:paraId="6F8BCA33">
                  <w:pPr>
                    <w:snapToGrid w:val="0"/>
                    <w:spacing w:line="240" w:lineRule="exact"/>
                    <w:jc w:val="center"/>
                    <w:rPr>
                      <w:szCs w:val="21"/>
                    </w:rPr>
                  </w:pPr>
                </w:p>
              </w:tc>
              <w:tc>
                <w:tcPr>
                  <w:tcW w:w="417" w:type="pct"/>
                  <w:vAlign w:val="center"/>
                </w:tcPr>
                <w:p w14:paraId="706F3407">
                  <w:pPr>
                    <w:snapToGrid w:val="0"/>
                    <w:spacing w:line="240" w:lineRule="exact"/>
                    <w:jc w:val="center"/>
                    <w:rPr>
                      <w:szCs w:val="21"/>
                    </w:rPr>
                  </w:pPr>
                  <w:r>
                    <w:rPr>
                      <w:szCs w:val="21"/>
                    </w:rPr>
                    <w:t>非甲烷总烃</w:t>
                  </w:r>
                </w:p>
              </w:tc>
              <w:tc>
                <w:tcPr>
                  <w:tcW w:w="545" w:type="pct"/>
                  <w:vAlign w:val="center"/>
                </w:tcPr>
                <w:p w14:paraId="548E647B">
                  <w:pPr>
                    <w:snapToGrid w:val="0"/>
                    <w:spacing w:line="240" w:lineRule="exact"/>
                    <w:jc w:val="center"/>
                    <w:rPr>
                      <w:szCs w:val="21"/>
                    </w:rPr>
                  </w:pPr>
                  <w:r>
                    <w:rPr>
                      <w:rFonts w:hint="eastAsia"/>
                      <w:szCs w:val="21"/>
                    </w:rPr>
                    <w:t>40</w:t>
                  </w:r>
                </w:p>
              </w:tc>
              <w:tc>
                <w:tcPr>
                  <w:tcW w:w="507" w:type="pct"/>
                  <w:vAlign w:val="center"/>
                </w:tcPr>
                <w:p w14:paraId="56BBC85C">
                  <w:pPr>
                    <w:snapToGrid w:val="0"/>
                    <w:spacing w:line="240" w:lineRule="exact"/>
                    <w:jc w:val="center"/>
                    <w:rPr>
                      <w:szCs w:val="21"/>
                    </w:rPr>
                  </w:pPr>
                  <w:r>
                    <w:rPr>
                      <w:rFonts w:hint="eastAsia"/>
                      <w:szCs w:val="21"/>
                    </w:rPr>
                    <w:t>-66</w:t>
                  </w:r>
                </w:p>
              </w:tc>
              <w:tc>
                <w:tcPr>
                  <w:tcW w:w="474" w:type="pct"/>
                  <w:vAlign w:val="center"/>
                </w:tcPr>
                <w:p w14:paraId="2CCA493C">
                  <w:pPr>
                    <w:snapToGrid w:val="0"/>
                    <w:spacing w:line="240" w:lineRule="exact"/>
                    <w:jc w:val="center"/>
                    <w:rPr>
                      <w:szCs w:val="21"/>
                    </w:rPr>
                  </w:pPr>
                  <w:r>
                    <w:rPr>
                      <w:rFonts w:hint="eastAsia"/>
                      <w:szCs w:val="21"/>
                    </w:rPr>
                    <w:t>270.05</w:t>
                  </w:r>
                </w:p>
              </w:tc>
              <w:tc>
                <w:tcPr>
                  <w:tcW w:w="300" w:type="pct"/>
                  <w:vAlign w:val="center"/>
                </w:tcPr>
                <w:p w14:paraId="3522B75F">
                  <w:pPr>
                    <w:snapToGrid w:val="0"/>
                    <w:spacing w:line="240" w:lineRule="exact"/>
                    <w:jc w:val="center"/>
                    <w:rPr>
                      <w:szCs w:val="21"/>
                    </w:rPr>
                  </w:pPr>
                  <w:r>
                    <w:rPr>
                      <w:szCs w:val="21"/>
                    </w:rPr>
                    <w:t>15</w:t>
                  </w:r>
                </w:p>
              </w:tc>
              <w:tc>
                <w:tcPr>
                  <w:tcW w:w="343" w:type="pct"/>
                  <w:vAlign w:val="center"/>
                </w:tcPr>
                <w:p w14:paraId="24320249">
                  <w:pPr>
                    <w:snapToGrid w:val="0"/>
                    <w:spacing w:line="240" w:lineRule="exact"/>
                    <w:jc w:val="center"/>
                    <w:rPr>
                      <w:szCs w:val="21"/>
                    </w:rPr>
                  </w:pPr>
                  <w:r>
                    <w:rPr>
                      <w:rFonts w:hint="eastAsia"/>
                      <w:szCs w:val="21"/>
                    </w:rPr>
                    <w:t>1.1</w:t>
                  </w:r>
                </w:p>
              </w:tc>
              <w:tc>
                <w:tcPr>
                  <w:tcW w:w="427" w:type="pct"/>
                  <w:vAlign w:val="center"/>
                </w:tcPr>
                <w:p w14:paraId="0FD4F8D3">
                  <w:pPr>
                    <w:snapToGrid w:val="0"/>
                    <w:spacing w:line="240" w:lineRule="exact"/>
                    <w:jc w:val="center"/>
                    <w:rPr>
                      <w:szCs w:val="21"/>
                    </w:rPr>
                  </w:pPr>
                  <w:r>
                    <w:rPr>
                      <w:rFonts w:hint="eastAsia"/>
                      <w:szCs w:val="21"/>
                    </w:rPr>
                    <w:t>13.62</w:t>
                  </w:r>
                </w:p>
              </w:tc>
              <w:tc>
                <w:tcPr>
                  <w:tcW w:w="420" w:type="pct"/>
                  <w:vAlign w:val="center"/>
                </w:tcPr>
                <w:p w14:paraId="09467D30">
                  <w:pPr>
                    <w:snapToGrid w:val="0"/>
                    <w:spacing w:line="240" w:lineRule="exact"/>
                    <w:jc w:val="center"/>
                    <w:rPr>
                      <w:szCs w:val="21"/>
                    </w:rPr>
                  </w:pPr>
                  <w:r>
                    <w:rPr>
                      <w:szCs w:val="21"/>
                    </w:rPr>
                    <w:t>25</w:t>
                  </w:r>
                </w:p>
              </w:tc>
              <w:tc>
                <w:tcPr>
                  <w:tcW w:w="391" w:type="pct"/>
                  <w:vAlign w:val="center"/>
                </w:tcPr>
                <w:p w14:paraId="700E375B">
                  <w:pPr>
                    <w:snapToGrid w:val="0"/>
                    <w:spacing w:line="240" w:lineRule="exact"/>
                    <w:jc w:val="center"/>
                    <w:rPr>
                      <w:szCs w:val="21"/>
                    </w:rPr>
                  </w:pPr>
                  <w:r>
                    <w:rPr>
                      <w:rFonts w:hint="eastAsia"/>
                      <w:szCs w:val="21"/>
                    </w:rPr>
                    <w:t>4000</w:t>
                  </w:r>
                </w:p>
              </w:tc>
              <w:tc>
                <w:tcPr>
                  <w:tcW w:w="304" w:type="pct"/>
                  <w:vAlign w:val="center"/>
                </w:tcPr>
                <w:p w14:paraId="29A2F66A">
                  <w:pPr>
                    <w:snapToGrid w:val="0"/>
                    <w:spacing w:line="240" w:lineRule="exact"/>
                    <w:jc w:val="center"/>
                    <w:rPr>
                      <w:szCs w:val="21"/>
                    </w:rPr>
                  </w:pPr>
                  <w:r>
                    <w:rPr>
                      <w:szCs w:val="21"/>
                    </w:rPr>
                    <w:t>正常工况</w:t>
                  </w:r>
                </w:p>
              </w:tc>
              <w:tc>
                <w:tcPr>
                  <w:tcW w:w="534" w:type="pct"/>
                  <w:vAlign w:val="center"/>
                </w:tcPr>
                <w:p w14:paraId="0E035CE0">
                  <w:pPr>
                    <w:spacing w:line="240" w:lineRule="exact"/>
                    <w:jc w:val="center"/>
                    <w:rPr>
                      <w:szCs w:val="21"/>
                    </w:rPr>
                  </w:pPr>
                  <w:r>
                    <w:rPr>
                      <w:rFonts w:hint="eastAsia"/>
                      <w:szCs w:val="21"/>
                    </w:rPr>
                    <w:t>0.492</w:t>
                  </w:r>
                </w:p>
              </w:tc>
            </w:tr>
            <w:tr w14:paraId="7884F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000" w:type="pct"/>
                  <w:gridSpan w:val="12"/>
                  <w:vAlign w:val="center"/>
                </w:tcPr>
                <w:p w14:paraId="061C04F4">
                  <w:pPr>
                    <w:adjustRightInd w:val="0"/>
                    <w:snapToGrid w:val="0"/>
                    <w:jc w:val="left"/>
                    <w:rPr>
                      <w:szCs w:val="21"/>
                    </w:rPr>
                  </w:pPr>
                  <w:r>
                    <w:rPr>
                      <w:rFonts w:hint="eastAsia"/>
                      <w:szCs w:val="21"/>
                    </w:rPr>
                    <w:t>注：坐标原点（0,0）为厂区中心点</w:t>
                  </w:r>
                </w:p>
              </w:tc>
            </w:tr>
          </w:tbl>
          <w:p w14:paraId="7A77ED53">
            <w:pPr>
              <w:adjustRightInd w:val="0"/>
              <w:snapToGrid w:val="0"/>
              <w:spacing w:line="480" w:lineRule="exact"/>
              <w:ind w:firstLine="442" w:firstLineChars="200"/>
              <w:rPr>
                <w:b/>
                <w:spacing w:val="-10"/>
                <w:sz w:val="24"/>
              </w:rPr>
            </w:pPr>
            <w:r>
              <w:rPr>
                <w:b/>
                <w:spacing w:val="-10"/>
                <w:sz w:val="24"/>
              </w:rPr>
              <w:t>4.2.2</w:t>
            </w:r>
            <w:r>
              <w:rPr>
                <w:rFonts w:hint="eastAsia"/>
                <w:b/>
                <w:spacing w:val="-10"/>
                <w:sz w:val="24"/>
              </w:rPr>
              <w:t>.4 达标情况分析</w:t>
            </w:r>
          </w:p>
          <w:p w14:paraId="7CF73E80">
            <w:pPr>
              <w:adjustRightInd w:val="0"/>
              <w:snapToGrid w:val="0"/>
              <w:spacing w:line="480" w:lineRule="exact"/>
              <w:ind w:firstLine="480" w:firstLineChars="200"/>
              <w:rPr>
                <w:sz w:val="24"/>
              </w:rPr>
            </w:pPr>
            <w:r>
              <w:rPr>
                <w:rFonts w:hint="eastAsia" w:ascii="Calibri" w:hAnsi="Calibri" w:cs="Calibri"/>
                <w:sz w:val="24"/>
              </w:rPr>
              <w:t>①</w:t>
            </w:r>
            <w:r>
              <w:rPr>
                <w:rFonts w:hint="eastAsia"/>
                <w:sz w:val="24"/>
              </w:rPr>
              <w:t>正常工况下污染物排放达标分析</w:t>
            </w:r>
          </w:p>
          <w:p w14:paraId="50EAFC86">
            <w:pPr>
              <w:adjustRightInd w:val="0"/>
              <w:snapToGrid w:val="0"/>
              <w:spacing w:line="480" w:lineRule="exact"/>
              <w:ind w:firstLine="480" w:firstLineChars="200"/>
              <w:rPr>
                <w:sz w:val="24"/>
              </w:rPr>
            </w:pPr>
          </w:p>
          <w:p w14:paraId="7F8785EC">
            <w:pPr>
              <w:adjustRightInd w:val="0"/>
              <w:snapToGrid w:val="0"/>
              <w:spacing w:line="480" w:lineRule="exact"/>
              <w:ind w:firstLine="480" w:firstLineChars="200"/>
              <w:rPr>
                <w:sz w:val="24"/>
              </w:rPr>
            </w:pPr>
          </w:p>
          <w:p w14:paraId="2BFF4168">
            <w:pPr>
              <w:adjustRightInd w:val="0"/>
              <w:snapToGrid w:val="0"/>
              <w:spacing w:line="480" w:lineRule="exact"/>
              <w:ind w:firstLine="480" w:firstLineChars="200"/>
              <w:rPr>
                <w:sz w:val="24"/>
              </w:rPr>
            </w:pPr>
          </w:p>
          <w:p w14:paraId="0D7A1BEB">
            <w:pPr>
              <w:adjustRightInd w:val="0"/>
              <w:snapToGrid w:val="0"/>
              <w:jc w:val="center"/>
              <w:rPr>
                <w:b/>
                <w:szCs w:val="21"/>
              </w:rPr>
            </w:pPr>
            <w:r>
              <w:rPr>
                <w:rFonts w:hAnsi="宋体"/>
                <w:b/>
                <w:szCs w:val="21"/>
              </w:rPr>
              <w:t>表</w:t>
            </w:r>
            <w:r>
              <w:rPr>
                <w:b/>
                <w:szCs w:val="21"/>
              </w:rPr>
              <w:t>4</w:t>
            </w:r>
            <w:r>
              <w:rPr>
                <w:rFonts w:hint="eastAsia"/>
                <w:b/>
                <w:szCs w:val="21"/>
              </w:rPr>
              <w:t>.2-11</w:t>
            </w:r>
            <w:r>
              <w:rPr>
                <w:b/>
                <w:szCs w:val="21"/>
              </w:rPr>
              <w:t xml:space="preserve">  </w:t>
            </w:r>
            <w:r>
              <w:rPr>
                <w:rFonts w:hAnsi="宋体"/>
                <w:b/>
                <w:szCs w:val="21"/>
              </w:rPr>
              <w:t>正常情况下污染物达标情况一览表</w:t>
            </w:r>
          </w:p>
          <w:tbl>
            <w:tblPr>
              <w:tblStyle w:val="24"/>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029"/>
              <w:gridCol w:w="987"/>
              <w:gridCol w:w="899"/>
              <w:gridCol w:w="2124"/>
              <w:gridCol w:w="987"/>
              <w:gridCol w:w="845"/>
              <w:gridCol w:w="703"/>
            </w:tblGrid>
            <w:tr w14:paraId="4A7A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72AA4C61">
                  <w:pPr>
                    <w:adjustRightInd w:val="0"/>
                    <w:snapToGrid w:val="0"/>
                    <w:jc w:val="center"/>
                    <w:rPr>
                      <w:szCs w:val="21"/>
                    </w:rPr>
                  </w:pPr>
                  <w:r>
                    <w:rPr>
                      <w:rFonts w:hAnsi="宋体"/>
                      <w:szCs w:val="21"/>
                    </w:rPr>
                    <w:t>污染源</w:t>
                  </w:r>
                </w:p>
              </w:tc>
              <w:tc>
                <w:tcPr>
                  <w:tcW w:w="1029" w:type="dxa"/>
                  <w:vAlign w:val="center"/>
                </w:tcPr>
                <w:p w14:paraId="724AC755">
                  <w:pPr>
                    <w:adjustRightInd w:val="0"/>
                    <w:snapToGrid w:val="0"/>
                    <w:jc w:val="center"/>
                    <w:rPr>
                      <w:szCs w:val="21"/>
                    </w:rPr>
                  </w:pPr>
                  <w:r>
                    <w:rPr>
                      <w:rFonts w:hAnsi="宋体"/>
                      <w:szCs w:val="21"/>
                    </w:rPr>
                    <w:t>污染物</w:t>
                  </w:r>
                </w:p>
              </w:tc>
              <w:tc>
                <w:tcPr>
                  <w:tcW w:w="987" w:type="dxa"/>
                  <w:vAlign w:val="center"/>
                </w:tcPr>
                <w:p w14:paraId="690C85BF">
                  <w:pPr>
                    <w:adjustRightInd w:val="0"/>
                    <w:snapToGrid w:val="0"/>
                    <w:jc w:val="center"/>
                    <w:rPr>
                      <w:spacing w:val="-10"/>
                      <w:szCs w:val="21"/>
                    </w:rPr>
                  </w:pPr>
                  <w:r>
                    <w:rPr>
                      <w:rFonts w:hAnsi="宋体"/>
                      <w:spacing w:val="-10"/>
                      <w:szCs w:val="21"/>
                    </w:rPr>
                    <w:t>排放浓度</w:t>
                  </w:r>
                  <w:r>
                    <w:rPr>
                      <w:spacing w:val="-10"/>
                      <w:kern w:val="0"/>
                      <w:szCs w:val="21"/>
                    </w:rPr>
                    <w:t>mg/m</w:t>
                  </w:r>
                  <w:r>
                    <w:rPr>
                      <w:spacing w:val="-10"/>
                      <w:kern w:val="0"/>
                      <w:szCs w:val="21"/>
                      <w:vertAlign w:val="superscript"/>
                    </w:rPr>
                    <w:t>3</w:t>
                  </w:r>
                </w:p>
              </w:tc>
              <w:tc>
                <w:tcPr>
                  <w:tcW w:w="899" w:type="dxa"/>
                  <w:vAlign w:val="center"/>
                </w:tcPr>
                <w:p w14:paraId="154DA414">
                  <w:pPr>
                    <w:adjustRightInd w:val="0"/>
                    <w:snapToGrid w:val="0"/>
                    <w:jc w:val="center"/>
                    <w:rPr>
                      <w:spacing w:val="-10"/>
                      <w:szCs w:val="21"/>
                    </w:rPr>
                  </w:pPr>
                  <w:r>
                    <w:rPr>
                      <w:rFonts w:hAnsi="宋体"/>
                      <w:spacing w:val="-10"/>
                      <w:szCs w:val="21"/>
                    </w:rPr>
                    <w:t>排放速率</w:t>
                  </w:r>
                  <w:r>
                    <w:rPr>
                      <w:spacing w:val="-10"/>
                      <w:kern w:val="0"/>
                      <w:szCs w:val="21"/>
                    </w:rPr>
                    <w:t>kg/h</w:t>
                  </w:r>
                </w:p>
              </w:tc>
              <w:tc>
                <w:tcPr>
                  <w:tcW w:w="2124" w:type="dxa"/>
                  <w:vAlign w:val="center"/>
                </w:tcPr>
                <w:p w14:paraId="3F9F4193">
                  <w:pPr>
                    <w:adjustRightInd w:val="0"/>
                    <w:snapToGrid w:val="0"/>
                    <w:jc w:val="center"/>
                    <w:rPr>
                      <w:szCs w:val="21"/>
                    </w:rPr>
                  </w:pPr>
                  <w:r>
                    <w:rPr>
                      <w:rFonts w:hAnsi="宋体"/>
                      <w:szCs w:val="21"/>
                    </w:rPr>
                    <w:t>执行标准</w:t>
                  </w:r>
                </w:p>
              </w:tc>
              <w:tc>
                <w:tcPr>
                  <w:tcW w:w="987" w:type="dxa"/>
                  <w:vAlign w:val="center"/>
                </w:tcPr>
                <w:p w14:paraId="5E7D5DC1">
                  <w:pPr>
                    <w:adjustRightInd w:val="0"/>
                    <w:snapToGrid w:val="0"/>
                    <w:jc w:val="center"/>
                    <w:rPr>
                      <w:spacing w:val="-10"/>
                      <w:szCs w:val="21"/>
                    </w:rPr>
                  </w:pPr>
                  <w:r>
                    <w:rPr>
                      <w:rFonts w:hAnsi="宋体"/>
                      <w:spacing w:val="-10"/>
                      <w:szCs w:val="21"/>
                    </w:rPr>
                    <w:t>浓度限值</w:t>
                  </w:r>
                  <w:r>
                    <w:rPr>
                      <w:spacing w:val="-10"/>
                      <w:kern w:val="0"/>
                      <w:szCs w:val="21"/>
                    </w:rPr>
                    <w:t>mg/m</w:t>
                  </w:r>
                  <w:r>
                    <w:rPr>
                      <w:spacing w:val="-10"/>
                      <w:kern w:val="0"/>
                      <w:szCs w:val="21"/>
                      <w:vertAlign w:val="superscript"/>
                    </w:rPr>
                    <w:t>3</w:t>
                  </w:r>
                </w:p>
              </w:tc>
              <w:tc>
                <w:tcPr>
                  <w:tcW w:w="845" w:type="dxa"/>
                  <w:vAlign w:val="center"/>
                </w:tcPr>
                <w:p w14:paraId="5EEE6551">
                  <w:pPr>
                    <w:adjustRightInd w:val="0"/>
                    <w:snapToGrid w:val="0"/>
                    <w:jc w:val="center"/>
                    <w:rPr>
                      <w:spacing w:val="-10"/>
                      <w:szCs w:val="21"/>
                    </w:rPr>
                  </w:pPr>
                  <w:r>
                    <w:rPr>
                      <w:rFonts w:hAnsi="宋体"/>
                      <w:spacing w:val="-10"/>
                      <w:szCs w:val="21"/>
                    </w:rPr>
                    <w:t>速率限值</w:t>
                  </w:r>
                  <w:r>
                    <w:rPr>
                      <w:spacing w:val="-10"/>
                      <w:kern w:val="0"/>
                      <w:szCs w:val="21"/>
                    </w:rPr>
                    <w:t>kg/h</w:t>
                  </w:r>
                </w:p>
              </w:tc>
              <w:tc>
                <w:tcPr>
                  <w:tcW w:w="703" w:type="dxa"/>
                  <w:vAlign w:val="center"/>
                </w:tcPr>
                <w:p w14:paraId="2569777A">
                  <w:pPr>
                    <w:adjustRightInd w:val="0"/>
                    <w:snapToGrid w:val="0"/>
                    <w:jc w:val="center"/>
                    <w:rPr>
                      <w:szCs w:val="21"/>
                    </w:rPr>
                  </w:pPr>
                  <w:r>
                    <w:rPr>
                      <w:rFonts w:hAnsi="宋体"/>
                      <w:szCs w:val="21"/>
                    </w:rPr>
                    <w:t>达标情况</w:t>
                  </w:r>
                </w:p>
              </w:tc>
            </w:tr>
            <w:tr w14:paraId="7F5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1E7A5E96">
                  <w:pPr>
                    <w:adjustRightInd w:val="0"/>
                    <w:snapToGrid w:val="0"/>
                    <w:jc w:val="center"/>
                    <w:rPr>
                      <w:szCs w:val="21"/>
                    </w:rPr>
                  </w:pPr>
                  <w:r>
                    <w:rPr>
                      <w:szCs w:val="21"/>
                    </w:rPr>
                    <w:t>1#</w:t>
                  </w:r>
                  <w:r>
                    <w:rPr>
                      <w:rFonts w:hAnsi="宋体"/>
                      <w:szCs w:val="21"/>
                    </w:rPr>
                    <w:t>排气筒</w:t>
                  </w:r>
                </w:p>
              </w:tc>
              <w:tc>
                <w:tcPr>
                  <w:tcW w:w="1029" w:type="dxa"/>
                  <w:vAlign w:val="center"/>
                </w:tcPr>
                <w:p w14:paraId="6E8E5E01">
                  <w:pPr>
                    <w:adjustRightInd w:val="0"/>
                    <w:snapToGrid w:val="0"/>
                    <w:jc w:val="center"/>
                    <w:rPr>
                      <w:szCs w:val="21"/>
                    </w:rPr>
                  </w:pPr>
                  <w:r>
                    <w:rPr>
                      <w:rFonts w:hint="eastAsia" w:hAnsi="宋体"/>
                      <w:szCs w:val="21"/>
                    </w:rPr>
                    <w:t>非甲烷总烃</w:t>
                  </w:r>
                </w:p>
              </w:tc>
              <w:tc>
                <w:tcPr>
                  <w:tcW w:w="987" w:type="dxa"/>
                  <w:vAlign w:val="center"/>
                </w:tcPr>
                <w:p w14:paraId="0226F195">
                  <w:pPr>
                    <w:adjustRightInd w:val="0"/>
                    <w:snapToGrid w:val="0"/>
                    <w:jc w:val="center"/>
                    <w:rPr>
                      <w:szCs w:val="21"/>
                    </w:rPr>
                  </w:pPr>
                  <w:r>
                    <w:rPr>
                      <w:rFonts w:hint="eastAsia"/>
                      <w:szCs w:val="21"/>
                    </w:rPr>
                    <w:t>10.5</w:t>
                  </w:r>
                </w:p>
                <w:p w14:paraId="1734042F">
                  <w:pPr>
                    <w:widowControl/>
                    <w:jc w:val="center"/>
                    <w:rPr>
                      <w:szCs w:val="21"/>
                    </w:rPr>
                  </w:pPr>
                  <w:r>
                    <w:rPr>
                      <w:rFonts w:hint="eastAsia"/>
                      <w:szCs w:val="21"/>
                    </w:rPr>
                    <w:t xml:space="preserve">（最大47） </w:t>
                  </w:r>
                </w:p>
              </w:tc>
              <w:tc>
                <w:tcPr>
                  <w:tcW w:w="899" w:type="dxa"/>
                  <w:vAlign w:val="center"/>
                </w:tcPr>
                <w:p w14:paraId="25862474">
                  <w:pPr>
                    <w:adjustRightInd w:val="0"/>
                    <w:snapToGrid w:val="0"/>
                    <w:jc w:val="center"/>
                    <w:rPr>
                      <w:szCs w:val="21"/>
                    </w:rPr>
                  </w:pPr>
                  <w:r>
                    <w:rPr>
                      <w:rFonts w:hint="eastAsia"/>
                      <w:szCs w:val="21"/>
                    </w:rPr>
                    <w:t>0.492</w:t>
                  </w:r>
                </w:p>
                <w:p w14:paraId="344B36F4">
                  <w:pPr>
                    <w:widowControl/>
                    <w:jc w:val="center"/>
                    <w:rPr>
                      <w:szCs w:val="21"/>
                    </w:rPr>
                  </w:pPr>
                  <w:r>
                    <w:rPr>
                      <w:rFonts w:hint="eastAsia"/>
                      <w:szCs w:val="21"/>
                    </w:rPr>
                    <w:t>（最大2.189）</w:t>
                  </w:r>
                </w:p>
              </w:tc>
              <w:tc>
                <w:tcPr>
                  <w:tcW w:w="2124" w:type="dxa"/>
                  <w:vAlign w:val="center"/>
                </w:tcPr>
                <w:p w14:paraId="73075DD6">
                  <w:pPr>
                    <w:adjustRightInd w:val="0"/>
                    <w:snapToGrid w:val="0"/>
                    <w:jc w:val="center"/>
                    <w:rPr>
                      <w:spacing w:val="-12"/>
                      <w:szCs w:val="21"/>
                    </w:rPr>
                  </w:pPr>
                  <w:r>
                    <w:rPr>
                      <w:rFonts w:hint="eastAsia"/>
                      <w:szCs w:val="21"/>
                    </w:rPr>
                    <w:t>《包装印刷业大气污染物排放标准》（DB50/758-2017）</w:t>
                  </w:r>
                </w:p>
              </w:tc>
              <w:tc>
                <w:tcPr>
                  <w:tcW w:w="987" w:type="dxa"/>
                  <w:vAlign w:val="center"/>
                </w:tcPr>
                <w:p w14:paraId="4F8065CD">
                  <w:pPr>
                    <w:adjustRightInd w:val="0"/>
                    <w:snapToGrid w:val="0"/>
                    <w:jc w:val="center"/>
                    <w:rPr>
                      <w:szCs w:val="21"/>
                    </w:rPr>
                  </w:pPr>
                  <w:r>
                    <w:rPr>
                      <w:rFonts w:hint="eastAsia"/>
                      <w:szCs w:val="21"/>
                    </w:rPr>
                    <w:t>80</w:t>
                  </w:r>
                </w:p>
              </w:tc>
              <w:tc>
                <w:tcPr>
                  <w:tcW w:w="845" w:type="dxa"/>
                  <w:vAlign w:val="center"/>
                </w:tcPr>
                <w:p w14:paraId="73A385CA">
                  <w:pPr>
                    <w:adjustRightInd w:val="0"/>
                    <w:snapToGrid w:val="0"/>
                    <w:jc w:val="center"/>
                    <w:rPr>
                      <w:szCs w:val="21"/>
                    </w:rPr>
                  </w:pPr>
                  <w:r>
                    <w:rPr>
                      <w:rFonts w:hint="eastAsia"/>
                      <w:szCs w:val="21"/>
                    </w:rPr>
                    <w:t>5.1</w:t>
                  </w:r>
                </w:p>
              </w:tc>
              <w:tc>
                <w:tcPr>
                  <w:tcW w:w="703" w:type="dxa"/>
                  <w:vAlign w:val="center"/>
                </w:tcPr>
                <w:p w14:paraId="7DB68E92">
                  <w:pPr>
                    <w:adjustRightInd w:val="0"/>
                    <w:snapToGrid w:val="0"/>
                    <w:jc w:val="center"/>
                    <w:rPr>
                      <w:szCs w:val="21"/>
                    </w:rPr>
                  </w:pPr>
                  <w:r>
                    <w:rPr>
                      <w:rFonts w:hAnsi="宋体"/>
                      <w:szCs w:val="21"/>
                    </w:rPr>
                    <w:t>达标</w:t>
                  </w:r>
                </w:p>
              </w:tc>
            </w:tr>
            <w:tr w14:paraId="764E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vAlign w:val="center"/>
                </w:tcPr>
                <w:p w14:paraId="2E0E1E6E">
                  <w:pPr>
                    <w:adjustRightInd w:val="0"/>
                    <w:snapToGrid w:val="0"/>
                    <w:jc w:val="center"/>
                    <w:rPr>
                      <w:szCs w:val="21"/>
                    </w:rPr>
                  </w:pPr>
                  <w:r>
                    <w:rPr>
                      <w:rFonts w:hint="eastAsia"/>
                      <w:szCs w:val="21"/>
                    </w:rPr>
                    <w:t>食堂油烟排气筒</w:t>
                  </w:r>
                </w:p>
              </w:tc>
              <w:tc>
                <w:tcPr>
                  <w:tcW w:w="1029" w:type="dxa"/>
                  <w:vAlign w:val="center"/>
                </w:tcPr>
                <w:p w14:paraId="741DA6EE">
                  <w:pPr>
                    <w:adjustRightInd w:val="0"/>
                    <w:snapToGrid w:val="0"/>
                    <w:jc w:val="center"/>
                    <w:rPr>
                      <w:szCs w:val="21"/>
                    </w:rPr>
                  </w:pPr>
                  <w:r>
                    <w:rPr>
                      <w:rFonts w:hAnsi="宋体"/>
                      <w:szCs w:val="21"/>
                    </w:rPr>
                    <w:t>油烟</w:t>
                  </w:r>
                </w:p>
              </w:tc>
              <w:tc>
                <w:tcPr>
                  <w:tcW w:w="987" w:type="dxa"/>
                  <w:vAlign w:val="center"/>
                </w:tcPr>
                <w:p w14:paraId="619A3FA4">
                  <w:pPr>
                    <w:jc w:val="center"/>
                    <w:rPr>
                      <w:szCs w:val="21"/>
                    </w:rPr>
                  </w:pPr>
                  <w:r>
                    <w:rPr>
                      <w:rFonts w:hint="eastAsia"/>
                      <w:szCs w:val="21"/>
                    </w:rPr>
                    <w:t>0.85</w:t>
                  </w:r>
                </w:p>
              </w:tc>
              <w:tc>
                <w:tcPr>
                  <w:tcW w:w="899" w:type="dxa"/>
                  <w:vAlign w:val="center"/>
                </w:tcPr>
                <w:p w14:paraId="561BB40C">
                  <w:pPr>
                    <w:jc w:val="center"/>
                    <w:rPr>
                      <w:szCs w:val="21"/>
                    </w:rPr>
                  </w:pPr>
                  <w:r>
                    <w:rPr>
                      <w:rFonts w:hint="eastAsia"/>
                      <w:szCs w:val="21"/>
                    </w:rPr>
                    <w:t>0.015</w:t>
                  </w:r>
                </w:p>
              </w:tc>
              <w:tc>
                <w:tcPr>
                  <w:tcW w:w="2124" w:type="dxa"/>
                  <w:vMerge w:val="restart"/>
                  <w:vAlign w:val="center"/>
                </w:tcPr>
                <w:p w14:paraId="080491BC">
                  <w:pPr>
                    <w:adjustRightInd w:val="0"/>
                    <w:snapToGrid w:val="0"/>
                    <w:jc w:val="center"/>
                    <w:rPr>
                      <w:spacing w:val="-12"/>
                      <w:szCs w:val="21"/>
                    </w:rPr>
                  </w:pPr>
                  <w:r>
                    <w:rPr>
                      <w:rFonts w:hAnsi="宋体"/>
                      <w:spacing w:val="-12"/>
                      <w:szCs w:val="21"/>
                    </w:rPr>
                    <w:t>《餐饮业大气污染物排放标准》（</w:t>
                  </w:r>
                  <w:r>
                    <w:rPr>
                      <w:spacing w:val="-12"/>
                      <w:szCs w:val="21"/>
                    </w:rPr>
                    <w:t>DB50/859-2018</w:t>
                  </w:r>
                  <w:r>
                    <w:rPr>
                      <w:rFonts w:hAnsi="宋体"/>
                      <w:spacing w:val="-12"/>
                      <w:szCs w:val="21"/>
                    </w:rPr>
                    <w:t>）</w:t>
                  </w:r>
                </w:p>
              </w:tc>
              <w:tc>
                <w:tcPr>
                  <w:tcW w:w="987" w:type="dxa"/>
                  <w:vAlign w:val="center"/>
                </w:tcPr>
                <w:p w14:paraId="232640A2">
                  <w:pPr>
                    <w:adjustRightInd w:val="0"/>
                    <w:snapToGrid w:val="0"/>
                    <w:jc w:val="center"/>
                    <w:rPr>
                      <w:szCs w:val="21"/>
                    </w:rPr>
                  </w:pPr>
                  <w:r>
                    <w:rPr>
                      <w:szCs w:val="21"/>
                    </w:rPr>
                    <w:t>1.0</w:t>
                  </w:r>
                </w:p>
              </w:tc>
              <w:tc>
                <w:tcPr>
                  <w:tcW w:w="845" w:type="dxa"/>
                  <w:vAlign w:val="center"/>
                </w:tcPr>
                <w:p w14:paraId="5F63B998">
                  <w:pPr>
                    <w:adjustRightInd w:val="0"/>
                    <w:snapToGrid w:val="0"/>
                    <w:jc w:val="center"/>
                    <w:rPr>
                      <w:szCs w:val="21"/>
                    </w:rPr>
                  </w:pPr>
                  <w:r>
                    <w:rPr>
                      <w:szCs w:val="21"/>
                    </w:rPr>
                    <w:t>/</w:t>
                  </w:r>
                </w:p>
              </w:tc>
              <w:tc>
                <w:tcPr>
                  <w:tcW w:w="703" w:type="dxa"/>
                  <w:vAlign w:val="center"/>
                </w:tcPr>
                <w:p w14:paraId="6051DA47">
                  <w:pPr>
                    <w:adjustRightInd w:val="0"/>
                    <w:snapToGrid w:val="0"/>
                    <w:jc w:val="center"/>
                    <w:rPr>
                      <w:szCs w:val="21"/>
                    </w:rPr>
                  </w:pPr>
                  <w:r>
                    <w:rPr>
                      <w:rFonts w:hAnsi="宋体"/>
                      <w:szCs w:val="21"/>
                    </w:rPr>
                    <w:t>达标</w:t>
                  </w:r>
                </w:p>
              </w:tc>
            </w:tr>
            <w:tr w14:paraId="4DF2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14:paraId="70D1FDC4">
                  <w:pPr>
                    <w:adjustRightInd w:val="0"/>
                    <w:snapToGrid w:val="0"/>
                    <w:jc w:val="center"/>
                    <w:rPr>
                      <w:szCs w:val="21"/>
                    </w:rPr>
                  </w:pPr>
                </w:p>
              </w:tc>
              <w:tc>
                <w:tcPr>
                  <w:tcW w:w="1029" w:type="dxa"/>
                  <w:vAlign w:val="center"/>
                </w:tcPr>
                <w:p w14:paraId="6B7875BE">
                  <w:pPr>
                    <w:adjustRightInd w:val="0"/>
                    <w:snapToGrid w:val="0"/>
                    <w:jc w:val="center"/>
                    <w:rPr>
                      <w:rFonts w:hAnsi="宋体"/>
                      <w:szCs w:val="21"/>
                    </w:rPr>
                  </w:pPr>
                  <w:r>
                    <w:rPr>
                      <w:rFonts w:hint="eastAsia" w:hAnsi="宋体"/>
                      <w:szCs w:val="21"/>
                    </w:rPr>
                    <w:t>非甲烷总烃</w:t>
                  </w:r>
                </w:p>
              </w:tc>
              <w:tc>
                <w:tcPr>
                  <w:tcW w:w="987" w:type="dxa"/>
                  <w:vAlign w:val="center"/>
                </w:tcPr>
                <w:p w14:paraId="69E58A53">
                  <w:pPr>
                    <w:jc w:val="center"/>
                    <w:rPr>
                      <w:szCs w:val="21"/>
                    </w:rPr>
                  </w:pPr>
                  <w:r>
                    <w:rPr>
                      <w:rFonts w:hint="eastAsia"/>
                      <w:szCs w:val="21"/>
                    </w:rPr>
                    <w:t>3.74</w:t>
                  </w:r>
                </w:p>
              </w:tc>
              <w:tc>
                <w:tcPr>
                  <w:tcW w:w="899" w:type="dxa"/>
                  <w:vAlign w:val="center"/>
                </w:tcPr>
                <w:p w14:paraId="5BFF5317">
                  <w:pPr>
                    <w:jc w:val="center"/>
                    <w:rPr>
                      <w:szCs w:val="21"/>
                    </w:rPr>
                  </w:pPr>
                  <w:r>
                    <w:rPr>
                      <w:rFonts w:hint="eastAsia"/>
                      <w:szCs w:val="21"/>
                    </w:rPr>
                    <w:t>0.101</w:t>
                  </w:r>
                </w:p>
              </w:tc>
              <w:tc>
                <w:tcPr>
                  <w:tcW w:w="2124" w:type="dxa"/>
                  <w:vMerge w:val="continue"/>
                  <w:vAlign w:val="center"/>
                </w:tcPr>
                <w:p w14:paraId="2F8827BE">
                  <w:pPr>
                    <w:adjustRightInd w:val="0"/>
                    <w:snapToGrid w:val="0"/>
                    <w:jc w:val="center"/>
                    <w:rPr>
                      <w:rFonts w:hAnsi="宋体"/>
                      <w:spacing w:val="-12"/>
                      <w:szCs w:val="21"/>
                    </w:rPr>
                  </w:pPr>
                </w:p>
              </w:tc>
              <w:tc>
                <w:tcPr>
                  <w:tcW w:w="987" w:type="dxa"/>
                  <w:vAlign w:val="center"/>
                </w:tcPr>
                <w:p w14:paraId="6EBFBD25">
                  <w:pPr>
                    <w:adjustRightInd w:val="0"/>
                    <w:snapToGrid w:val="0"/>
                    <w:jc w:val="center"/>
                    <w:rPr>
                      <w:szCs w:val="21"/>
                    </w:rPr>
                  </w:pPr>
                  <w:r>
                    <w:rPr>
                      <w:rFonts w:hint="eastAsia"/>
                      <w:szCs w:val="21"/>
                    </w:rPr>
                    <w:t>10</w:t>
                  </w:r>
                </w:p>
              </w:tc>
              <w:tc>
                <w:tcPr>
                  <w:tcW w:w="845" w:type="dxa"/>
                  <w:vAlign w:val="center"/>
                </w:tcPr>
                <w:p w14:paraId="17BD17CB">
                  <w:pPr>
                    <w:adjustRightInd w:val="0"/>
                    <w:snapToGrid w:val="0"/>
                    <w:jc w:val="center"/>
                    <w:rPr>
                      <w:szCs w:val="21"/>
                    </w:rPr>
                  </w:pPr>
                  <w:r>
                    <w:rPr>
                      <w:rFonts w:hint="eastAsia"/>
                      <w:szCs w:val="21"/>
                    </w:rPr>
                    <w:t>/</w:t>
                  </w:r>
                </w:p>
              </w:tc>
              <w:tc>
                <w:tcPr>
                  <w:tcW w:w="703" w:type="dxa"/>
                  <w:vAlign w:val="center"/>
                </w:tcPr>
                <w:p w14:paraId="1C995178">
                  <w:pPr>
                    <w:adjustRightInd w:val="0"/>
                    <w:snapToGrid w:val="0"/>
                    <w:jc w:val="center"/>
                    <w:rPr>
                      <w:rFonts w:hAnsi="宋体"/>
                      <w:szCs w:val="21"/>
                    </w:rPr>
                  </w:pPr>
                  <w:r>
                    <w:rPr>
                      <w:rFonts w:hint="eastAsia" w:hAnsi="宋体"/>
                      <w:szCs w:val="21"/>
                    </w:rPr>
                    <w:t>达标</w:t>
                  </w:r>
                </w:p>
              </w:tc>
            </w:tr>
          </w:tbl>
          <w:p w14:paraId="7162D9DB">
            <w:pPr>
              <w:adjustRightInd w:val="0"/>
              <w:snapToGrid w:val="0"/>
              <w:spacing w:line="480" w:lineRule="exact"/>
              <w:ind w:firstLine="480" w:firstLineChars="200"/>
              <w:rPr>
                <w:sz w:val="24"/>
              </w:rPr>
            </w:pPr>
            <w:r>
              <w:rPr>
                <w:rFonts w:hint="eastAsia" w:ascii="Calibri" w:hAnsi="Calibri" w:cs="Calibri"/>
                <w:sz w:val="24"/>
              </w:rPr>
              <w:t>②非</w:t>
            </w:r>
            <w:r>
              <w:rPr>
                <w:rFonts w:hint="eastAsia"/>
                <w:sz w:val="24"/>
              </w:rPr>
              <w:t>正常工况下污染物排放达标分析</w:t>
            </w:r>
          </w:p>
          <w:p w14:paraId="0ACFF76A">
            <w:pPr>
              <w:spacing w:line="480" w:lineRule="exact"/>
              <w:ind w:firstLine="420"/>
              <w:rPr>
                <w:sz w:val="24"/>
              </w:rPr>
            </w:pPr>
            <w:r>
              <w:rPr>
                <w:rFonts w:hAnsi="宋体"/>
                <w:sz w:val="24"/>
              </w:rPr>
              <w:t>本项</w:t>
            </w:r>
            <w:r>
              <w:rPr>
                <w:rFonts w:hAnsi="宋体"/>
                <w:spacing w:val="-3"/>
                <w:sz w:val="24"/>
              </w:rPr>
              <w:t>目</w:t>
            </w:r>
            <w:r>
              <w:rPr>
                <w:rFonts w:hAnsi="宋体"/>
                <w:sz w:val="24"/>
              </w:rPr>
              <w:t>的</w:t>
            </w:r>
            <w:r>
              <w:rPr>
                <w:rFonts w:hAnsi="宋体"/>
                <w:spacing w:val="-3"/>
                <w:sz w:val="24"/>
              </w:rPr>
              <w:t>非</w:t>
            </w:r>
            <w:r>
              <w:rPr>
                <w:rFonts w:hAnsi="宋体"/>
                <w:sz w:val="24"/>
              </w:rPr>
              <w:t>正</w:t>
            </w:r>
            <w:r>
              <w:rPr>
                <w:rFonts w:hAnsi="宋体"/>
                <w:spacing w:val="-3"/>
                <w:sz w:val="24"/>
              </w:rPr>
              <w:t>常</w:t>
            </w:r>
            <w:r>
              <w:rPr>
                <w:rFonts w:hAnsi="宋体"/>
                <w:sz w:val="24"/>
              </w:rPr>
              <w:t>工</w:t>
            </w:r>
            <w:r>
              <w:rPr>
                <w:rFonts w:hAnsi="宋体"/>
                <w:spacing w:val="-3"/>
                <w:sz w:val="24"/>
              </w:rPr>
              <w:t>况</w:t>
            </w:r>
            <w:r>
              <w:rPr>
                <w:rFonts w:hAnsi="宋体"/>
                <w:sz w:val="24"/>
              </w:rPr>
              <w:t>主</w:t>
            </w:r>
            <w:r>
              <w:rPr>
                <w:rFonts w:hAnsi="宋体"/>
                <w:spacing w:val="-3"/>
                <w:sz w:val="24"/>
              </w:rPr>
              <w:t>要</w:t>
            </w:r>
            <w:r>
              <w:rPr>
                <w:rFonts w:hAnsi="宋体"/>
                <w:sz w:val="24"/>
              </w:rPr>
              <w:t>是污</w:t>
            </w:r>
            <w:r>
              <w:rPr>
                <w:rFonts w:hAnsi="宋体"/>
                <w:spacing w:val="-3"/>
                <w:sz w:val="24"/>
              </w:rPr>
              <w:t>染</w:t>
            </w:r>
            <w:r>
              <w:rPr>
                <w:rFonts w:hAnsi="宋体"/>
                <w:sz w:val="24"/>
              </w:rPr>
              <w:t>物</w:t>
            </w:r>
            <w:r>
              <w:rPr>
                <w:rFonts w:hAnsi="宋体"/>
                <w:spacing w:val="-3"/>
                <w:sz w:val="24"/>
              </w:rPr>
              <w:t>排</w:t>
            </w:r>
            <w:r>
              <w:rPr>
                <w:rFonts w:hAnsi="宋体"/>
                <w:sz w:val="24"/>
              </w:rPr>
              <w:t>放</w:t>
            </w:r>
            <w:r>
              <w:rPr>
                <w:rFonts w:hAnsi="宋体"/>
                <w:spacing w:val="-3"/>
                <w:sz w:val="24"/>
              </w:rPr>
              <w:t>控</w:t>
            </w:r>
            <w:r>
              <w:rPr>
                <w:rFonts w:hAnsi="宋体"/>
                <w:sz w:val="24"/>
              </w:rPr>
              <w:t>制</w:t>
            </w:r>
            <w:r>
              <w:rPr>
                <w:rFonts w:hAnsi="宋体"/>
                <w:spacing w:val="-3"/>
                <w:sz w:val="24"/>
              </w:rPr>
              <w:t>措</w:t>
            </w:r>
            <w:r>
              <w:rPr>
                <w:rFonts w:hAnsi="宋体"/>
                <w:sz w:val="24"/>
              </w:rPr>
              <w:t>施</w:t>
            </w:r>
            <w:r>
              <w:rPr>
                <w:rFonts w:hAnsi="宋体"/>
                <w:spacing w:val="-3"/>
                <w:sz w:val="24"/>
              </w:rPr>
              <w:t>达</w:t>
            </w:r>
            <w:r>
              <w:rPr>
                <w:rFonts w:hAnsi="宋体"/>
                <w:sz w:val="24"/>
              </w:rPr>
              <w:t>不到</w:t>
            </w:r>
            <w:r>
              <w:rPr>
                <w:rFonts w:hAnsi="宋体"/>
                <w:spacing w:val="-3"/>
                <w:sz w:val="24"/>
              </w:rPr>
              <w:t>应</w:t>
            </w:r>
            <w:r>
              <w:rPr>
                <w:rFonts w:hAnsi="宋体"/>
                <w:sz w:val="24"/>
              </w:rPr>
              <w:t>有</w:t>
            </w:r>
            <w:r>
              <w:rPr>
                <w:rFonts w:hAnsi="宋体"/>
                <w:spacing w:val="-3"/>
                <w:sz w:val="24"/>
              </w:rPr>
              <w:t>效</w:t>
            </w:r>
            <w:r>
              <w:rPr>
                <w:rFonts w:hAnsi="宋体"/>
                <w:sz w:val="24"/>
              </w:rPr>
              <w:t>率</w:t>
            </w:r>
            <w:r>
              <w:rPr>
                <w:rFonts w:hAnsi="宋体"/>
                <w:spacing w:val="-51"/>
                <w:sz w:val="24"/>
              </w:rPr>
              <w:t>，</w:t>
            </w:r>
            <w:r>
              <w:rPr>
                <w:rFonts w:hAnsi="宋体"/>
                <w:sz w:val="24"/>
              </w:rPr>
              <w:t>即</w:t>
            </w:r>
            <w:r>
              <w:rPr>
                <w:rFonts w:hAnsi="宋体"/>
                <w:spacing w:val="-3"/>
                <w:sz w:val="24"/>
              </w:rPr>
              <w:t>油</w:t>
            </w:r>
            <w:r>
              <w:rPr>
                <w:rFonts w:hAnsi="宋体"/>
                <w:sz w:val="24"/>
              </w:rPr>
              <w:t>烟净</w:t>
            </w:r>
            <w:r>
              <w:rPr>
                <w:rFonts w:hAnsi="宋体"/>
                <w:spacing w:val="-3"/>
                <w:sz w:val="24"/>
              </w:rPr>
              <w:t>化</w:t>
            </w:r>
            <w:r>
              <w:rPr>
                <w:rFonts w:hAnsi="宋体"/>
                <w:sz w:val="24"/>
              </w:rPr>
              <w:t>器</w:t>
            </w:r>
            <w:r>
              <w:rPr>
                <w:rFonts w:hAnsi="宋体"/>
                <w:spacing w:val="2"/>
                <w:sz w:val="24"/>
              </w:rPr>
              <w:t>或</w:t>
            </w:r>
            <w:r>
              <w:rPr>
                <w:rFonts w:hint="eastAsia" w:hAnsi="宋体"/>
                <w:spacing w:val="2"/>
                <w:sz w:val="24"/>
              </w:rPr>
              <w:t>“二级</w:t>
            </w:r>
            <w:r>
              <w:rPr>
                <w:rFonts w:hint="eastAsia"/>
                <w:sz w:val="24"/>
              </w:rPr>
              <w:t>活性炭吸附</w:t>
            </w:r>
            <w:r>
              <w:rPr>
                <w:rFonts w:hint="eastAsia" w:hAnsi="宋体"/>
                <w:spacing w:val="2"/>
                <w:sz w:val="24"/>
              </w:rPr>
              <w:t>”装置发生故障，考虑所有废气处理效率降为零，</w:t>
            </w:r>
            <w:r>
              <w:rPr>
                <w:rFonts w:hint="eastAsia" w:ascii="宋体" w:cs="宋体"/>
                <w:kern w:val="0"/>
                <w:sz w:val="24"/>
              </w:rPr>
              <w:t>排气筒经集气罩收集的各类废气未经有效处理直接由风机抽出外排的情况</w:t>
            </w:r>
            <w:r>
              <w:rPr>
                <w:rFonts w:hAnsi="宋体"/>
                <w:spacing w:val="2"/>
                <w:sz w:val="24"/>
              </w:rPr>
              <w:t>，发生频率按每年</w:t>
            </w:r>
            <w:r>
              <w:rPr>
                <w:spacing w:val="2"/>
                <w:sz w:val="24"/>
              </w:rPr>
              <w:t>1</w:t>
            </w:r>
            <w:r>
              <w:rPr>
                <w:rFonts w:hAnsi="宋体"/>
                <w:spacing w:val="2"/>
                <w:sz w:val="24"/>
              </w:rPr>
              <w:t>次。其排放情况如表</w:t>
            </w:r>
            <w:r>
              <w:rPr>
                <w:spacing w:val="-1"/>
                <w:sz w:val="24"/>
              </w:rPr>
              <w:t>4</w:t>
            </w:r>
            <w:r>
              <w:rPr>
                <w:rFonts w:hint="eastAsia"/>
                <w:spacing w:val="-1"/>
                <w:sz w:val="24"/>
              </w:rPr>
              <w:t>.2-12</w:t>
            </w:r>
            <w:r>
              <w:rPr>
                <w:rFonts w:hAnsi="宋体"/>
                <w:spacing w:val="-1"/>
                <w:sz w:val="24"/>
              </w:rPr>
              <w:t>所示。</w:t>
            </w:r>
          </w:p>
          <w:p w14:paraId="04E9EA48">
            <w:pPr>
              <w:adjustRightInd w:val="0"/>
              <w:snapToGrid w:val="0"/>
              <w:jc w:val="center"/>
              <w:rPr>
                <w:b/>
                <w:szCs w:val="21"/>
              </w:rPr>
            </w:pPr>
            <w:r>
              <w:rPr>
                <w:rFonts w:hint="eastAsia"/>
                <w:b/>
                <w:szCs w:val="21"/>
              </w:rPr>
              <w:t>表4.2-12  非正常工况下污染物达标情况一览表</w:t>
            </w:r>
          </w:p>
          <w:tbl>
            <w:tblPr>
              <w:tblStyle w:val="24"/>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029"/>
              <w:gridCol w:w="987"/>
              <w:gridCol w:w="899"/>
              <w:gridCol w:w="2124"/>
              <w:gridCol w:w="987"/>
              <w:gridCol w:w="845"/>
              <w:gridCol w:w="703"/>
            </w:tblGrid>
            <w:tr w14:paraId="3A3F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71EFE35C">
                  <w:pPr>
                    <w:adjustRightInd w:val="0"/>
                    <w:snapToGrid w:val="0"/>
                    <w:jc w:val="center"/>
                    <w:rPr>
                      <w:szCs w:val="21"/>
                    </w:rPr>
                  </w:pPr>
                  <w:r>
                    <w:rPr>
                      <w:rFonts w:hAnsi="宋体"/>
                      <w:szCs w:val="21"/>
                    </w:rPr>
                    <w:t>污染源</w:t>
                  </w:r>
                </w:p>
              </w:tc>
              <w:tc>
                <w:tcPr>
                  <w:tcW w:w="1029" w:type="dxa"/>
                  <w:vAlign w:val="center"/>
                </w:tcPr>
                <w:p w14:paraId="241672E2">
                  <w:pPr>
                    <w:adjustRightInd w:val="0"/>
                    <w:snapToGrid w:val="0"/>
                    <w:jc w:val="center"/>
                    <w:rPr>
                      <w:szCs w:val="21"/>
                    </w:rPr>
                  </w:pPr>
                  <w:r>
                    <w:rPr>
                      <w:rFonts w:hAnsi="宋体"/>
                      <w:szCs w:val="21"/>
                    </w:rPr>
                    <w:t>污染物</w:t>
                  </w:r>
                </w:p>
              </w:tc>
              <w:tc>
                <w:tcPr>
                  <w:tcW w:w="987" w:type="dxa"/>
                  <w:vAlign w:val="center"/>
                </w:tcPr>
                <w:p w14:paraId="799F868F">
                  <w:pPr>
                    <w:adjustRightInd w:val="0"/>
                    <w:snapToGrid w:val="0"/>
                    <w:jc w:val="center"/>
                    <w:rPr>
                      <w:spacing w:val="-10"/>
                      <w:szCs w:val="21"/>
                    </w:rPr>
                  </w:pPr>
                  <w:r>
                    <w:rPr>
                      <w:rFonts w:hAnsi="宋体"/>
                      <w:spacing w:val="-10"/>
                      <w:szCs w:val="21"/>
                    </w:rPr>
                    <w:t>排放浓度</w:t>
                  </w:r>
                  <w:r>
                    <w:rPr>
                      <w:spacing w:val="-10"/>
                      <w:kern w:val="0"/>
                      <w:szCs w:val="21"/>
                    </w:rPr>
                    <w:t>mg/m</w:t>
                  </w:r>
                  <w:r>
                    <w:rPr>
                      <w:spacing w:val="-10"/>
                      <w:kern w:val="0"/>
                      <w:szCs w:val="21"/>
                      <w:vertAlign w:val="superscript"/>
                    </w:rPr>
                    <w:t>3</w:t>
                  </w:r>
                </w:p>
              </w:tc>
              <w:tc>
                <w:tcPr>
                  <w:tcW w:w="899" w:type="dxa"/>
                  <w:vAlign w:val="center"/>
                </w:tcPr>
                <w:p w14:paraId="53AE7287">
                  <w:pPr>
                    <w:adjustRightInd w:val="0"/>
                    <w:snapToGrid w:val="0"/>
                    <w:jc w:val="center"/>
                    <w:rPr>
                      <w:spacing w:val="-10"/>
                      <w:szCs w:val="21"/>
                    </w:rPr>
                  </w:pPr>
                  <w:r>
                    <w:rPr>
                      <w:rFonts w:hAnsi="宋体"/>
                      <w:spacing w:val="-10"/>
                      <w:szCs w:val="21"/>
                    </w:rPr>
                    <w:t>排放速率</w:t>
                  </w:r>
                  <w:r>
                    <w:rPr>
                      <w:spacing w:val="-10"/>
                      <w:kern w:val="0"/>
                      <w:szCs w:val="21"/>
                    </w:rPr>
                    <w:t>kg/h</w:t>
                  </w:r>
                </w:p>
              </w:tc>
              <w:tc>
                <w:tcPr>
                  <w:tcW w:w="2124" w:type="dxa"/>
                  <w:vAlign w:val="center"/>
                </w:tcPr>
                <w:p w14:paraId="0C166C41">
                  <w:pPr>
                    <w:adjustRightInd w:val="0"/>
                    <w:snapToGrid w:val="0"/>
                    <w:jc w:val="center"/>
                    <w:rPr>
                      <w:szCs w:val="21"/>
                    </w:rPr>
                  </w:pPr>
                  <w:r>
                    <w:rPr>
                      <w:rFonts w:hAnsi="宋体"/>
                      <w:szCs w:val="21"/>
                    </w:rPr>
                    <w:t>执行标准</w:t>
                  </w:r>
                </w:p>
              </w:tc>
              <w:tc>
                <w:tcPr>
                  <w:tcW w:w="987" w:type="dxa"/>
                  <w:vAlign w:val="center"/>
                </w:tcPr>
                <w:p w14:paraId="76D324D8">
                  <w:pPr>
                    <w:adjustRightInd w:val="0"/>
                    <w:snapToGrid w:val="0"/>
                    <w:jc w:val="center"/>
                    <w:rPr>
                      <w:spacing w:val="-10"/>
                      <w:szCs w:val="21"/>
                    </w:rPr>
                  </w:pPr>
                  <w:r>
                    <w:rPr>
                      <w:rFonts w:hAnsi="宋体"/>
                      <w:spacing w:val="-10"/>
                      <w:szCs w:val="21"/>
                    </w:rPr>
                    <w:t>浓度限值</w:t>
                  </w:r>
                  <w:r>
                    <w:rPr>
                      <w:spacing w:val="-10"/>
                      <w:kern w:val="0"/>
                      <w:szCs w:val="21"/>
                    </w:rPr>
                    <w:t>mg/m</w:t>
                  </w:r>
                  <w:r>
                    <w:rPr>
                      <w:spacing w:val="-10"/>
                      <w:kern w:val="0"/>
                      <w:szCs w:val="21"/>
                      <w:vertAlign w:val="superscript"/>
                    </w:rPr>
                    <w:t>3</w:t>
                  </w:r>
                </w:p>
              </w:tc>
              <w:tc>
                <w:tcPr>
                  <w:tcW w:w="845" w:type="dxa"/>
                  <w:vAlign w:val="center"/>
                </w:tcPr>
                <w:p w14:paraId="1EDA5C2F">
                  <w:pPr>
                    <w:adjustRightInd w:val="0"/>
                    <w:snapToGrid w:val="0"/>
                    <w:jc w:val="center"/>
                    <w:rPr>
                      <w:spacing w:val="-10"/>
                      <w:szCs w:val="21"/>
                    </w:rPr>
                  </w:pPr>
                  <w:r>
                    <w:rPr>
                      <w:rFonts w:hAnsi="宋体"/>
                      <w:spacing w:val="-10"/>
                      <w:szCs w:val="21"/>
                    </w:rPr>
                    <w:t>速率限值</w:t>
                  </w:r>
                  <w:r>
                    <w:rPr>
                      <w:spacing w:val="-10"/>
                      <w:kern w:val="0"/>
                      <w:szCs w:val="21"/>
                    </w:rPr>
                    <w:t>kg/h</w:t>
                  </w:r>
                </w:p>
              </w:tc>
              <w:tc>
                <w:tcPr>
                  <w:tcW w:w="703" w:type="dxa"/>
                  <w:vAlign w:val="center"/>
                </w:tcPr>
                <w:p w14:paraId="3FEAC911">
                  <w:pPr>
                    <w:adjustRightInd w:val="0"/>
                    <w:snapToGrid w:val="0"/>
                    <w:jc w:val="center"/>
                    <w:rPr>
                      <w:szCs w:val="21"/>
                    </w:rPr>
                  </w:pPr>
                  <w:r>
                    <w:rPr>
                      <w:rFonts w:hAnsi="宋体"/>
                      <w:szCs w:val="21"/>
                    </w:rPr>
                    <w:t>达标情况</w:t>
                  </w:r>
                </w:p>
              </w:tc>
            </w:tr>
            <w:tr w14:paraId="524F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6554FFB4">
                  <w:pPr>
                    <w:adjustRightInd w:val="0"/>
                    <w:snapToGrid w:val="0"/>
                    <w:jc w:val="center"/>
                    <w:rPr>
                      <w:szCs w:val="21"/>
                    </w:rPr>
                  </w:pPr>
                  <w:r>
                    <w:rPr>
                      <w:szCs w:val="21"/>
                    </w:rPr>
                    <w:t>1#</w:t>
                  </w:r>
                  <w:r>
                    <w:rPr>
                      <w:rFonts w:hAnsi="宋体"/>
                      <w:szCs w:val="21"/>
                    </w:rPr>
                    <w:t>排气筒</w:t>
                  </w:r>
                </w:p>
              </w:tc>
              <w:tc>
                <w:tcPr>
                  <w:tcW w:w="1029" w:type="dxa"/>
                  <w:vAlign w:val="center"/>
                </w:tcPr>
                <w:p w14:paraId="1B0EAAE7">
                  <w:pPr>
                    <w:adjustRightInd w:val="0"/>
                    <w:snapToGrid w:val="0"/>
                    <w:jc w:val="center"/>
                    <w:rPr>
                      <w:szCs w:val="21"/>
                    </w:rPr>
                  </w:pPr>
                  <w:r>
                    <w:rPr>
                      <w:rFonts w:hint="eastAsia" w:hAnsi="宋体"/>
                      <w:szCs w:val="21"/>
                    </w:rPr>
                    <w:t>非甲烷总烃</w:t>
                  </w:r>
                </w:p>
              </w:tc>
              <w:tc>
                <w:tcPr>
                  <w:tcW w:w="987" w:type="dxa"/>
                  <w:vAlign w:val="center"/>
                </w:tcPr>
                <w:p w14:paraId="63E4FA13">
                  <w:pPr>
                    <w:widowControl/>
                    <w:jc w:val="center"/>
                    <w:rPr>
                      <w:szCs w:val="21"/>
                    </w:rPr>
                  </w:pPr>
                  <w:r>
                    <w:rPr>
                      <w:rFonts w:hint="eastAsia"/>
                      <w:szCs w:val="21"/>
                    </w:rPr>
                    <w:t xml:space="preserve">14.6 </w:t>
                  </w:r>
                </w:p>
              </w:tc>
              <w:tc>
                <w:tcPr>
                  <w:tcW w:w="899" w:type="dxa"/>
                  <w:vAlign w:val="center"/>
                </w:tcPr>
                <w:p w14:paraId="138F59A8">
                  <w:pPr>
                    <w:widowControl/>
                    <w:jc w:val="center"/>
                    <w:rPr>
                      <w:szCs w:val="21"/>
                    </w:rPr>
                  </w:pPr>
                  <w:r>
                    <w:rPr>
                      <w:rFonts w:hint="eastAsia"/>
                      <w:szCs w:val="21"/>
                    </w:rPr>
                    <w:t>0.683</w:t>
                  </w:r>
                </w:p>
              </w:tc>
              <w:tc>
                <w:tcPr>
                  <w:tcW w:w="2124" w:type="dxa"/>
                  <w:vAlign w:val="center"/>
                </w:tcPr>
                <w:p w14:paraId="05001152">
                  <w:pPr>
                    <w:adjustRightInd w:val="0"/>
                    <w:snapToGrid w:val="0"/>
                    <w:jc w:val="center"/>
                    <w:rPr>
                      <w:spacing w:val="-12"/>
                      <w:szCs w:val="21"/>
                    </w:rPr>
                  </w:pPr>
                  <w:r>
                    <w:rPr>
                      <w:rFonts w:hint="eastAsia"/>
                      <w:szCs w:val="21"/>
                    </w:rPr>
                    <w:t>《包装印刷业大气污染物排放标准》（DB50/758-2017）</w:t>
                  </w:r>
                </w:p>
              </w:tc>
              <w:tc>
                <w:tcPr>
                  <w:tcW w:w="987" w:type="dxa"/>
                  <w:vAlign w:val="center"/>
                </w:tcPr>
                <w:p w14:paraId="093788D4">
                  <w:pPr>
                    <w:adjustRightInd w:val="0"/>
                    <w:snapToGrid w:val="0"/>
                    <w:jc w:val="center"/>
                    <w:rPr>
                      <w:szCs w:val="21"/>
                    </w:rPr>
                  </w:pPr>
                  <w:r>
                    <w:rPr>
                      <w:rFonts w:hint="eastAsia"/>
                      <w:szCs w:val="21"/>
                    </w:rPr>
                    <w:t>80</w:t>
                  </w:r>
                </w:p>
              </w:tc>
              <w:tc>
                <w:tcPr>
                  <w:tcW w:w="845" w:type="dxa"/>
                  <w:vAlign w:val="center"/>
                </w:tcPr>
                <w:p w14:paraId="0E51AF73">
                  <w:pPr>
                    <w:adjustRightInd w:val="0"/>
                    <w:snapToGrid w:val="0"/>
                    <w:jc w:val="center"/>
                    <w:rPr>
                      <w:szCs w:val="21"/>
                    </w:rPr>
                  </w:pPr>
                  <w:r>
                    <w:rPr>
                      <w:rFonts w:hint="eastAsia"/>
                      <w:szCs w:val="21"/>
                    </w:rPr>
                    <w:t>5.1</w:t>
                  </w:r>
                </w:p>
              </w:tc>
              <w:tc>
                <w:tcPr>
                  <w:tcW w:w="703" w:type="dxa"/>
                  <w:vAlign w:val="center"/>
                </w:tcPr>
                <w:p w14:paraId="42E5D7DA">
                  <w:pPr>
                    <w:adjustRightInd w:val="0"/>
                    <w:snapToGrid w:val="0"/>
                    <w:jc w:val="center"/>
                    <w:rPr>
                      <w:szCs w:val="21"/>
                    </w:rPr>
                  </w:pPr>
                  <w:r>
                    <w:rPr>
                      <w:rFonts w:hAnsi="宋体"/>
                      <w:szCs w:val="21"/>
                    </w:rPr>
                    <w:t>达标</w:t>
                  </w:r>
                </w:p>
              </w:tc>
            </w:tr>
            <w:tr w14:paraId="61DB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vAlign w:val="center"/>
                </w:tcPr>
                <w:p w14:paraId="2154DBD6">
                  <w:pPr>
                    <w:adjustRightInd w:val="0"/>
                    <w:snapToGrid w:val="0"/>
                    <w:jc w:val="center"/>
                    <w:rPr>
                      <w:szCs w:val="21"/>
                    </w:rPr>
                  </w:pPr>
                  <w:r>
                    <w:rPr>
                      <w:rFonts w:hint="eastAsia"/>
                      <w:szCs w:val="21"/>
                    </w:rPr>
                    <w:t>食堂油烟排气筒</w:t>
                  </w:r>
                </w:p>
              </w:tc>
              <w:tc>
                <w:tcPr>
                  <w:tcW w:w="1029" w:type="dxa"/>
                  <w:vAlign w:val="center"/>
                </w:tcPr>
                <w:p w14:paraId="72A5B968">
                  <w:pPr>
                    <w:adjustRightInd w:val="0"/>
                    <w:snapToGrid w:val="0"/>
                    <w:jc w:val="center"/>
                    <w:rPr>
                      <w:szCs w:val="21"/>
                    </w:rPr>
                  </w:pPr>
                  <w:r>
                    <w:rPr>
                      <w:rFonts w:hAnsi="宋体"/>
                      <w:szCs w:val="21"/>
                    </w:rPr>
                    <w:t>油烟</w:t>
                  </w:r>
                </w:p>
              </w:tc>
              <w:tc>
                <w:tcPr>
                  <w:tcW w:w="987" w:type="dxa"/>
                  <w:vAlign w:val="center"/>
                </w:tcPr>
                <w:p w14:paraId="611C3804">
                  <w:pPr>
                    <w:jc w:val="center"/>
                    <w:rPr>
                      <w:szCs w:val="21"/>
                    </w:rPr>
                  </w:pPr>
                  <w:r>
                    <w:rPr>
                      <w:rFonts w:hint="eastAsia"/>
                      <w:szCs w:val="21"/>
                    </w:rPr>
                    <w:t>8.3</w:t>
                  </w:r>
                </w:p>
              </w:tc>
              <w:tc>
                <w:tcPr>
                  <w:tcW w:w="899" w:type="dxa"/>
                  <w:vAlign w:val="center"/>
                </w:tcPr>
                <w:p w14:paraId="2432C587">
                  <w:pPr>
                    <w:jc w:val="center"/>
                    <w:rPr>
                      <w:szCs w:val="21"/>
                    </w:rPr>
                  </w:pPr>
                  <w:r>
                    <w:rPr>
                      <w:rFonts w:hint="eastAsia"/>
                      <w:szCs w:val="21"/>
                    </w:rPr>
                    <w:t>0.15</w:t>
                  </w:r>
                </w:p>
              </w:tc>
              <w:tc>
                <w:tcPr>
                  <w:tcW w:w="2124" w:type="dxa"/>
                  <w:vMerge w:val="restart"/>
                  <w:vAlign w:val="center"/>
                </w:tcPr>
                <w:p w14:paraId="58E2D723">
                  <w:pPr>
                    <w:adjustRightInd w:val="0"/>
                    <w:snapToGrid w:val="0"/>
                    <w:jc w:val="center"/>
                    <w:rPr>
                      <w:spacing w:val="-12"/>
                      <w:szCs w:val="21"/>
                    </w:rPr>
                  </w:pPr>
                  <w:r>
                    <w:rPr>
                      <w:rFonts w:hAnsi="宋体"/>
                      <w:spacing w:val="-12"/>
                      <w:szCs w:val="21"/>
                    </w:rPr>
                    <w:t>《餐饮业大气污染物排放标准》（</w:t>
                  </w:r>
                  <w:r>
                    <w:rPr>
                      <w:spacing w:val="-12"/>
                      <w:szCs w:val="21"/>
                    </w:rPr>
                    <w:t>DB50/859-2018</w:t>
                  </w:r>
                  <w:r>
                    <w:rPr>
                      <w:rFonts w:hAnsi="宋体"/>
                      <w:spacing w:val="-12"/>
                      <w:szCs w:val="21"/>
                    </w:rPr>
                    <w:t>）</w:t>
                  </w:r>
                </w:p>
              </w:tc>
              <w:tc>
                <w:tcPr>
                  <w:tcW w:w="987" w:type="dxa"/>
                  <w:vAlign w:val="center"/>
                </w:tcPr>
                <w:p w14:paraId="6333173B">
                  <w:pPr>
                    <w:adjustRightInd w:val="0"/>
                    <w:snapToGrid w:val="0"/>
                    <w:jc w:val="center"/>
                    <w:rPr>
                      <w:szCs w:val="21"/>
                    </w:rPr>
                  </w:pPr>
                  <w:r>
                    <w:rPr>
                      <w:szCs w:val="21"/>
                    </w:rPr>
                    <w:t>1.0</w:t>
                  </w:r>
                </w:p>
              </w:tc>
              <w:tc>
                <w:tcPr>
                  <w:tcW w:w="845" w:type="dxa"/>
                  <w:vAlign w:val="center"/>
                </w:tcPr>
                <w:p w14:paraId="34EE1531">
                  <w:pPr>
                    <w:adjustRightInd w:val="0"/>
                    <w:snapToGrid w:val="0"/>
                    <w:jc w:val="center"/>
                    <w:rPr>
                      <w:szCs w:val="21"/>
                    </w:rPr>
                  </w:pPr>
                  <w:r>
                    <w:rPr>
                      <w:szCs w:val="21"/>
                    </w:rPr>
                    <w:t>/</w:t>
                  </w:r>
                </w:p>
              </w:tc>
              <w:tc>
                <w:tcPr>
                  <w:tcW w:w="703" w:type="dxa"/>
                  <w:vAlign w:val="center"/>
                </w:tcPr>
                <w:p w14:paraId="41E3699E">
                  <w:pPr>
                    <w:adjustRightInd w:val="0"/>
                    <w:snapToGrid w:val="0"/>
                    <w:jc w:val="center"/>
                    <w:rPr>
                      <w:szCs w:val="21"/>
                    </w:rPr>
                  </w:pPr>
                  <w:r>
                    <w:rPr>
                      <w:rFonts w:hint="eastAsia"/>
                      <w:szCs w:val="21"/>
                    </w:rPr>
                    <w:t>超标</w:t>
                  </w:r>
                </w:p>
              </w:tc>
            </w:tr>
            <w:tr w14:paraId="7CCC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14:paraId="47D7B669">
                  <w:pPr>
                    <w:adjustRightInd w:val="0"/>
                    <w:snapToGrid w:val="0"/>
                    <w:jc w:val="center"/>
                    <w:rPr>
                      <w:szCs w:val="21"/>
                    </w:rPr>
                  </w:pPr>
                </w:p>
              </w:tc>
              <w:tc>
                <w:tcPr>
                  <w:tcW w:w="1029" w:type="dxa"/>
                  <w:vAlign w:val="center"/>
                </w:tcPr>
                <w:p w14:paraId="1ECCED9F">
                  <w:pPr>
                    <w:adjustRightInd w:val="0"/>
                    <w:snapToGrid w:val="0"/>
                    <w:jc w:val="center"/>
                    <w:rPr>
                      <w:rFonts w:hAnsi="宋体"/>
                      <w:szCs w:val="21"/>
                    </w:rPr>
                  </w:pPr>
                  <w:r>
                    <w:rPr>
                      <w:rFonts w:hint="eastAsia" w:hAnsi="宋体"/>
                      <w:szCs w:val="21"/>
                    </w:rPr>
                    <w:t>非甲烷总烃</w:t>
                  </w:r>
                </w:p>
              </w:tc>
              <w:tc>
                <w:tcPr>
                  <w:tcW w:w="987" w:type="dxa"/>
                  <w:vAlign w:val="center"/>
                </w:tcPr>
                <w:p w14:paraId="43C48721">
                  <w:pPr>
                    <w:jc w:val="center"/>
                    <w:rPr>
                      <w:szCs w:val="21"/>
                    </w:rPr>
                  </w:pPr>
                  <w:r>
                    <w:rPr>
                      <w:rFonts w:hint="eastAsia"/>
                      <w:szCs w:val="21"/>
                    </w:rPr>
                    <w:t>15</w:t>
                  </w:r>
                </w:p>
              </w:tc>
              <w:tc>
                <w:tcPr>
                  <w:tcW w:w="899" w:type="dxa"/>
                  <w:vAlign w:val="center"/>
                </w:tcPr>
                <w:p w14:paraId="68548F68">
                  <w:pPr>
                    <w:jc w:val="center"/>
                    <w:rPr>
                      <w:szCs w:val="21"/>
                    </w:rPr>
                  </w:pPr>
                  <w:r>
                    <w:rPr>
                      <w:rFonts w:hint="eastAsia"/>
                      <w:szCs w:val="21"/>
                    </w:rPr>
                    <w:t>0.27</w:t>
                  </w:r>
                </w:p>
              </w:tc>
              <w:tc>
                <w:tcPr>
                  <w:tcW w:w="2124" w:type="dxa"/>
                  <w:vMerge w:val="continue"/>
                  <w:vAlign w:val="center"/>
                </w:tcPr>
                <w:p w14:paraId="2CCC9E1E">
                  <w:pPr>
                    <w:adjustRightInd w:val="0"/>
                    <w:snapToGrid w:val="0"/>
                    <w:jc w:val="center"/>
                    <w:rPr>
                      <w:rFonts w:hAnsi="宋体"/>
                      <w:spacing w:val="-12"/>
                      <w:szCs w:val="21"/>
                    </w:rPr>
                  </w:pPr>
                </w:p>
              </w:tc>
              <w:tc>
                <w:tcPr>
                  <w:tcW w:w="987" w:type="dxa"/>
                  <w:vAlign w:val="center"/>
                </w:tcPr>
                <w:p w14:paraId="1930162E">
                  <w:pPr>
                    <w:adjustRightInd w:val="0"/>
                    <w:snapToGrid w:val="0"/>
                    <w:jc w:val="center"/>
                    <w:rPr>
                      <w:szCs w:val="21"/>
                    </w:rPr>
                  </w:pPr>
                  <w:r>
                    <w:rPr>
                      <w:rFonts w:hint="eastAsia"/>
                      <w:szCs w:val="21"/>
                    </w:rPr>
                    <w:t>10</w:t>
                  </w:r>
                </w:p>
              </w:tc>
              <w:tc>
                <w:tcPr>
                  <w:tcW w:w="845" w:type="dxa"/>
                  <w:vAlign w:val="center"/>
                </w:tcPr>
                <w:p w14:paraId="4AE54A24">
                  <w:pPr>
                    <w:adjustRightInd w:val="0"/>
                    <w:snapToGrid w:val="0"/>
                    <w:jc w:val="center"/>
                    <w:rPr>
                      <w:szCs w:val="21"/>
                    </w:rPr>
                  </w:pPr>
                  <w:r>
                    <w:rPr>
                      <w:rFonts w:hint="eastAsia"/>
                      <w:szCs w:val="21"/>
                    </w:rPr>
                    <w:t>/</w:t>
                  </w:r>
                </w:p>
              </w:tc>
              <w:tc>
                <w:tcPr>
                  <w:tcW w:w="703" w:type="dxa"/>
                  <w:vAlign w:val="center"/>
                </w:tcPr>
                <w:p w14:paraId="5772AFA5">
                  <w:pPr>
                    <w:adjustRightInd w:val="0"/>
                    <w:snapToGrid w:val="0"/>
                    <w:jc w:val="center"/>
                    <w:rPr>
                      <w:rFonts w:hAnsi="宋体"/>
                      <w:szCs w:val="21"/>
                    </w:rPr>
                  </w:pPr>
                  <w:r>
                    <w:rPr>
                      <w:rFonts w:hint="eastAsia"/>
                      <w:szCs w:val="21"/>
                    </w:rPr>
                    <w:t>超标</w:t>
                  </w:r>
                </w:p>
              </w:tc>
            </w:tr>
          </w:tbl>
          <w:p w14:paraId="75C43BE9">
            <w:pPr>
              <w:spacing w:line="480" w:lineRule="exact"/>
              <w:ind w:firstLine="480" w:firstLineChars="200"/>
              <w:jc w:val="left"/>
              <w:rPr>
                <w:rFonts w:ascii="宋体" w:hAnsi="宋体"/>
                <w:b/>
                <w:sz w:val="24"/>
              </w:rPr>
            </w:pPr>
            <w:r>
              <w:rPr>
                <w:rFonts w:ascii="宋体" w:hAnsi="宋体" w:cs="宋体"/>
                <w:sz w:val="24"/>
              </w:rPr>
              <w:t>由上表可知，非正常工况下，</w:t>
            </w:r>
            <w:r>
              <w:rPr>
                <w:rFonts w:hint="eastAsia" w:ascii="宋体" w:hAnsi="宋体" w:cs="宋体"/>
                <w:sz w:val="24"/>
              </w:rPr>
              <w:t>食堂油烟</w:t>
            </w:r>
            <w:r>
              <w:rPr>
                <w:rFonts w:hint="eastAsia" w:ascii="宋体" w:hAnsi="宋体"/>
                <w:sz w:val="24"/>
              </w:rPr>
              <w:t>废气超标，其余各污染物可达标排放，但排放浓度、排放速率明显增加</w:t>
            </w:r>
            <w:r>
              <w:rPr>
                <w:rFonts w:ascii="宋体" w:hAnsi="宋体" w:cs="宋体"/>
                <w:sz w:val="24"/>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5E487E27">
            <w:pPr>
              <w:spacing w:line="480" w:lineRule="exact"/>
              <w:ind w:firstLine="480" w:firstLineChars="200"/>
              <w:jc w:val="left"/>
              <w:rPr>
                <w:rFonts w:ascii="宋体" w:hAnsi="宋体" w:cs="宋体"/>
                <w:sz w:val="24"/>
              </w:rPr>
            </w:pPr>
            <w:r>
              <w:rPr>
                <w:rFonts w:ascii="宋体" w:hAnsi="宋体" w:cs="宋体"/>
                <w:sz w:val="24"/>
              </w:rPr>
              <w:t>①安排专人负责环保设备的日常维护和管理，每个固定时间检查、汇报情况，及时发现废</w:t>
            </w:r>
            <w:r>
              <w:rPr>
                <w:rFonts w:ascii="宋体" w:hAnsi="宋体"/>
                <w:sz w:val="24"/>
              </w:rPr>
              <w:t>气处理设备的隐患，确保废气处理系统正常运行；</w:t>
            </w:r>
          </w:p>
          <w:p w14:paraId="450FD44F">
            <w:pPr>
              <w:pStyle w:val="7"/>
              <w:spacing w:before="0" w:after="0" w:line="480" w:lineRule="exact"/>
              <w:ind w:right="0" w:firstLine="480" w:firstLineChars="200"/>
              <w:jc w:val="left"/>
              <w:rPr>
                <w:rFonts w:ascii="宋体" w:hAnsi="宋体"/>
                <w:sz w:val="24"/>
                <w:szCs w:val="24"/>
              </w:rPr>
            </w:pPr>
            <w:r>
              <w:rPr>
                <w:rFonts w:hint="eastAsia" w:ascii="宋体" w:hAnsi="宋体"/>
                <w:sz w:val="24"/>
                <w:szCs w:val="24"/>
              </w:rPr>
              <w:t>②</w:t>
            </w:r>
            <w:r>
              <w:rPr>
                <w:rFonts w:ascii="宋体" w:hAnsi="宋体"/>
                <w:sz w:val="24"/>
                <w:szCs w:val="24"/>
              </w:rPr>
              <w:t>建立健全的环保管理机构，对环保管理人员和技术人员进行岗位培训，委托具有专业资质的环境检测单位对项目排放的各类污染物进行定期检测；</w:t>
            </w:r>
          </w:p>
          <w:p w14:paraId="0ECB804B">
            <w:pPr>
              <w:pStyle w:val="7"/>
              <w:spacing w:before="0" w:after="0" w:line="480" w:lineRule="exact"/>
              <w:ind w:right="0" w:firstLine="480" w:firstLineChars="200"/>
              <w:jc w:val="left"/>
              <w:rPr>
                <w:rFonts w:ascii="宋体" w:hAnsi="宋体"/>
                <w:sz w:val="24"/>
                <w:szCs w:val="24"/>
              </w:rPr>
            </w:pPr>
            <w:r>
              <w:rPr>
                <w:rFonts w:hint="eastAsia" w:ascii="宋体" w:hAnsi="宋体"/>
                <w:sz w:val="24"/>
                <w:szCs w:val="24"/>
              </w:rPr>
              <w:t>③</w:t>
            </w:r>
            <w:r>
              <w:rPr>
                <w:rFonts w:ascii="宋体" w:hAnsi="宋体"/>
                <w:sz w:val="24"/>
                <w:szCs w:val="24"/>
              </w:rPr>
              <w:t>应定期维护、检修废气净化装置，以保持废气处理装置的净化能力。</w:t>
            </w:r>
          </w:p>
          <w:p w14:paraId="10CC7307">
            <w:pPr>
              <w:adjustRightInd w:val="0"/>
              <w:snapToGrid w:val="0"/>
              <w:spacing w:line="480" w:lineRule="exact"/>
              <w:ind w:firstLine="442" w:firstLineChars="200"/>
              <w:rPr>
                <w:b/>
                <w:spacing w:val="-10"/>
                <w:sz w:val="24"/>
              </w:rPr>
            </w:pPr>
            <w:r>
              <w:rPr>
                <w:b/>
                <w:spacing w:val="-10"/>
                <w:sz w:val="24"/>
              </w:rPr>
              <w:t>4.2.2</w:t>
            </w:r>
            <w:r>
              <w:rPr>
                <w:rFonts w:hint="eastAsia"/>
                <w:b/>
                <w:spacing w:val="-10"/>
                <w:sz w:val="24"/>
              </w:rPr>
              <w:t>.5 废气污染防治措施可行性分析</w:t>
            </w:r>
          </w:p>
          <w:p w14:paraId="7686BD9F">
            <w:pPr>
              <w:adjustRightInd w:val="0"/>
              <w:snapToGrid w:val="0"/>
              <w:spacing w:line="480" w:lineRule="exact"/>
              <w:ind w:firstLine="480" w:firstLineChars="200"/>
              <w:jc w:val="left"/>
              <w:rPr>
                <w:rFonts w:hAnsi="宋体"/>
                <w:sz w:val="24"/>
              </w:rPr>
            </w:pPr>
            <w:r>
              <w:rPr>
                <w:rFonts w:hAnsi="宋体"/>
                <w:sz w:val="24"/>
              </w:rPr>
              <w:t>项目</w:t>
            </w:r>
            <w:r>
              <w:rPr>
                <w:rFonts w:hAnsi="宋体"/>
                <w:kern w:val="0"/>
                <w:sz w:val="24"/>
                <w:lang w:val="zh-CN"/>
              </w:rPr>
              <w:t>印刷、</w:t>
            </w:r>
            <w:r>
              <w:rPr>
                <w:rFonts w:hint="eastAsia" w:hAnsi="宋体"/>
                <w:kern w:val="0"/>
                <w:sz w:val="24"/>
                <w:lang w:val="zh-CN"/>
              </w:rPr>
              <w:t>润版</w:t>
            </w:r>
            <w:r>
              <w:rPr>
                <w:rFonts w:hAnsi="宋体"/>
                <w:kern w:val="0"/>
                <w:sz w:val="24"/>
                <w:lang w:val="zh-CN"/>
              </w:rPr>
              <w:t>、</w:t>
            </w:r>
            <w:r>
              <w:rPr>
                <w:rFonts w:hint="eastAsia" w:hAnsi="宋体"/>
                <w:kern w:val="0"/>
                <w:sz w:val="24"/>
                <w:lang w:val="zh-CN"/>
              </w:rPr>
              <w:t>清洁、过油工序</w:t>
            </w:r>
            <w:r>
              <w:rPr>
                <w:rFonts w:hAnsi="宋体"/>
                <w:kern w:val="0"/>
                <w:sz w:val="24"/>
                <w:lang w:val="zh-CN"/>
              </w:rPr>
              <w:t>产生的有机废气通过负压抽风方式由</w:t>
            </w:r>
            <w:r>
              <w:rPr>
                <w:rFonts w:hAnsi="宋体"/>
                <w:sz w:val="24"/>
              </w:rPr>
              <w:t>抽风系统引至</w:t>
            </w:r>
            <w:r>
              <w:rPr>
                <w:sz w:val="24"/>
              </w:rPr>
              <w:t>“</w:t>
            </w:r>
            <w:r>
              <w:rPr>
                <w:rFonts w:hint="eastAsia"/>
                <w:sz w:val="24"/>
              </w:rPr>
              <w:t>二级</w:t>
            </w:r>
            <w:r>
              <w:rPr>
                <w:rFonts w:hAnsi="宋体"/>
                <w:sz w:val="24"/>
              </w:rPr>
              <w:t>活性炭吸附</w:t>
            </w:r>
            <w:r>
              <w:rPr>
                <w:sz w:val="24"/>
              </w:rPr>
              <w:t xml:space="preserve">” </w:t>
            </w:r>
            <w:r>
              <w:rPr>
                <w:rFonts w:hAnsi="宋体"/>
                <w:sz w:val="24"/>
              </w:rPr>
              <w:t>装置处理，处理后</w:t>
            </w:r>
            <w:r>
              <w:rPr>
                <w:rFonts w:hint="eastAsia" w:hAnsi="宋体"/>
                <w:sz w:val="24"/>
              </w:rPr>
              <w:t>通过</w:t>
            </w:r>
            <w:r>
              <w:rPr>
                <w:rFonts w:hint="eastAsia"/>
                <w:sz w:val="24"/>
              </w:rPr>
              <w:t>1</w:t>
            </w:r>
            <w:r>
              <w:rPr>
                <w:rFonts w:hAnsi="宋体"/>
                <w:sz w:val="24"/>
              </w:rPr>
              <w:t>根</w:t>
            </w:r>
            <w:r>
              <w:rPr>
                <w:sz w:val="24"/>
              </w:rPr>
              <w:t>15m</w:t>
            </w:r>
            <w:r>
              <w:rPr>
                <w:rFonts w:hAnsi="宋体"/>
                <w:sz w:val="24"/>
              </w:rPr>
              <w:t>高</w:t>
            </w:r>
            <w:r>
              <w:rPr>
                <w:rFonts w:hint="eastAsia" w:hAnsi="宋体"/>
                <w:sz w:val="24"/>
              </w:rPr>
              <w:t>（1#）</w:t>
            </w:r>
            <w:r>
              <w:rPr>
                <w:rFonts w:hAnsi="宋体"/>
                <w:sz w:val="24"/>
              </w:rPr>
              <w:t>排气筒排放。</w:t>
            </w:r>
          </w:p>
          <w:p w14:paraId="66EA5EE5">
            <w:pPr>
              <w:adjustRightInd w:val="0"/>
              <w:snapToGrid w:val="0"/>
              <w:spacing w:line="480" w:lineRule="exact"/>
              <w:ind w:firstLine="480" w:firstLineChars="200"/>
              <w:jc w:val="left"/>
              <w:rPr>
                <w:sz w:val="24"/>
              </w:rPr>
            </w:pPr>
            <w:r>
              <w:rPr>
                <w:sz w:val="24"/>
              </w:rPr>
              <w:t>活性炭是一种主要由含碳材料制成的外观呈黑色，内部孔隙结构发达、比表面积大、吸附能力强的一类微晶质碳素材料。活性炭材料中有大量微孔，1 克活性炭比表面积高达 700~1000m</w:t>
            </w:r>
            <w:r>
              <w:rPr>
                <w:sz w:val="24"/>
                <w:vertAlign w:val="superscript"/>
              </w:rPr>
              <w:t>2</w:t>
            </w:r>
            <w:r>
              <w:rPr>
                <w:sz w:val="24"/>
              </w:rPr>
              <w:t xml:space="preserve">/g。当气体分子进入其微孔后，利用“范德华引力”，分子间相互吸引，更多的气体分子不断被吸引进来，直至空隙填满。活性炭吸附有机废气在国内外广泛使用，根据废气浓度、吸附设施内结构及活性炭填充量不同，废气去除效率在50~90%之间。 </w:t>
            </w:r>
          </w:p>
          <w:p w14:paraId="4F76C9C0">
            <w:pPr>
              <w:adjustRightInd w:val="0"/>
              <w:snapToGrid w:val="0"/>
              <w:spacing w:line="480" w:lineRule="exact"/>
              <w:ind w:firstLine="480" w:firstLineChars="200"/>
              <w:jc w:val="left"/>
              <w:rPr>
                <w:rFonts w:eastAsiaTheme="minorEastAsia"/>
                <w:sz w:val="24"/>
              </w:rPr>
            </w:pPr>
            <w:r>
              <w:rPr>
                <w:sz w:val="24"/>
              </w:rPr>
              <w:t>结合《排污许可证申请与核发技术规范 印刷工业》(HJ 1066-2019)、《</w:t>
            </w:r>
            <w:r>
              <w:rPr>
                <w:rFonts w:hint="eastAsia"/>
                <w:sz w:val="24"/>
              </w:rPr>
              <w:t>纸包装印刷挥发性有机物治理实用手册</w:t>
            </w:r>
            <w:r>
              <w:rPr>
                <w:sz w:val="24"/>
              </w:rPr>
              <w:t>》两个文件进行分析</w:t>
            </w:r>
            <w:r>
              <w:rPr>
                <w:rFonts w:hint="eastAsia"/>
                <w:sz w:val="24"/>
              </w:rPr>
              <w:t>，项目所采取的治理措施虽未明确列入</w:t>
            </w:r>
            <w:r>
              <w:rPr>
                <w:sz w:val="24"/>
              </w:rPr>
              <w:t>HJ 1066-2019</w:t>
            </w:r>
            <w:r>
              <w:rPr>
                <w:rFonts w:hint="eastAsia"/>
                <w:sz w:val="24"/>
              </w:rPr>
              <w:t>中，但从实用手册分析可知，项目使用的原辅材料分别为环保型胶印油墨、环保型油墨清洗剂（洗车水）、无醇润版液和水性上光油，原辅材料中VOCs含量限值满足</w:t>
            </w:r>
            <w:r>
              <w:rPr>
                <w:sz w:val="24"/>
              </w:rPr>
              <w:t>《</w:t>
            </w:r>
            <w:r>
              <w:rPr>
                <w:rFonts w:hint="eastAsia"/>
                <w:sz w:val="24"/>
              </w:rPr>
              <w:t>纸包装印刷挥发性有机物治理实用手册</w:t>
            </w:r>
            <w:r>
              <w:rPr>
                <w:sz w:val="24"/>
              </w:rPr>
              <w:t>》</w:t>
            </w:r>
            <w:r>
              <w:rPr>
                <w:rFonts w:hint="eastAsia"/>
                <w:sz w:val="24"/>
              </w:rPr>
              <w:t>中表1的要求，从源头消减了</w:t>
            </w:r>
            <w:r>
              <w:rPr>
                <w:rFonts w:hAnsiTheme="minorEastAsia" w:eastAsiaTheme="minorEastAsia"/>
                <w:sz w:val="24"/>
              </w:rPr>
              <w:t>项目</w:t>
            </w:r>
            <w:r>
              <w:rPr>
                <w:rFonts w:eastAsiaTheme="minorEastAsia"/>
                <w:sz w:val="24"/>
              </w:rPr>
              <w:t>VOCs</w:t>
            </w:r>
            <w:r>
              <w:rPr>
                <w:rFonts w:hAnsiTheme="minorEastAsia" w:eastAsiaTheme="minorEastAsia"/>
                <w:sz w:val="24"/>
              </w:rPr>
              <w:t>的排放。末端治理采用的是</w:t>
            </w:r>
            <w:r>
              <w:rPr>
                <w:rFonts w:eastAsiaTheme="minorEastAsia"/>
                <w:sz w:val="24"/>
              </w:rPr>
              <w:t>“</w:t>
            </w:r>
            <w:r>
              <w:rPr>
                <w:rFonts w:hint="eastAsia" w:eastAsiaTheme="minorEastAsia"/>
                <w:sz w:val="24"/>
              </w:rPr>
              <w:t>二级</w:t>
            </w:r>
            <w:r>
              <w:rPr>
                <w:rFonts w:hAnsiTheme="minorEastAsia" w:eastAsiaTheme="minorEastAsia"/>
                <w:sz w:val="24"/>
              </w:rPr>
              <w:t>活性炭吸附</w:t>
            </w:r>
            <w:r>
              <w:rPr>
                <w:rFonts w:eastAsiaTheme="minorEastAsia"/>
                <w:sz w:val="24"/>
              </w:rPr>
              <w:t>”</w:t>
            </w:r>
            <w:r>
              <w:rPr>
                <w:rFonts w:hAnsiTheme="minorEastAsia" w:eastAsiaTheme="minorEastAsia"/>
                <w:sz w:val="24"/>
              </w:rPr>
              <w:t>处理措施，处理后的</w:t>
            </w:r>
            <w:r>
              <w:rPr>
                <w:rFonts w:eastAsiaTheme="minorEastAsia"/>
                <w:sz w:val="24"/>
              </w:rPr>
              <w:t>VOCs</w:t>
            </w:r>
            <w:r>
              <w:rPr>
                <w:rFonts w:hAnsiTheme="minorEastAsia" w:eastAsiaTheme="minorEastAsia"/>
                <w:sz w:val="24"/>
              </w:rPr>
              <w:t>排放浓度和速率满足重庆市《包装印刷业大气污染物排放标准》（</w:t>
            </w:r>
            <w:r>
              <w:rPr>
                <w:rFonts w:eastAsiaTheme="minorEastAsia"/>
                <w:sz w:val="24"/>
              </w:rPr>
              <w:t>DB/50/758-2017</w:t>
            </w:r>
            <w:r>
              <w:rPr>
                <w:rFonts w:hAnsiTheme="minorEastAsia" w:eastAsiaTheme="minorEastAsia"/>
                <w:sz w:val="24"/>
              </w:rPr>
              <w:t>）标准限值，项目根据</w:t>
            </w:r>
            <w:r>
              <w:rPr>
                <w:rFonts w:eastAsiaTheme="minorEastAsia"/>
                <w:sz w:val="24"/>
              </w:rPr>
              <w:t>VOCs</w:t>
            </w:r>
            <w:r>
              <w:rPr>
                <w:rFonts w:hAnsiTheme="minorEastAsia" w:eastAsiaTheme="minorEastAsia"/>
                <w:sz w:val="24"/>
              </w:rPr>
              <w:t>的处理量和活性炭处理能力对活性炭进行定期再生或更换，保证项目废气处理措施的有效运行。</w:t>
            </w:r>
          </w:p>
          <w:p w14:paraId="44E27771">
            <w:pPr>
              <w:adjustRightInd w:val="0"/>
              <w:snapToGrid w:val="0"/>
              <w:spacing w:line="480" w:lineRule="exact"/>
              <w:ind w:firstLine="480" w:firstLineChars="200"/>
              <w:jc w:val="left"/>
              <w:rPr>
                <w:rFonts w:eastAsiaTheme="minorEastAsia"/>
                <w:sz w:val="24"/>
              </w:rPr>
            </w:pPr>
            <w:r>
              <w:rPr>
                <w:rFonts w:hAnsiTheme="minorEastAsia" w:eastAsiaTheme="minorEastAsia"/>
                <w:sz w:val="24"/>
              </w:rPr>
              <w:t>综上，本项目废气收集及处理措施可行。</w:t>
            </w:r>
          </w:p>
          <w:p w14:paraId="68D155E0">
            <w:pPr>
              <w:adjustRightInd w:val="0"/>
              <w:snapToGrid w:val="0"/>
              <w:spacing w:line="480" w:lineRule="exact"/>
              <w:ind w:firstLine="442" w:firstLineChars="200"/>
              <w:rPr>
                <w:rFonts w:eastAsiaTheme="minorEastAsia"/>
                <w:b/>
                <w:bCs/>
                <w:sz w:val="24"/>
              </w:rPr>
            </w:pPr>
            <w:r>
              <w:rPr>
                <w:rFonts w:eastAsiaTheme="minorEastAsia"/>
                <w:b/>
                <w:spacing w:val="-10"/>
                <w:sz w:val="24"/>
              </w:rPr>
              <w:t xml:space="preserve">4.2.2.6 </w:t>
            </w:r>
            <w:r>
              <w:rPr>
                <w:rFonts w:hAnsiTheme="minorEastAsia" w:eastAsiaTheme="minorEastAsia"/>
                <w:b/>
                <w:bCs/>
                <w:sz w:val="24"/>
              </w:rPr>
              <w:t>废气监测计划</w:t>
            </w:r>
          </w:p>
          <w:p w14:paraId="347B5946">
            <w:pPr>
              <w:tabs>
                <w:tab w:val="left" w:pos="8100"/>
              </w:tabs>
              <w:spacing w:line="480" w:lineRule="exact"/>
              <w:ind w:firstLine="480" w:firstLineChars="200"/>
              <w:jc w:val="left"/>
              <w:rPr>
                <w:rFonts w:eastAsiaTheme="minorEastAsia"/>
                <w:szCs w:val="21"/>
              </w:rPr>
            </w:pPr>
            <w:r>
              <w:rPr>
                <w:rFonts w:hAnsiTheme="minorEastAsia" w:eastAsiaTheme="minorEastAsia"/>
                <w:sz w:val="24"/>
              </w:rPr>
              <w:t>根据</w:t>
            </w:r>
            <w:r>
              <w:rPr>
                <w:rFonts w:hint="eastAsia" w:hAnsiTheme="minorEastAsia" w:eastAsiaTheme="minorEastAsia"/>
                <w:sz w:val="24"/>
              </w:rPr>
              <w:t>《</w:t>
            </w:r>
            <w:r>
              <w:rPr>
                <w:rFonts w:hint="eastAsia"/>
                <w:sz w:val="24"/>
              </w:rPr>
              <w:t>排污单位自行监测技术指南 印刷工业</w:t>
            </w:r>
            <w:r>
              <w:rPr>
                <w:rFonts w:hint="eastAsia" w:hAnsiTheme="minorEastAsia" w:eastAsiaTheme="minorEastAsia"/>
                <w:sz w:val="24"/>
              </w:rPr>
              <w:t>》</w:t>
            </w:r>
            <w:r>
              <w:rPr>
                <w:rFonts w:hint="eastAsia"/>
                <w:sz w:val="24"/>
              </w:rPr>
              <w:t>（H</w:t>
            </w:r>
            <w:r>
              <w:rPr>
                <w:sz w:val="24"/>
              </w:rPr>
              <w:t>J1246-2022</w:t>
            </w:r>
            <w:r>
              <w:rPr>
                <w:rFonts w:hint="eastAsia"/>
                <w:sz w:val="24"/>
              </w:rPr>
              <w:t>）</w:t>
            </w:r>
            <w:r>
              <w:rPr>
                <w:rFonts w:hint="eastAsia" w:hAnsiTheme="minorEastAsia" w:eastAsiaTheme="minorEastAsia"/>
                <w:sz w:val="24"/>
              </w:rPr>
              <w:t>、</w:t>
            </w:r>
            <w:r>
              <w:rPr>
                <w:rFonts w:hAnsiTheme="minorEastAsia" w:eastAsiaTheme="minorEastAsia"/>
                <w:sz w:val="24"/>
              </w:rPr>
              <w:t>《排污许可证申请与核发技术规范</w:t>
            </w:r>
            <w:r>
              <w:rPr>
                <w:rFonts w:eastAsiaTheme="minorEastAsia"/>
                <w:sz w:val="24"/>
              </w:rPr>
              <w:t xml:space="preserve"> </w:t>
            </w:r>
            <w:r>
              <w:rPr>
                <w:rFonts w:hAnsiTheme="minorEastAsia" w:eastAsiaTheme="minorEastAsia"/>
                <w:sz w:val="24"/>
              </w:rPr>
              <w:t>印刷工业》</w:t>
            </w:r>
            <w:r>
              <w:rPr>
                <w:rFonts w:eastAsiaTheme="minorEastAsia"/>
                <w:sz w:val="24"/>
              </w:rPr>
              <w:t>(HJ 1066-2019)</w:t>
            </w:r>
            <w:r>
              <w:rPr>
                <w:rFonts w:hAnsiTheme="minorEastAsia" w:eastAsiaTheme="minorEastAsia"/>
                <w:sz w:val="24"/>
              </w:rPr>
              <w:t>等相关规范要求相关规范要求</w:t>
            </w:r>
            <w:r>
              <w:rPr>
                <w:rFonts w:hAnsiTheme="minorEastAsia" w:eastAsiaTheme="minorEastAsia"/>
                <w:bCs/>
                <w:sz w:val="24"/>
              </w:rPr>
              <w:t>，</w:t>
            </w:r>
            <w:r>
              <w:rPr>
                <w:rFonts w:hAnsiTheme="minorEastAsia" w:eastAsiaTheme="minorEastAsia"/>
                <w:sz w:val="24"/>
              </w:rPr>
              <w:t>对企业制定监测计划，企业应定期报送有关监测数据，建立污染源监测档案，监测数据保存至少</w:t>
            </w:r>
            <w:r>
              <w:rPr>
                <w:rFonts w:eastAsiaTheme="minorEastAsia"/>
                <w:sz w:val="24"/>
              </w:rPr>
              <w:t>3</w:t>
            </w:r>
            <w:r>
              <w:rPr>
                <w:rFonts w:hAnsiTheme="minorEastAsia" w:eastAsiaTheme="minorEastAsia"/>
                <w:sz w:val="24"/>
              </w:rPr>
              <w:t>年。</w:t>
            </w:r>
            <w:r>
              <w:rPr>
                <w:rFonts w:hAnsiTheme="minorEastAsia" w:eastAsiaTheme="minorEastAsia"/>
                <w:bCs/>
                <w:sz w:val="24"/>
              </w:rPr>
              <w:t>废气监测计划见表</w:t>
            </w:r>
            <w:r>
              <w:rPr>
                <w:rFonts w:eastAsiaTheme="minorEastAsia"/>
                <w:bCs/>
                <w:sz w:val="24"/>
              </w:rPr>
              <w:t>4</w:t>
            </w:r>
            <w:r>
              <w:rPr>
                <w:rFonts w:hint="eastAsia" w:eastAsiaTheme="minorEastAsia"/>
                <w:bCs/>
                <w:sz w:val="24"/>
              </w:rPr>
              <w:t>.2-13</w:t>
            </w:r>
            <w:r>
              <w:rPr>
                <w:rFonts w:hAnsiTheme="minorEastAsia" w:eastAsiaTheme="minorEastAsia"/>
                <w:bCs/>
                <w:sz w:val="24"/>
              </w:rPr>
              <w:t>。</w:t>
            </w:r>
          </w:p>
          <w:p w14:paraId="1865C3FA">
            <w:pPr>
              <w:pStyle w:val="17"/>
              <w:spacing w:before="0" w:after="0" w:line="240" w:lineRule="auto"/>
              <w:rPr>
                <w:rFonts w:ascii="Times New Roman" w:hAnsi="Times New Roman" w:eastAsia="宋体"/>
                <w:sz w:val="21"/>
                <w:szCs w:val="21"/>
              </w:rPr>
            </w:pPr>
            <w:r>
              <w:rPr>
                <w:rFonts w:ascii="Times New Roman" w:hAnsi="宋体" w:eastAsia="宋体"/>
                <w:sz w:val="21"/>
                <w:szCs w:val="21"/>
              </w:rPr>
              <w:t>表</w:t>
            </w:r>
            <w:r>
              <w:rPr>
                <w:rFonts w:hint="eastAsia" w:ascii="Times New Roman" w:hAnsi="Times New Roman" w:eastAsia="宋体"/>
                <w:sz w:val="21"/>
                <w:szCs w:val="21"/>
              </w:rPr>
              <w:t>4.2-13</w:t>
            </w:r>
            <w:r>
              <w:rPr>
                <w:rFonts w:ascii="Times New Roman" w:hAnsi="Times New Roman" w:eastAsia="宋体"/>
                <w:sz w:val="21"/>
                <w:szCs w:val="21"/>
              </w:rPr>
              <w:t xml:space="preserve">  </w:t>
            </w:r>
            <w:r>
              <w:rPr>
                <w:rFonts w:ascii="Times New Roman" w:hAnsi="宋体" w:eastAsia="宋体"/>
                <w:sz w:val="21"/>
                <w:szCs w:val="21"/>
              </w:rPr>
              <w:t>项目</w:t>
            </w:r>
            <w:r>
              <w:rPr>
                <w:rFonts w:hint="eastAsia" w:ascii="Times New Roman" w:hAnsi="宋体" w:eastAsia="宋体"/>
                <w:sz w:val="21"/>
                <w:szCs w:val="21"/>
              </w:rPr>
              <w:t>废气</w:t>
            </w:r>
            <w:r>
              <w:rPr>
                <w:rFonts w:ascii="Times New Roman" w:hAnsi="宋体" w:eastAsia="宋体"/>
                <w:sz w:val="21"/>
                <w:szCs w:val="21"/>
              </w:rPr>
              <w:t>环境监测计划一览表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995"/>
              <w:gridCol w:w="2973"/>
              <w:gridCol w:w="1858"/>
            </w:tblGrid>
            <w:tr w14:paraId="082F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1072" w:type="pct"/>
                  <w:tcMar>
                    <w:top w:w="28" w:type="dxa"/>
                    <w:left w:w="28" w:type="dxa"/>
                    <w:bottom w:w="28" w:type="dxa"/>
                    <w:right w:w="28" w:type="dxa"/>
                  </w:tcMar>
                  <w:vAlign w:val="center"/>
                </w:tcPr>
                <w:p w14:paraId="63A4E44C">
                  <w:pPr>
                    <w:pStyle w:val="94"/>
                    <w:spacing w:line="240" w:lineRule="auto"/>
                    <w:rPr>
                      <w:szCs w:val="21"/>
                    </w:rPr>
                  </w:pPr>
                  <w:r>
                    <w:rPr>
                      <w:rFonts w:hAnsi="宋体"/>
                      <w:szCs w:val="21"/>
                    </w:rPr>
                    <w:t>监测位置</w:t>
                  </w:r>
                </w:p>
              </w:tc>
              <w:tc>
                <w:tcPr>
                  <w:tcW w:w="1148" w:type="pct"/>
                  <w:tcMar>
                    <w:top w:w="28" w:type="dxa"/>
                    <w:left w:w="28" w:type="dxa"/>
                    <w:bottom w:w="28" w:type="dxa"/>
                    <w:right w:w="28" w:type="dxa"/>
                  </w:tcMar>
                  <w:vAlign w:val="center"/>
                </w:tcPr>
                <w:p w14:paraId="69E10940">
                  <w:pPr>
                    <w:pStyle w:val="94"/>
                    <w:spacing w:line="240" w:lineRule="auto"/>
                    <w:rPr>
                      <w:szCs w:val="21"/>
                    </w:rPr>
                  </w:pPr>
                  <w:r>
                    <w:rPr>
                      <w:rFonts w:hAnsi="宋体"/>
                      <w:szCs w:val="21"/>
                    </w:rPr>
                    <w:t>监测因子</w:t>
                  </w:r>
                </w:p>
              </w:tc>
              <w:tc>
                <w:tcPr>
                  <w:tcW w:w="1711" w:type="pct"/>
                  <w:tcMar>
                    <w:top w:w="28" w:type="dxa"/>
                    <w:left w:w="28" w:type="dxa"/>
                    <w:bottom w:w="28" w:type="dxa"/>
                    <w:right w:w="28" w:type="dxa"/>
                  </w:tcMar>
                  <w:vAlign w:val="center"/>
                </w:tcPr>
                <w:p w14:paraId="0AFD804D">
                  <w:pPr>
                    <w:pStyle w:val="94"/>
                    <w:spacing w:line="240" w:lineRule="auto"/>
                    <w:rPr>
                      <w:szCs w:val="21"/>
                    </w:rPr>
                  </w:pPr>
                  <w:r>
                    <w:rPr>
                      <w:rFonts w:hAnsi="宋体"/>
                      <w:szCs w:val="21"/>
                    </w:rPr>
                    <w:t>执行标准</w:t>
                  </w:r>
                </w:p>
              </w:tc>
              <w:tc>
                <w:tcPr>
                  <w:tcW w:w="1069" w:type="pct"/>
                  <w:tcMar>
                    <w:top w:w="28" w:type="dxa"/>
                    <w:left w:w="28" w:type="dxa"/>
                    <w:bottom w:w="28" w:type="dxa"/>
                    <w:right w:w="28" w:type="dxa"/>
                  </w:tcMar>
                  <w:vAlign w:val="center"/>
                </w:tcPr>
                <w:p w14:paraId="7D303279">
                  <w:pPr>
                    <w:pStyle w:val="94"/>
                    <w:spacing w:line="240" w:lineRule="auto"/>
                    <w:rPr>
                      <w:szCs w:val="21"/>
                    </w:rPr>
                  </w:pPr>
                  <w:r>
                    <w:rPr>
                      <w:rFonts w:hAnsi="宋体"/>
                      <w:szCs w:val="21"/>
                    </w:rPr>
                    <w:t>监测频次</w:t>
                  </w:r>
                </w:p>
              </w:tc>
            </w:tr>
            <w:tr w14:paraId="19F4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1072" w:type="pct"/>
                  <w:tcMar>
                    <w:top w:w="28" w:type="dxa"/>
                    <w:left w:w="28" w:type="dxa"/>
                    <w:bottom w:w="28" w:type="dxa"/>
                    <w:right w:w="28" w:type="dxa"/>
                  </w:tcMar>
                  <w:vAlign w:val="center"/>
                </w:tcPr>
                <w:p w14:paraId="60477466">
                  <w:pPr>
                    <w:pStyle w:val="94"/>
                    <w:spacing w:line="240" w:lineRule="auto"/>
                    <w:rPr>
                      <w:szCs w:val="21"/>
                    </w:rPr>
                  </w:pPr>
                  <w:r>
                    <w:rPr>
                      <w:szCs w:val="21"/>
                    </w:rPr>
                    <w:t>1#</w:t>
                  </w:r>
                  <w:r>
                    <w:rPr>
                      <w:rFonts w:hAnsi="宋体"/>
                      <w:szCs w:val="21"/>
                    </w:rPr>
                    <w:t>排气筒出口</w:t>
                  </w:r>
                </w:p>
              </w:tc>
              <w:tc>
                <w:tcPr>
                  <w:tcW w:w="1148" w:type="pct"/>
                  <w:tcMar>
                    <w:top w:w="28" w:type="dxa"/>
                    <w:left w:w="28" w:type="dxa"/>
                    <w:bottom w:w="28" w:type="dxa"/>
                    <w:right w:w="28" w:type="dxa"/>
                  </w:tcMar>
                  <w:vAlign w:val="center"/>
                </w:tcPr>
                <w:p w14:paraId="3B1EB0AD">
                  <w:pPr>
                    <w:pStyle w:val="94"/>
                    <w:spacing w:line="240" w:lineRule="auto"/>
                    <w:rPr>
                      <w:szCs w:val="21"/>
                    </w:rPr>
                  </w:pPr>
                  <w:r>
                    <w:rPr>
                      <w:rFonts w:hAnsi="宋体"/>
                      <w:szCs w:val="21"/>
                    </w:rPr>
                    <w:t>非甲烷总烃</w:t>
                  </w:r>
                </w:p>
              </w:tc>
              <w:tc>
                <w:tcPr>
                  <w:tcW w:w="1711" w:type="pct"/>
                  <w:tcMar>
                    <w:top w:w="28" w:type="dxa"/>
                    <w:left w:w="28" w:type="dxa"/>
                    <w:bottom w:w="28" w:type="dxa"/>
                    <w:right w:w="28" w:type="dxa"/>
                  </w:tcMar>
                  <w:vAlign w:val="center"/>
                </w:tcPr>
                <w:p w14:paraId="47B257F4">
                  <w:pPr>
                    <w:snapToGrid w:val="0"/>
                    <w:jc w:val="center"/>
                    <w:rPr>
                      <w:szCs w:val="21"/>
                    </w:rPr>
                  </w:pPr>
                  <w:r>
                    <w:rPr>
                      <w:rFonts w:hAnsi="宋体"/>
                      <w:szCs w:val="21"/>
                    </w:rPr>
                    <w:t>《包装印刷业大气污染物排放标准》</w:t>
                  </w:r>
                  <w:r>
                    <w:rPr>
                      <w:szCs w:val="21"/>
                    </w:rPr>
                    <w:t>(DB50/758</w:t>
                  </w:r>
                </w:p>
                <w:p w14:paraId="78FEDAF8">
                  <w:pPr>
                    <w:pStyle w:val="94"/>
                    <w:spacing w:line="240" w:lineRule="auto"/>
                    <w:rPr>
                      <w:szCs w:val="21"/>
                    </w:rPr>
                  </w:pPr>
                  <w:r>
                    <w:rPr>
                      <w:szCs w:val="21"/>
                    </w:rPr>
                    <w:t xml:space="preserve">-2017) </w:t>
                  </w:r>
                </w:p>
              </w:tc>
              <w:tc>
                <w:tcPr>
                  <w:tcW w:w="1069" w:type="pct"/>
                  <w:tcMar>
                    <w:top w:w="28" w:type="dxa"/>
                    <w:left w:w="28" w:type="dxa"/>
                    <w:bottom w:w="28" w:type="dxa"/>
                    <w:right w:w="28" w:type="dxa"/>
                  </w:tcMar>
                  <w:vAlign w:val="center"/>
                </w:tcPr>
                <w:p w14:paraId="02A8CEE1">
                  <w:pPr>
                    <w:pStyle w:val="94"/>
                    <w:spacing w:line="240" w:lineRule="auto"/>
                    <w:rPr>
                      <w:szCs w:val="21"/>
                    </w:rPr>
                  </w:pPr>
                  <w:r>
                    <w:rPr>
                      <w:rFonts w:hint="eastAsia"/>
                      <w:szCs w:val="21"/>
                    </w:rPr>
                    <w:t>1次/年</w:t>
                  </w:r>
                </w:p>
              </w:tc>
            </w:tr>
            <w:tr w14:paraId="5167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1072" w:type="pct"/>
                  <w:tcMar>
                    <w:top w:w="28" w:type="dxa"/>
                    <w:left w:w="28" w:type="dxa"/>
                    <w:bottom w:w="28" w:type="dxa"/>
                    <w:right w:w="28" w:type="dxa"/>
                  </w:tcMar>
                  <w:vAlign w:val="center"/>
                </w:tcPr>
                <w:p w14:paraId="0385134B">
                  <w:pPr>
                    <w:pStyle w:val="94"/>
                    <w:spacing w:line="240" w:lineRule="auto"/>
                    <w:rPr>
                      <w:szCs w:val="21"/>
                    </w:rPr>
                  </w:pPr>
                  <w:r>
                    <w:rPr>
                      <w:rFonts w:hAnsi="宋体"/>
                      <w:szCs w:val="21"/>
                    </w:rPr>
                    <w:t>食堂油烟排气筒</w:t>
                  </w:r>
                </w:p>
              </w:tc>
              <w:tc>
                <w:tcPr>
                  <w:tcW w:w="1148" w:type="pct"/>
                  <w:tcMar>
                    <w:top w:w="28" w:type="dxa"/>
                    <w:left w:w="28" w:type="dxa"/>
                    <w:bottom w:w="28" w:type="dxa"/>
                    <w:right w:w="28" w:type="dxa"/>
                  </w:tcMar>
                  <w:vAlign w:val="center"/>
                </w:tcPr>
                <w:p w14:paraId="58ED59DD">
                  <w:pPr>
                    <w:pStyle w:val="94"/>
                    <w:spacing w:line="240" w:lineRule="auto"/>
                    <w:rPr>
                      <w:szCs w:val="21"/>
                    </w:rPr>
                  </w:pPr>
                  <w:r>
                    <w:rPr>
                      <w:rFonts w:hAnsi="宋体"/>
                      <w:szCs w:val="21"/>
                    </w:rPr>
                    <w:t>油烟、非甲烷总烃</w:t>
                  </w:r>
                </w:p>
              </w:tc>
              <w:tc>
                <w:tcPr>
                  <w:tcW w:w="1711" w:type="pct"/>
                  <w:tcMar>
                    <w:top w:w="28" w:type="dxa"/>
                    <w:left w:w="28" w:type="dxa"/>
                    <w:bottom w:w="28" w:type="dxa"/>
                    <w:right w:w="28" w:type="dxa"/>
                  </w:tcMar>
                  <w:vAlign w:val="center"/>
                </w:tcPr>
                <w:p w14:paraId="146B9593">
                  <w:pPr>
                    <w:pStyle w:val="94"/>
                    <w:spacing w:line="240" w:lineRule="auto"/>
                    <w:rPr>
                      <w:szCs w:val="21"/>
                    </w:rPr>
                  </w:pPr>
                  <w:r>
                    <w:rPr>
                      <w:rFonts w:hAnsi="宋体"/>
                      <w:szCs w:val="21"/>
                    </w:rPr>
                    <w:t>《餐饮业大气污染物排放标准》</w:t>
                  </w:r>
                  <w:r>
                    <w:rPr>
                      <w:szCs w:val="21"/>
                    </w:rPr>
                    <w:t>(DB50/859-2018)</w:t>
                  </w:r>
                </w:p>
              </w:tc>
              <w:tc>
                <w:tcPr>
                  <w:tcW w:w="1069" w:type="pct"/>
                  <w:tcMar>
                    <w:top w:w="28" w:type="dxa"/>
                    <w:left w:w="28" w:type="dxa"/>
                    <w:bottom w:w="28" w:type="dxa"/>
                    <w:right w:w="28" w:type="dxa"/>
                  </w:tcMar>
                  <w:vAlign w:val="center"/>
                </w:tcPr>
                <w:p w14:paraId="43246F70">
                  <w:pPr>
                    <w:pStyle w:val="94"/>
                    <w:spacing w:line="240" w:lineRule="auto"/>
                    <w:rPr>
                      <w:szCs w:val="21"/>
                    </w:rPr>
                  </w:pPr>
                  <w:r>
                    <w:rPr>
                      <w:rFonts w:hint="eastAsia"/>
                      <w:szCs w:val="21"/>
                    </w:rPr>
                    <w:t>1次/年</w:t>
                  </w:r>
                </w:p>
              </w:tc>
            </w:tr>
            <w:tr w14:paraId="4712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1072" w:type="pct"/>
                  <w:vMerge w:val="restart"/>
                  <w:tcMar>
                    <w:top w:w="28" w:type="dxa"/>
                    <w:left w:w="28" w:type="dxa"/>
                    <w:bottom w:w="28" w:type="dxa"/>
                    <w:right w:w="28" w:type="dxa"/>
                  </w:tcMar>
                  <w:vAlign w:val="center"/>
                </w:tcPr>
                <w:p w14:paraId="5689E04C">
                  <w:pPr>
                    <w:pStyle w:val="94"/>
                    <w:spacing w:line="240" w:lineRule="auto"/>
                    <w:rPr>
                      <w:szCs w:val="21"/>
                    </w:rPr>
                  </w:pPr>
                  <w:r>
                    <w:rPr>
                      <w:rFonts w:hAnsi="宋体"/>
                      <w:szCs w:val="21"/>
                    </w:rPr>
                    <w:t>企业厂界下风向最高浓度处</w:t>
                  </w:r>
                </w:p>
              </w:tc>
              <w:tc>
                <w:tcPr>
                  <w:tcW w:w="1148" w:type="pct"/>
                  <w:tcMar>
                    <w:top w:w="28" w:type="dxa"/>
                    <w:left w:w="28" w:type="dxa"/>
                    <w:bottom w:w="28" w:type="dxa"/>
                    <w:right w:w="28" w:type="dxa"/>
                  </w:tcMar>
                  <w:vAlign w:val="center"/>
                </w:tcPr>
                <w:p w14:paraId="7FD8C0C0">
                  <w:pPr>
                    <w:pStyle w:val="94"/>
                    <w:spacing w:line="240" w:lineRule="auto"/>
                    <w:rPr>
                      <w:szCs w:val="21"/>
                    </w:rPr>
                  </w:pPr>
                  <w:r>
                    <w:rPr>
                      <w:rFonts w:hAnsi="宋体"/>
                      <w:szCs w:val="21"/>
                    </w:rPr>
                    <w:t>非甲烷总烃</w:t>
                  </w:r>
                </w:p>
              </w:tc>
              <w:tc>
                <w:tcPr>
                  <w:tcW w:w="1711" w:type="pct"/>
                  <w:tcMar>
                    <w:top w:w="28" w:type="dxa"/>
                    <w:left w:w="28" w:type="dxa"/>
                    <w:bottom w:w="28" w:type="dxa"/>
                    <w:right w:w="28" w:type="dxa"/>
                  </w:tcMar>
                  <w:vAlign w:val="center"/>
                </w:tcPr>
                <w:p w14:paraId="036E7AFD">
                  <w:pPr>
                    <w:pStyle w:val="94"/>
                    <w:spacing w:line="240" w:lineRule="auto"/>
                    <w:rPr>
                      <w:szCs w:val="21"/>
                    </w:rPr>
                  </w:pPr>
                  <w:r>
                    <w:rPr>
                      <w:rFonts w:hAnsi="宋体"/>
                      <w:bCs/>
                      <w:szCs w:val="21"/>
                    </w:rPr>
                    <w:t>《包装印刷业大气污染物排放标》（</w:t>
                  </w:r>
                  <w:r>
                    <w:rPr>
                      <w:bCs/>
                      <w:szCs w:val="21"/>
                    </w:rPr>
                    <w:t>DB/50/758-2017</w:t>
                  </w:r>
                  <w:r>
                    <w:rPr>
                      <w:rFonts w:hAnsi="宋体"/>
                      <w:bCs/>
                      <w:szCs w:val="21"/>
                    </w:rPr>
                    <w:t>）</w:t>
                  </w:r>
                </w:p>
              </w:tc>
              <w:tc>
                <w:tcPr>
                  <w:tcW w:w="1069" w:type="pct"/>
                  <w:tcMar>
                    <w:top w:w="28" w:type="dxa"/>
                    <w:left w:w="28" w:type="dxa"/>
                    <w:bottom w:w="28" w:type="dxa"/>
                    <w:right w:w="28" w:type="dxa"/>
                  </w:tcMar>
                  <w:vAlign w:val="center"/>
                </w:tcPr>
                <w:p w14:paraId="378F46F1">
                  <w:pPr>
                    <w:pStyle w:val="94"/>
                    <w:spacing w:line="240" w:lineRule="auto"/>
                    <w:rPr>
                      <w:szCs w:val="21"/>
                    </w:rPr>
                  </w:pPr>
                  <w:r>
                    <w:rPr>
                      <w:rFonts w:hint="eastAsia"/>
                      <w:szCs w:val="21"/>
                    </w:rPr>
                    <w:t>1次/年</w:t>
                  </w:r>
                </w:p>
              </w:tc>
            </w:tr>
            <w:tr w14:paraId="2190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1072" w:type="pct"/>
                  <w:vMerge w:val="continue"/>
                  <w:tcMar>
                    <w:top w:w="28" w:type="dxa"/>
                    <w:left w:w="28" w:type="dxa"/>
                    <w:bottom w:w="28" w:type="dxa"/>
                    <w:right w:w="28" w:type="dxa"/>
                  </w:tcMar>
                  <w:vAlign w:val="center"/>
                </w:tcPr>
                <w:p w14:paraId="7C1D0DAA">
                  <w:pPr>
                    <w:pStyle w:val="94"/>
                    <w:spacing w:line="240" w:lineRule="auto"/>
                    <w:rPr>
                      <w:szCs w:val="21"/>
                    </w:rPr>
                  </w:pPr>
                </w:p>
              </w:tc>
              <w:tc>
                <w:tcPr>
                  <w:tcW w:w="1148" w:type="pct"/>
                  <w:tcMar>
                    <w:top w:w="28" w:type="dxa"/>
                    <w:left w:w="28" w:type="dxa"/>
                    <w:bottom w:w="28" w:type="dxa"/>
                    <w:right w:w="28" w:type="dxa"/>
                  </w:tcMar>
                  <w:vAlign w:val="center"/>
                </w:tcPr>
                <w:p w14:paraId="207D3990">
                  <w:pPr>
                    <w:pStyle w:val="94"/>
                    <w:spacing w:line="240" w:lineRule="auto"/>
                    <w:rPr>
                      <w:szCs w:val="21"/>
                    </w:rPr>
                  </w:pPr>
                  <w:r>
                    <w:rPr>
                      <w:rFonts w:hAnsi="宋体"/>
                      <w:szCs w:val="21"/>
                    </w:rPr>
                    <w:t>颗粒物</w:t>
                  </w:r>
                </w:p>
              </w:tc>
              <w:tc>
                <w:tcPr>
                  <w:tcW w:w="1711" w:type="pct"/>
                  <w:tcMar>
                    <w:top w:w="28" w:type="dxa"/>
                    <w:left w:w="28" w:type="dxa"/>
                    <w:bottom w:w="28" w:type="dxa"/>
                    <w:right w:w="28" w:type="dxa"/>
                  </w:tcMar>
                  <w:vAlign w:val="center"/>
                </w:tcPr>
                <w:p w14:paraId="01CD0203">
                  <w:pPr>
                    <w:pStyle w:val="94"/>
                    <w:spacing w:line="240" w:lineRule="auto"/>
                    <w:rPr>
                      <w:szCs w:val="21"/>
                    </w:rPr>
                  </w:pPr>
                  <w:r>
                    <w:rPr>
                      <w:rFonts w:hAnsi="宋体"/>
                      <w:szCs w:val="21"/>
                    </w:rPr>
                    <w:t>《大气污染物综合排放标准》（</w:t>
                  </w:r>
                  <w:r>
                    <w:rPr>
                      <w:szCs w:val="21"/>
                    </w:rPr>
                    <w:t>DB50/418-2016</w:t>
                  </w:r>
                  <w:r>
                    <w:rPr>
                      <w:rFonts w:hAnsi="宋体"/>
                      <w:szCs w:val="21"/>
                    </w:rPr>
                    <w:t>）</w:t>
                  </w:r>
                </w:p>
              </w:tc>
              <w:tc>
                <w:tcPr>
                  <w:tcW w:w="1069" w:type="pct"/>
                  <w:tcMar>
                    <w:top w:w="28" w:type="dxa"/>
                    <w:left w:w="28" w:type="dxa"/>
                    <w:bottom w:w="28" w:type="dxa"/>
                    <w:right w:w="28" w:type="dxa"/>
                  </w:tcMar>
                  <w:vAlign w:val="center"/>
                </w:tcPr>
                <w:p w14:paraId="4B5F0908">
                  <w:pPr>
                    <w:pStyle w:val="94"/>
                    <w:spacing w:line="240" w:lineRule="auto"/>
                    <w:rPr>
                      <w:szCs w:val="21"/>
                    </w:rPr>
                  </w:pPr>
                  <w:r>
                    <w:rPr>
                      <w:rFonts w:hint="eastAsia"/>
                      <w:szCs w:val="21"/>
                    </w:rPr>
                    <w:t>1次/年</w:t>
                  </w:r>
                </w:p>
              </w:tc>
            </w:tr>
            <w:tr w14:paraId="4837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1072" w:type="pct"/>
                  <w:vMerge w:val="continue"/>
                  <w:tcMar>
                    <w:top w:w="28" w:type="dxa"/>
                    <w:left w:w="28" w:type="dxa"/>
                    <w:bottom w:w="28" w:type="dxa"/>
                    <w:right w:w="28" w:type="dxa"/>
                  </w:tcMar>
                  <w:vAlign w:val="center"/>
                </w:tcPr>
                <w:p w14:paraId="091E1312">
                  <w:pPr>
                    <w:pStyle w:val="94"/>
                    <w:spacing w:line="240" w:lineRule="auto"/>
                    <w:rPr>
                      <w:szCs w:val="21"/>
                    </w:rPr>
                  </w:pPr>
                </w:p>
              </w:tc>
              <w:tc>
                <w:tcPr>
                  <w:tcW w:w="1148" w:type="pct"/>
                  <w:tcMar>
                    <w:top w:w="28" w:type="dxa"/>
                    <w:left w:w="28" w:type="dxa"/>
                    <w:bottom w:w="28" w:type="dxa"/>
                    <w:right w:w="28" w:type="dxa"/>
                  </w:tcMar>
                  <w:vAlign w:val="center"/>
                </w:tcPr>
                <w:p w14:paraId="2DE20804">
                  <w:pPr>
                    <w:pStyle w:val="94"/>
                    <w:spacing w:line="240" w:lineRule="auto"/>
                    <w:rPr>
                      <w:rFonts w:hAnsi="宋体"/>
                      <w:szCs w:val="21"/>
                    </w:rPr>
                  </w:pPr>
                  <w:r>
                    <w:rPr>
                      <w:rFonts w:hint="eastAsia" w:hAnsi="宋体"/>
                      <w:szCs w:val="21"/>
                    </w:rPr>
                    <w:t>臭气浓度</w:t>
                  </w:r>
                </w:p>
              </w:tc>
              <w:tc>
                <w:tcPr>
                  <w:tcW w:w="1711" w:type="pct"/>
                  <w:tcMar>
                    <w:top w:w="28" w:type="dxa"/>
                    <w:left w:w="28" w:type="dxa"/>
                    <w:bottom w:w="28" w:type="dxa"/>
                    <w:right w:w="28" w:type="dxa"/>
                  </w:tcMar>
                  <w:vAlign w:val="center"/>
                </w:tcPr>
                <w:p w14:paraId="377A7585">
                  <w:pPr>
                    <w:pStyle w:val="94"/>
                    <w:spacing w:line="240" w:lineRule="auto"/>
                    <w:rPr>
                      <w:rFonts w:hAnsi="宋体"/>
                      <w:szCs w:val="21"/>
                    </w:rPr>
                  </w:pPr>
                  <w:r>
                    <w:rPr>
                      <w:szCs w:val="21"/>
                    </w:rPr>
                    <w:t>《</w:t>
                  </w:r>
                  <w:r>
                    <w:rPr>
                      <w:rFonts w:hint="eastAsia"/>
                      <w:szCs w:val="21"/>
                    </w:rPr>
                    <w:t>恶臭</w:t>
                  </w:r>
                  <w:r>
                    <w:rPr>
                      <w:szCs w:val="21"/>
                    </w:rPr>
                    <w:t>污染</w:t>
                  </w:r>
                  <w:r>
                    <w:rPr>
                      <w:rFonts w:hint="eastAsia"/>
                      <w:szCs w:val="21"/>
                    </w:rPr>
                    <w:t>物</w:t>
                  </w:r>
                  <w:r>
                    <w:rPr>
                      <w:szCs w:val="21"/>
                    </w:rPr>
                    <w:t>排放标准》(GB</w:t>
                  </w:r>
                  <w:r>
                    <w:rPr>
                      <w:rFonts w:hint="eastAsia"/>
                      <w:szCs w:val="21"/>
                    </w:rPr>
                    <w:t>14554</w:t>
                  </w:r>
                  <w:r>
                    <w:rPr>
                      <w:szCs w:val="21"/>
                    </w:rPr>
                    <w:t>-</w:t>
                  </w:r>
                  <w:r>
                    <w:rPr>
                      <w:rFonts w:hint="eastAsia"/>
                      <w:szCs w:val="21"/>
                    </w:rPr>
                    <w:t>93</w:t>
                  </w:r>
                  <w:r>
                    <w:rPr>
                      <w:szCs w:val="21"/>
                    </w:rPr>
                    <w:t>)</w:t>
                  </w:r>
                </w:p>
              </w:tc>
              <w:tc>
                <w:tcPr>
                  <w:tcW w:w="1069" w:type="pct"/>
                  <w:tcMar>
                    <w:top w:w="28" w:type="dxa"/>
                    <w:left w:w="28" w:type="dxa"/>
                    <w:bottom w:w="28" w:type="dxa"/>
                    <w:right w:w="28" w:type="dxa"/>
                  </w:tcMar>
                  <w:vAlign w:val="center"/>
                </w:tcPr>
                <w:p w14:paraId="249BF64F">
                  <w:pPr>
                    <w:pStyle w:val="94"/>
                    <w:spacing w:line="240" w:lineRule="auto"/>
                    <w:rPr>
                      <w:szCs w:val="21"/>
                    </w:rPr>
                  </w:pPr>
                  <w:r>
                    <w:rPr>
                      <w:rFonts w:hint="eastAsia"/>
                      <w:szCs w:val="21"/>
                    </w:rPr>
                    <w:t>1次/年</w:t>
                  </w:r>
                </w:p>
              </w:tc>
            </w:tr>
            <w:tr w14:paraId="2080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blHeader/>
                <w:jc w:val="center"/>
              </w:trPr>
              <w:tc>
                <w:tcPr>
                  <w:tcW w:w="1072" w:type="pct"/>
                  <w:tcMar>
                    <w:top w:w="28" w:type="dxa"/>
                    <w:left w:w="28" w:type="dxa"/>
                    <w:bottom w:w="28" w:type="dxa"/>
                    <w:right w:w="28" w:type="dxa"/>
                  </w:tcMar>
                  <w:vAlign w:val="center"/>
                </w:tcPr>
                <w:p w14:paraId="40102834">
                  <w:pPr>
                    <w:pStyle w:val="94"/>
                    <w:spacing w:line="240" w:lineRule="auto"/>
                    <w:rPr>
                      <w:szCs w:val="21"/>
                    </w:rPr>
                  </w:pPr>
                  <w:r>
                    <w:rPr>
                      <w:rFonts w:hint="eastAsia"/>
                      <w:szCs w:val="21"/>
                    </w:rPr>
                    <w:t>印刷生产场所</w:t>
                  </w:r>
                </w:p>
              </w:tc>
              <w:tc>
                <w:tcPr>
                  <w:tcW w:w="1148" w:type="pct"/>
                  <w:tcMar>
                    <w:top w:w="28" w:type="dxa"/>
                    <w:left w:w="28" w:type="dxa"/>
                    <w:bottom w:w="28" w:type="dxa"/>
                    <w:right w:w="28" w:type="dxa"/>
                  </w:tcMar>
                  <w:vAlign w:val="center"/>
                </w:tcPr>
                <w:p w14:paraId="36F3C3B4">
                  <w:pPr>
                    <w:pStyle w:val="94"/>
                    <w:spacing w:line="240" w:lineRule="auto"/>
                    <w:rPr>
                      <w:rFonts w:hAnsi="宋体"/>
                      <w:szCs w:val="21"/>
                    </w:rPr>
                  </w:pPr>
                  <w:r>
                    <w:rPr>
                      <w:rFonts w:hint="eastAsia" w:hAnsi="宋体"/>
                      <w:szCs w:val="21"/>
                    </w:rPr>
                    <w:t>非甲烷总烃</w:t>
                  </w:r>
                </w:p>
              </w:tc>
              <w:tc>
                <w:tcPr>
                  <w:tcW w:w="1711" w:type="pct"/>
                  <w:tcMar>
                    <w:top w:w="28" w:type="dxa"/>
                    <w:left w:w="28" w:type="dxa"/>
                    <w:bottom w:w="28" w:type="dxa"/>
                    <w:right w:w="28" w:type="dxa"/>
                  </w:tcMar>
                  <w:vAlign w:val="center"/>
                </w:tcPr>
                <w:p w14:paraId="322642F5">
                  <w:pPr>
                    <w:pStyle w:val="94"/>
                    <w:spacing w:line="240" w:lineRule="auto"/>
                    <w:rPr>
                      <w:rFonts w:hAnsi="宋体"/>
                      <w:szCs w:val="21"/>
                    </w:rPr>
                  </w:pPr>
                  <w:r>
                    <w:rPr>
                      <w:rFonts w:hAnsi="宋体"/>
                      <w:bCs/>
                      <w:szCs w:val="21"/>
                    </w:rPr>
                    <w:t>《包装印刷业大气污染物排放标》（</w:t>
                  </w:r>
                  <w:r>
                    <w:rPr>
                      <w:bCs/>
                      <w:szCs w:val="21"/>
                    </w:rPr>
                    <w:t>DB/50/758-2017</w:t>
                  </w:r>
                  <w:r>
                    <w:rPr>
                      <w:rFonts w:hAnsi="宋体"/>
                      <w:bCs/>
                      <w:szCs w:val="21"/>
                    </w:rPr>
                    <w:t>）</w:t>
                  </w:r>
                </w:p>
              </w:tc>
              <w:tc>
                <w:tcPr>
                  <w:tcW w:w="1069" w:type="pct"/>
                  <w:tcMar>
                    <w:top w:w="28" w:type="dxa"/>
                    <w:left w:w="28" w:type="dxa"/>
                    <w:bottom w:w="28" w:type="dxa"/>
                    <w:right w:w="28" w:type="dxa"/>
                  </w:tcMar>
                  <w:vAlign w:val="center"/>
                </w:tcPr>
                <w:p w14:paraId="2EE464CF">
                  <w:pPr>
                    <w:pStyle w:val="94"/>
                    <w:spacing w:line="240" w:lineRule="auto"/>
                    <w:rPr>
                      <w:szCs w:val="21"/>
                    </w:rPr>
                  </w:pPr>
                  <w:r>
                    <w:rPr>
                      <w:rFonts w:hint="eastAsia"/>
                      <w:szCs w:val="21"/>
                    </w:rPr>
                    <w:t>1次/年</w:t>
                  </w:r>
                </w:p>
              </w:tc>
            </w:tr>
          </w:tbl>
          <w:p w14:paraId="136831ED">
            <w:pPr>
              <w:adjustRightInd w:val="0"/>
              <w:snapToGrid w:val="0"/>
              <w:spacing w:line="440" w:lineRule="exact"/>
              <w:rPr>
                <w:b/>
                <w:spacing w:val="-10"/>
                <w:sz w:val="24"/>
              </w:rPr>
            </w:pPr>
            <w:r>
              <w:rPr>
                <w:b/>
                <w:spacing w:val="-10"/>
                <w:sz w:val="24"/>
              </w:rPr>
              <w:t>4.2.3 声环境影响及防治措施</w:t>
            </w:r>
          </w:p>
          <w:p w14:paraId="2999D0C7">
            <w:pPr>
              <w:autoSpaceDE w:val="0"/>
              <w:autoSpaceDN w:val="0"/>
              <w:adjustRightInd w:val="0"/>
              <w:spacing w:line="480" w:lineRule="exact"/>
              <w:ind w:firstLine="482" w:firstLineChars="200"/>
              <w:jc w:val="left"/>
              <w:rPr>
                <w:rFonts w:eastAsiaTheme="minorEastAsia"/>
                <w:b/>
                <w:kern w:val="0"/>
                <w:sz w:val="24"/>
              </w:rPr>
            </w:pPr>
            <w:r>
              <w:rPr>
                <w:rFonts w:hint="eastAsia" w:eastAsiaTheme="minorEastAsia"/>
                <w:b/>
                <w:bCs/>
                <w:kern w:val="0"/>
                <w:sz w:val="24"/>
              </w:rPr>
              <w:t xml:space="preserve">4.2.3.1 </w:t>
            </w:r>
            <w:r>
              <w:rPr>
                <w:rFonts w:hint="eastAsia" w:hAnsiTheme="minorEastAsia" w:eastAsiaTheme="minorEastAsia"/>
                <w:b/>
                <w:kern w:val="0"/>
                <w:sz w:val="24"/>
              </w:rPr>
              <w:t>噪声源强分析</w:t>
            </w:r>
          </w:p>
          <w:p w14:paraId="7355E00E">
            <w:pPr>
              <w:autoSpaceDE w:val="0"/>
              <w:autoSpaceDN w:val="0"/>
              <w:adjustRightInd w:val="0"/>
              <w:spacing w:line="480" w:lineRule="exact"/>
              <w:ind w:firstLine="480" w:firstLineChars="200"/>
              <w:jc w:val="left"/>
              <w:rPr>
                <w:rFonts w:hAnsiTheme="minorEastAsia" w:eastAsiaTheme="minorEastAsia"/>
                <w:kern w:val="0"/>
                <w:sz w:val="24"/>
              </w:rPr>
            </w:pPr>
            <w:r>
              <w:rPr>
                <w:rFonts w:hAnsiTheme="minorEastAsia" w:eastAsiaTheme="minorEastAsia"/>
                <w:kern w:val="0"/>
                <w:sz w:val="24"/>
              </w:rPr>
              <w:t>本项目生产设备均置于室内，主要有印刷机、</w:t>
            </w:r>
            <w:r>
              <w:rPr>
                <w:rFonts w:hint="eastAsia" w:hAnsiTheme="minorEastAsia" w:eastAsiaTheme="minorEastAsia"/>
                <w:kern w:val="0"/>
                <w:sz w:val="24"/>
              </w:rPr>
              <w:t>过油机</w:t>
            </w:r>
            <w:r>
              <w:rPr>
                <w:rFonts w:hAnsiTheme="minorEastAsia" w:eastAsiaTheme="minorEastAsia"/>
                <w:kern w:val="0"/>
                <w:sz w:val="24"/>
              </w:rPr>
              <w:t>、模切机、切纸机、</w:t>
            </w:r>
            <w:r>
              <w:rPr>
                <w:rFonts w:hint="eastAsia" w:hAnsiTheme="minorEastAsia" w:eastAsiaTheme="minorEastAsia"/>
                <w:kern w:val="0"/>
                <w:sz w:val="24"/>
              </w:rPr>
              <w:t>裱纸/裱坑机、糊盒机</w:t>
            </w:r>
            <w:r>
              <w:rPr>
                <w:rFonts w:hAnsiTheme="minorEastAsia" w:eastAsiaTheme="minorEastAsia"/>
                <w:kern w:val="0"/>
                <w:sz w:val="24"/>
              </w:rPr>
              <w:t>等。根据《印刷工业污染防治可行技术指南》（</w:t>
            </w:r>
            <w:r>
              <w:rPr>
                <w:rFonts w:eastAsiaTheme="minorEastAsia"/>
                <w:kern w:val="0"/>
                <w:sz w:val="24"/>
              </w:rPr>
              <w:t>HJ1089-2020</w:t>
            </w:r>
            <w:r>
              <w:rPr>
                <w:rFonts w:hAnsiTheme="minorEastAsia" w:eastAsiaTheme="minorEastAsia"/>
                <w:kern w:val="0"/>
                <w:sz w:val="24"/>
              </w:rPr>
              <w:t>）表</w:t>
            </w:r>
            <w:r>
              <w:rPr>
                <w:rFonts w:eastAsiaTheme="minorEastAsia"/>
                <w:kern w:val="0"/>
                <w:sz w:val="24"/>
              </w:rPr>
              <w:t>4</w:t>
            </w:r>
            <w:r>
              <w:rPr>
                <w:rFonts w:hAnsiTheme="minorEastAsia" w:eastAsiaTheme="minorEastAsia"/>
                <w:kern w:val="0"/>
                <w:sz w:val="24"/>
              </w:rPr>
              <w:t>：各设备噪声源强约为</w:t>
            </w:r>
            <w:r>
              <w:rPr>
                <w:rFonts w:hint="eastAsia" w:eastAsiaTheme="minorEastAsia"/>
                <w:kern w:val="0"/>
                <w:sz w:val="24"/>
              </w:rPr>
              <w:t>80</w:t>
            </w:r>
            <w:r>
              <w:rPr>
                <w:rFonts w:eastAsiaTheme="minorEastAsia"/>
                <w:kern w:val="0"/>
                <w:sz w:val="24"/>
              </w:rPr>
              <w:t>~</w:t>
            </w:r>
            <w:r>
              <w:rPr>
                <w:rFonts w:hint="eastAsia" w:eastAsiaTheme="minorEastAsia"/>
                <w:kern w:val="0"/>
                <w:sz w:val="24"/>
              </w:rPr>
              <w:t>9</w:t>
            </w:r>
            <w:r>
              <w:rPr>
                <w:rFonts w:eastAsiaTheme="minorEastAsia"/>
                <w:kern w:val="0"/>
                <w:sz w:val="24"/>
              </w:rPr>
              <w:t>5dB</w:t>
            </w:r>
            <w:r>
              <w:rPr>
                <w:rFonts w:hAnsiTheme="minorEastAsia" w:eastAsiaTheme="minorEastAsia"/>
                <w:kern w:val="0"/>
                <w:sz w:val="24"/>
              </w:rPr>
              <w:t>（</w:t>
            </w:r>
            <w:r>
              <w:rPr>
                <w:rFonts w:eastAsiaTheme="minorEastAsia"/>
                <w:kern w:val="0"/>
                <w:sz w:val="24"/>
              </w:rPr>
              <w:t>A</w:t>
            </w:r>
            <w:r>
              <w:rPr>
                <w:rFonts w:hAnsiTheme="minorEastAsia" w:eastAsiaTheme="minorEastAsia"/>
                <w:kern w:val="0"/>
                <w:sz w:val="24"/>
              </w:rPr>
              <w:t>），在采取了隔声间、厂房隔声等可行技术后，降噪量约为</w:t>
            </w:r>
            <w:r>
              <w:rPr>
                <w:rFonts w:eastAsiaTheme="minorEastAsia"/>
                <w:kern w:val="0"/>
                <w:sz w:val="24"/>
              </w:rPr>
              <w:t>10</w:t>
            </w:r>
            <w:r>
              <w:rPr>
                <w:rFonts w:hint="eastAsia" w:eastAsiaTheme="minorEastAsia"/>
                <w:kern w:val="0"/>
                <w:sz w:val="24"/>
              </w:rPr>
              <w:t>~</w:t>
            </w:r>
            <w:r>
              <w:rPr>
                <w:rFonts w:eastAsiaTheme="minorEastAsia"/>
                <w:kern w:val="0"/>
                <w:sz w:val="24"/>
              </w:rPr>
              <w:t>20dB</w:t>
            </w:r>
            <w:r>
              <w:rPr>
                <w:rFonts w:hAnsiTheme="minorEastAsia" w:eastAsiaTheme="minorEastAsia"/>
                <w:kern w:val="0"/>
                <w:sz w:val="24"/>
              </w:rPr>
              <w:t>（</w:t>
            </w:r>
            <w:r>
              <w:rPr>
                <w:rFonts w:eastAsiaTheme="minorEastAsia"/>
                <w:kern w:val="0"/>
                <w:sz w:val="24"/>
              </w:rPr>
              <w:t>A</w:t>
            </w:r>
            <w:r>
              <w:rPr>
                <w:rFonts w:hAnsiTheme="minorEastAsia" w:eastAsiaTheme="minorEastAsia"/>
                <w:kern w:val="0"/>
                <w:sz w:val="24"/>
              </w:rPr>
              <w:t>）</w:t>
            </w:r>
            <w:r>
              <w:rPr>
                <w:rFonts w:hint="eastAsia" w:hAnsiTheme="minorEastAsia" w:eastAsiaTheme="minorEastAsia"/>
                <w:kern w:val="0"/>
                <w:sz w:val="24"/>
              </w:rPr>
              <w:t>。</w:t>
            </w:r>
          </w:p>
          <w:p w14:paraId="1831CFEC">
            <w:pPr>
              <w:autoSpaceDE w:val="0"/>
              <w:autoSpaceDN w:val="0"/>
              <w:adjustRightInd w:val="0"/>
              <w:spacing w:line="480" w:lineRule="exact"/>
              <w:ind w:firstLine="480" w:firstLineChars="200"/>
              <w:jc w:val="left"/>
              <w:rPr>
                <w:rFonts w:eastAsiaTheme="minorEastAsia"/>
                <w:sz w:val="24"/>
              </w:rPr>
            </w:pPr>
            <w:r>
              <w:rPr>
                <w:rFonts w:hint="eastAsia" w:hAnsiTheme="minorEastAsia" w:eastAsiaTheme="minorEastAsia"/>
                <w:kern w:val="0"/>
                <w:sz w:val="24"/>
              </w:rPr>
              <w:t>项目噪声</w:t>
            </w:r>
            <w:r>
              <w:rPr>
                <w:rFonts w:hAnsiTheme="minorEastAsia" w:eastAsiaTheme="minorEastAsia"/>
                <w:sz w:val="24"/>
              </w:rPr>
              <w:t>源强</w:t>
            </w:r>
            <w:r>
              <w:rPr>
                <w:rFonts w:hint="eastAsia" w:hAnsiTheme="minorEastAsia" w:eastAsiaTheme="minorEastAsia"/>
                <w:sz w:val="24"/>
              </w:rPr>
              <w:t>调查清单</w:t>
            </w:r>
            <w:r>
              <w:rPr>
                <w:rFonts w:hAnsiTheme="minorEastAsia" w:eastAsiaTheme="minorEastAsia"/>
                <w:sz w:val="24"/>
              </w:rPr>
              <w:t>见表</w:t>
            </w:r>
            <w:r>
              <w:rPr>
                <w:rFonts w:eastAsiaTheme="minorEastAsia"/>
                <w:sz w:val="24"/>
              </w:rPr>
              <w:t>4.2-</w:t>
            </w:r>
            <w:r>
              <w:rPr>
                <w:rFonts w:hint="eastAsia" w:eastAsiaTheme="minorEastAsia"/>
                <w:sz w:val="24"/>
              </w:rPr>
              <w:t>14、表4.2-15</w:t>
            </w:r>
            <w:r>
              <w:rPr>
                <w:rFonts w:hAnsiTheme="minorEastAsia" w:eastAsiaTheme="minorEastAsia"/>
                <w:sz w:val="24"/>
              </w:rPr>
              <w:t>。</w:t>
            </w:r>
          </w:p>
          <w:p w14:paraId="7E2EAB46">
            <w:pPr>
              <w:autoSpaceDE w:val="0"/>
              <w:autoSpaceDN w:val="0"/>
              <w:adjustRightInd w:val="0"/>
              <w:spacing w:line="480" w:lineRule="exact"/>
              <w:ind w:firstLine="482" w:firstLineChars="200"/>
              <w:jc w:val="left"/>
              <w:rPr>
                <w:rFonts w:eastAsiaTheme="minorEastAsia"/>
                <w:b/>
                <w:bCs/>
                <w:kern w:val="0"/>
                <w:sz w:val="24"/>
              </w:rPr>
            </w:pPr>
          </w:p>
          <w:p w14:paraId="6D7EFE85">
            <w:pPr>
              <w:autoSpaceDE w:val="0"/>
              <w:autoSpaceDN w:val="0"/>
              <w:adjustRightInd w:val="0"/>
              <w:spacing w:line="480" w:lineRule="exact"/>
              <w:ind w:firstLine="482" w:firstLineChars="200"/>
              <w:jc w:val="left"/>
              <w:rPr>
                <w:rFonts w:eastAsiaTheme="minorEastAsia"/>
                <w:b/>
                <w:bCs/>
                <w:kern w:val="0"/>
                <w:sz w:val="24"/>
              </w:rPr>
            </w:pPr>
          </w:p>
          <w:p w14:paraId="5B213978">
            <w:pPr>
              <w:adjustRightInd w:val="0"/>
              <w:snapToGrid w:val="0"/>
              <w:rPr>
                <w:rFonts w:ascii="宋体" w:hAnsi="宋体" w:cs="宋体"/>
                <w:b/>
                <w:bCs/>
                <w:spacing w:val="-10"/>
                <w:sz w:val="24"/>
              </w:rPr>
            </w:pPr>
          </w:p>
          <w:p w14:paraId="6931BCAA">
            <w:pPr>
              <w:adjustRightInd w:val="0"/>
              <w:snapToGrid w:val="0"/>
              <w:rPr>
                <w:rFonts w:ascii="宋体" w:hAnsi="宋体" w:cs="宋体"/>
                <w:b/>
                <w:bCs/>
                <w:spacing w:val="-10"/>
                <w:sz w:val="24"/>
              </w:rPr>
            </w:pPr>
          </w:p>
          <w:p w14:paraId="398FF542">
            <w:pPr>
              <w:overflowPunct w:val="0"/>
              <w:jc w:val="center"/>
              <w:rPr>
                <w:sz w:val="24"/>
              </w:rPr>
            </w:pPr>
          </w:p>
        </w:tc>
      </w:tr>
    </w:tbl>
    <w:p w14:paraId="6DD33EE2">
      <w:pPr>
        <w:adjustRightInd w:val="0"/>
        <w:snapToGrid w:val="0"/>
        <w:spacing w:line="360" w:lineRule="auto"/>
        <w:rPr>
          <w:rFonts w:ascii="宋体" w:cs="宋体"/>
          <w:b/>
          <w:kern w:val="0"/>
          <w:sz w:val="28"/>
          <w:szCs w:val="28"/>
        </w:rPr>
        <w:sectPr>
          <w:pgSz w:w="11907" w:h="16840"/>
          <w:pgMar w:top="1418" w:right="1418" w:bottom="1418" w:left="1418" w:header="851" w:footer="851" w:gutter="0"/>
          <w:cols w:space="720" w:num="1"/>
          <w:docGrid w:linePitch="312" w:charSpace="0"/>
        </w:sectPr>
      </w:pPr>
    </w:p>
    <w:tbl>
      <w:tblPr>
        <w:tblStyle w:val="24"/>
        <w:tblW w:w="156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15273"/>
      </w:tblGrid>
      <w:tr w14:paraId="436A8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386" w:type="dxa"/>
            <w:tcMar>
              <w:left w:w="28" w:type="dxa"/>
              <w:right w:w="28" w:type="dxa"/>
            </w:tcMar>
            <w:vAlign w:val="center"/>
          </w:tcPr>
          <w:p w14:paraId="441214A9">
            <w:pPr>
              <w:adjustRightInd w:val="0"/>
              <w:snapToGrid w:val="0"/>
              <w:jc w:val="center"/>
              <w:rPr>
                <w:rFonts w:ascii="宋体" w:hAnsi="宋体" w:cs="宋体"/>
                <w:bCs/>
                <w:sz w:val="24"/>
              </w:rPr>
            </w:pPr>
          </w:p>
          <w:p w14:paraId="101EB108">
            <w:pPr>
              <w:adjustRightInd w:val="0"/>
              <w:snapToGrid w:val="0"/>
              <w:jc w:val="center"/>
              <w:rPr>
                <w:rFonts w:ascii="宋体" w:hAnsi="宋体" w:cs="宋体"/>
                <w:bCs/>
                <w:sz w:val="24"/>
              </w:rPr>
            </w:pPr>
            <w:r>
              <w:rPr>
                <w:rFonts w:hint="eastAsia" w:ascii="宋体" w:hAnsi="宋体" w:cs="宋体"/>
                <w:bCs/>
                <w:sz w:val="24"/>
              </w:rPr>
              <w:t>期环</w:t>
            </w:r>
          </w:p>
          <w:p w14:paraId="73F006A3">
            <w:pPr>
              <w:adjustRightInd w:val="0"/>
              <w:snapToGrid w:val="0"/>
              <w:jc w:val="center"/>
              <w:rPr>
                <w:rFonts w:ascii="宋体" w:hAnsi="宋体" w:cs="宋体"/>
                <w:bCs/>
                <w:sz w:val="24"/>
              </w:rPr>
            </w:pPr>
            <w:r>
              <w:rPr>
                <w:rFonts w:hint="eastAsia" w:ascii="宋体" w:hAnsi="宋体" w:cs="宋体"/>
                <w:bCs/>
                <w:sz w:val="24"/>
              </w:rPr>
              <w:t>境影</w:t>
            </w:r>
          </w:p>
          <w:p w14:paraId="4BD81C5C">
            <w:pPr>
              <w:adjustRightInd w:val="0"/>
              <w:snapToGrid w:val="0"/>
              <w:jc w:val="center"/>
              <w:rPr>
                <w:rFonts w:ascii="宋体" w:hAnsi="宋体" w:cs="宋体"/>
                <w:bCs/>
                <w:sz w:val="24"/>
              </w:rPr>
            </w:pPr>
            <w:r>
              <w:rPr>
                <w:rFonts w:hint="eastAsia" w:ascii="宋体" w:hAnsi="宋体" w:cs="宋体"/>
                <w:bCs/>
                <w:sz w:val="24"/>
              </w:rPr>
              <w:t>响和</w:t>
            </w:r>
          </w:p>
          <w:p w14:paraId="4BB065A5">
            <w:pPr>
              <w:adjustRightInd w:val="0"/>
              <w:snapToGrid w:val="0"/>
              <w:jc w:val="center"/>
              <w:rPr>
                <w:rFonts w:ascii="宋体" w:hAnsi="宋体" w:cs="宋体"/>
                <w:bCs/>
                <w:sz w:val="24"/>
              </w:rPr>
            </w:pPr>
            <w:r>
              <w:rPr>
                <w:rFonts w:hint="eastAsia" w:ascii="宋体" w:hAnsi="宋体" w:cs="宋体"/>
                <w:bCs/>
                <w:sz w:val="24"/>
              </w:rPr>
              <w:t>保护</w:t>
            </w:r>
          </w:p>
          <w:p w14:paraId="287229F6">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15273" w:type="dxa"/>
            <w:vAlign w:val="center"/>
          </w:tcPr>
          <w:p w14:paraId="33B641CF">
            <w:pPr>
              <w:autoSpaceDE w:val="0"/>
              <w:autoSpaceDN w:val="0"/>
              <w:adjustRightInd w:val="0"/>
              <w:spacing w:line="480" w:lineRule="exact"/>
              <w:jc w:val="center"/>
              <w:rPr>
                <w:rFonts w:eastAsiaTheme="minorEastAsia"/>
                <w:b/>
                <w:bCs/>
                <w:kern w:val="0"/>
                <w:szCs w:val="21"/>
              </w:rPr>
            </w:pPr>
            <w:r>
              <w:rPr>
                <w:rFonts w:hint="eastAsia" w:eastAsiaTheme="minorEastAsia"/>
                <w:b/>
                <w:bCs/>
                <w:kern w:val="0"/>
                <w:szCs w:val="21"/>
              </w:rPr>
              <w:t>表4.2-14 工业企业噪声源强调查清单（室外声源）</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2291"/>
              <w:gridCol w:w="1111"/>
              <w:gridCol w:w="993"/>
              <w:gridCol w:w="992"/>
              <w:gridCol w:w="2268"/>
              <w:gridCol w:w="4050"/>
              <w:gridCol w:w="1879"/>
            </w:tblGrid>
            <w:tr w14:paraId="1B0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vAlign w:val="center"/>
                </w:tcPr>
                <w:p w14:paraId="19529A61">
                  <w:pPr>
                    <w:autoSpaceDE w:val="0"/>
                    <w:autoSpaceDN w:val="0"/>
                    <w:adjustRightInd w:val="0"/>
                    <w:spacing w:line="480" w:lineRule="exact"/>
                    <w:jc w:val="center"/>
                    <w:rPr>
                      <w:rFonts w:eastAsiaTheme="minorEastAsia"/>
                      <w:bCs/>
                      <w:kern w:val="0"/>
                      <w:szCs w:val="21"/>
                    </w:rPr>
                  </w:pPr>
                  <w:r>
                    <w:rPr>
                      <w:rFonts w:hAnsiTheme="minorEastAsia" w:eastAsiaTheme="minorEastAsia"/>
                      <w:bCs/>
                      <w:kern w:val="0"/>
                      <w:szCs w:val="21"/>
                    </w:rPr>
                    <w:t>序号</w:t>
                  </w:r>
                </w:p>
              </w:tc>
              <w:tc>
                <w:tcPr>
                  <w:tcW w:w="2291" w:type="dxa"/>
                  <w:vMerge w:val="restart"/>
                  <w:vAlign w:val="center"/>
                </w:tcPr>
                <w:p w14:paraId="521B2A1A">
                  <w:pPr>
                    <w:autoSpaceDE w:val="0"/>
                    <w:autoSpaceDN w:val="0"/>
                    <w:adjustRightInd w:val="0"/>
                    <w:spacing w:line="480" w:lineRule="exact"/>
                    <w:jc w:val="center"/>
                    <w:rPr>
                      <w:rFonts w:eastAsiaTheme="minorEastAsia"/>
                      <w:bCs/>
                      <w:kern w:val="0"/>
                      <w:szCs w:val="21"/>
                    </w:rPr>
                  </w:pPr>
                  <w:r>
                    <w:rPr>
                      <w:rFonts w:hAnsiTheme="minorEastAsia" w:eastAsiaTheme="minorEastAsia"/>
                      <w:bCs/>
                      <w:kern w:val="0"/>
                      <w:szCs w:val="21"/>
                    </w:rPr>
                    <w:t>声源名称</w:t>
                  </w:r>
                </w:p>
              </w:tc>
              <w:tc>
                <w:tcPr>
                  <w:tcW w:w="3096" w:type="dxa"/>
                  <w:gridSpan w:val="3"/>
                  <w:vAlign w:val="center"/>
                </w:tcPr>
                <w:p w14:paraId="219189D6">
                  <w:pPr>
                    <w:autoSpaceDE w:val="0"/>
                    <w:autoSpaceDN w:val="0"/>
                    <w:adjustRightInd w:val="0"/>
                    <w:spacing w:line="480" w:lineRule="exact"/>
                    <w:jc w:val="center"/>
                    <w:rPr>
                      <w:rFonts w:eastAsiaTheme="minorEastAsia"/>
                      <w:bCs/>
                      <w:kern w:val="0"/>
                      <w:szCs w:val="21"/>
                    </w:rPr>
                  </w:pPr>
                  <w:r>
                    <w:rPr>
                      <w:rFonts w:hAnsiTheme="minorEastAsia" w:eastAsiaTheme="minorEastAsia"/>
                      <w:bCs/>
                      <w:kern w:val="0"/>
                      <w:szCs w:val="21"/>
                    </w:rPr>
                    <w:t>空间相对位置</w:t>
                  </w:r>
                </w:p>
              </w:tc>
              <w:tc>
                <w:tcPr>
                  <w:tcW w:w="2268" w:type="dxa"/>
                  <w:vMerge w:val="restart"/>
                  <w:vAlign w:val="center"/>
                </w:tcPr>
                <w:p w14:paraId="6088497B">
                  <w:pPr>
                    <w:autoSpaceDE w:val="0"/>
                    <w:autoSpaceDN w:val="0"/>
                    <w:adjustRightInd w:val="0"/>
                    <w:jc w:val="left"/>
                    <w:rPr>
                      <w:rFonts w:eastAsiaTheme="minorEastAsia"/>
                      <w:bCs/>
                      <w:kern w:val="0"/>
                      <w:szCs w:val="21"/>
                    </w:rPr>
                  </w:pPr>
                  <w:r>
                    <w:rPr>
                      <w:rFonts w:hint="eastAsia" w:ascii="宋体" w:cs="宋体"/>
                      <w:kern w:val="0"/>
                      <w:szCs w:val="21"/>
                    </w:rPr>
                    <w:t>（声压级</w:t>
                  </w:r>
                  <w:r>
                    <w:rPr>
                      <w:kern w:val="0"/>
                      <w:szCs w:val="21"/>
                    </w:rPr>
                    <w:t>/</w:t>
                  </w:r>
                  <w:r>
                    <w:rPr>
                      <w:rFonts w:hint="eastAsia" w:ascii="宋体" w:cs="宋体"/>
                      <w:kern w:val="0"/>
                      <w:szCs w:val="21"/>
                    </w:rPr>
                    <w:t>距声源距离）</w:t>
                  </w:r>
                  <w:r>
                    <w:rPr>
                      <w:kern w:val="0"/>
                      <w:szCs w:val="21"/>
                    </w:rPr>
                    <w:t>/</w:t>
                  </w:r>
                  <w:r>
                    <w:rPr>
                      <w:rFonts w:hint="eastAsia" w:ascii="宋体" w:cs="宋体"/>
                      <w:kern w:val="0"/>
                      <w:szCs w:val="21"/>
                    </w:rPr>
                    <w:t>（</w:t>
                  </w:r>
                  <w:r>
                    <w:rPr>
                      <w:kern w:val="0"/>
                      <w:szCs w:val="21"/>
                    </w:rPr>
                    <w:t>dB(A)/m</w:t>
                  </w:r>
                  <w:r>
                    <w:rPr>
                      <w:rFonts w:hint="eastAsia" w:ascii="宋体" w:cs="宋体"/>
                      <w:kern w:val="0"/>
                      <w:szCs w:val="21"/>
                    </w:rPr>
                    <w:t>）</w:t>
                  </w:r>
                </w:p>
              </w:tc>
              <w:tc>
                <w:tcPr>
                  <w:tcW w:w="4050" w:type="dxa"/>
                  <w:vMerge w:val="restart"/>
                  <w:vAlign w:val="center"/>
                </w:tcPr>
                <w:p w14:paraId="61509148">
                  <w:pPr>
                    <w:autoSpaceDE w:val="0"/>
                    <w:autoSpaceDN w:val="0"/>
                    <w:adjustRightInd w:val="0"/>
                    <w:spacing w:line="480" w:lineRule="exact"/>
                    <w:jc w:val="center"/>
                    <w:rPr>
                      <w:rFonts w:eastAsiaTheme="minorEastAsia"/>
                      <w:bCs/>
                      <w:kern w:val="0"/>
                      <w:szCs w:val="21"/>
                    </w:rPr>
                  </w:pPr>
                  <w:r>
                    <w:rPr>
                      <w:rFonts w:hAnsiTheme="minorEastAsia" w:eastAsiaTheme="minorEastAsia"/>
                      <w:bCs/>
                      <w:kern w:val="0"/>
                      <w:szCs w:val="21"/>
                    </w:rPr>
                    <w:t>声源控制措施</w:t>
                  </w:r>
                </w:p>
              </w:tc>
              <w:tc>
                <w:tcPr>
                  <w:tcW w:w="1879" w:type="dxa"/>
                  <w:vMerge w:val="restart"/>
                  <w:vAlign w:val="center"/>
                </w:tcPr>
                <w:p w14:paraId="6F780D8F">
                  <w:pPr>
                    <w:autoSpaceDE w:val="0"/>
                    <w:autoSpaceDN w:val="0"/>
                    <w:adjustRightInd w:val="0"/>
                    <w:spacing w:line="480" w:lineRule="exact"/>
                    <w:jc w:val="center"/>
                    <w:rPr>
                      <w:rFonts w:eastAsiaTheme="minorEastAsia"/>
                      <w:bCs/>
                      <w:kern w:val="0"/>
                      <w:szCs w:val="21"/>
                    </w:rPr>
                  </w:pPr>
                  <w:r>
                    <w:rPr>
                      <w:rFonts w:hAnsiTheme="minorEastAsia" w:eastAsiaTheme="minorEastAsia"/>
                      <w:bCs/>
                      <w:kern w:val="0"/>
                      <w:szCs w:val="21"/>
                    </w:rPr>
                    <w:t>运行时段</w:t>
                  </w:r>
                </w:p>
              </w:tc>
            </w:tr>
            <w:tr w14:paraId="5C61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14:paraId="18F1AC53">
                  <w:pPr>
                    <w:autoSpaceDE w:val="0"/>
                    <w:autoSpaceDN w:val="0"/>
                    <w:adjustRightInd w:val="0"/>
                    <w:spacing w:line="480" w:lineRule="exact"/>
                    <w:jc w:val="center"/>
                    <w:rPr>
                      <w:rFonts w:eastAsiaTheme="minorEastAsia"/>
                      <w:bCs/>
                      <w:kern w:val="0"/>
                      <w:szCs w:val="21"/>
                    </w:rPr>
                  </w:pPr>
                </w:p>
              </w:tc>
              <w:tc>
                <w:tcPr>
                  <w:tcW w:w="2291" w:type="dxa"/>
                  <w:vMerge w:val="continue"/>
                  <w:vAlign w:val="center"/>
                </w:tcPr>
                <w:p w14:paraId="44B155AF">
                  <w:pPr>
                    <w:autoSpaceDE w:val="0"/>
                    <w:autoSpaceDN w:val="0"/>
                    <w:adjustRightInd w:val="0"/>
                    <w:spacing w:line="480" w:lineRule="exact"/>
                    <w:jc w:val="center"/>
                    <w:rPr>
                      <w:rFonts w:eastAsiaTheme="minorEastAsia"/>
                      <w:bCs/>
                      <w:kern w:val="0"/>
                      <w:szCs w:val="21"/>
                    </w:rPr>
                  </w:pPr>
                </w:p>
              </w:tc>
              <w:tc>
                <w:tcPr>
                  <w:tcW w:w="1111" w:type="dxa"/>
                  <w:vAlign w:val="center"/>
                </w:tcPr>
                <w:p w14:paraId="57BDEAE8">
                  <w:pPr>
                    <w:autoSpaceDE w:val="0"/>
                    <w:autoSpaceDN w:val="0"/>
                    <w:adjustRightInd w:val="0"/>
                    <w:spacing w:line="480" w:lineRule="exact"/>
                    <w:jc w:val="center"/>
                    <w:rPr>
                      <w:rFonts w:eastAsiaTheme="minorEastAsia"/>
                      <w:bCs/>
                      <w:kern w:val="0"/>
                      <w:szCs w:val="21"/>
                    </w:rPr>
                  </w:pPr>
                  <w:r>
                    <w:rPr>
                      <w:rFonts w:eastAsiaTheme="minorEastAsia"/>
                      <w:bCs/>
                      <w:kern w:val="0"/>
                      <w:szCs w:val="21"/>
                    </w:rPr>
                    <w:t>X</w:t>
                  </w:r>
                </w:p>
              </w:tc>
              <w:tc>
                <w:tcPr>
                  <w:tcW w:w="993" w:type="dxa"/>
                  <w:vAlign w:val="center"/>
                </w:tcPr>
                <w:p w14:paraId="7FA12FCC">
                  <w:pPr>
                    <w:autoSpaceDE w:val="0"/>
                    <w:autoSpaceDN w:val="0"/>
                    <w:adjustRightInd w:val="0"/>
                    <w:spacing w:line="480" w:lineRule="exact"/>
                    <w:jc w:val="center"/>
                    <w:rPr>
                      <w:rFonts w:eastAsiaTheme="minorEastAsia"/>
                      <w:bCs/>
                      <w:kern w:val="0"/>
                      <w:szCs w:val="21"/>
                    </w:rPr>
                  </w:pPr>
                  <w:r>
                    <w:rPr>
                      <w:rFonts w:eastAsiaTheme="minorEastAsia"/>
                      <w:bCs/>
                      <w:kern w:val="0"/>
                      <w:szCs w:val="21"/>
                    </w:rPr>
                    <w:t>Y</w:t>
                  </w:r>
                </w:p>
              </w:tc>
              <w:tc>
                <w:tcPr>
                  <w:tcW w:w="992" w:type="dxa"/>
                  <w:vAlign w:val="center"/>
                </w:tcPr>
                <w:p w14:paraId="4D707823">
                  <w:pPr>
                    <w:autoSpaceDE w:val="0"/>
                    <w:autoSpaceDN w:val="0"/>
                    <w:adjustRightInd w:val="0"/>
                    <w:spacing w:line="480" w:lineRule="exact"/>
                    <w:jc w:val="center"/>
                    <w:rPr>
                      <w:rFonts w:eastAsiaTheme="minorEastAsia"/>
                      <w:bCs/>
                      <w:kern w:val="0"/>
                      <w:szCs w:val="21"/>
                    </w:rPr>
                  </w:pPr>
                  <w:r>
                    <w:rPr>
                      <w:rFonts w:eastAsiaTheme="minorEastAsia"/>
                      <w:bCs/>
                      <w:kern w:val="0"/>
                      <w:szCs w:val="21"/>
                    </w:rPr>
                    <w:t>Z</w:t>
                  </w:r>
                </w:p>
              </w:tc>
              <w:tc>
                <w:tcPr>
                  <w:tcW w:w="2268" w:type="dxa"/>
                  <w:vMerge w:val="continue"/>
                  <w:vAlign w:val="center"/>
                </w:tcPr>
                <w:p w14:paraId="4162BCC1">
                  <w:pPr>
                    <w:autoSpaceDE w:val="0"/>
                    <w:autoSpaceDN w:val="0"/>
                    <w:adjustRightInd w:val="0"/>
                    <w:spacing w:line="480" w:lineRule="exact"/>
                    <w:jc w:val="center"/>
                    <w:rPr>
                      <w:rFonts w:eastAsiaTheme="minorEastAsia"/>
                      <w:bCs/>
                      <w:kern w:val="0"/>
                      <w:szCs w:val="21"/>
                    </w:rPr>
                  </w:pPr>
                </w:p>
              </w:tc>
              <w:tc>
                <w:tcPr>
                  <w:tcW w:w="4050" w:type="dxa"/>
                  <w:vMerge w:val="continue"/>
                  <w:vAlign w:val="center"/>
                </w:tcPr>
                <w:p w14:paraId="3782A171">
                  <w:pPr>
                    <w:autoSpaceDE w:val="0"/>
                    <w:autoSpaceDN w:val="0"/>
                    <w:adjustRightInd w:val="0"/>
                    <w:spacing w:line="480" w:lineRule="exact"/>
                    <w:jc w:val="center"/>
                    <w:rPr>
                      <w:rFonts w:eastAsiaTheme="minorEastAsia"/>
                      <w:bCs/>
                      <w:kern w:val="0"/>
                      <w:szCs w:val="21"/>
                    </w:rPr>
                  </w:pPr>
                </w:p>
              </w:tc>
              <w:tc>
                <w:tcPr>
                  <w:tcW w:w="1879" w:type="dxa"/>
                  <w:vMerge w:val="continue"/>
                  <w:vAlign w:val="center"/>
                </w:tcPr>
                <w:p w14:paraId="344B1330">
                  <w:pPr>
                    <w:autoSpaceDE w:val="0"/>
                    <w:autoSpaceDN w:val="0"/>
                    <w:adjustRightInd w:val="0"/>
                    <w:spacing w:line="480" w:lineRule="exact"/>
                    <w:jc w:val="center"/>
                    <w:rPr>
                      <w:rFonts w:eastAsiaTheme="minorEastAsia"/>
                      <w:bCs/>
                      <w:kern w:val="0"/>
                      <w:szCs w:val="21"/>
                    </w:rPr>
                  </w:pPr>
                </w:p>
              </w:tc>
            </w:tr>
            <w:tr w14:paraId="7458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4EEFF8D8">
                  <w:pPr>
                    <w:autoSpaceDE w:val="0"/>
                    <w:autoSpaceDN w:val="0"/>
                    <w:adjustRightInd w:val="0"/>
                    <w:spacing w:line="480" w:lineRule="exact"/>
                    <w:jc w:val="center"/>
                    <w:rPr>
                      <w:rFonts w:eastAsiaTheme="minorEastAsia"/>
                      <w:bCs/>
                      <w:kern w:val="0"/>
                      <w:szCs w:val="21"/>
                    </w:rPr>
                  </w:pPr>
                  <w:r>
                    <w:rPr>
                      <w:rFonts w:eastAsiaTheme="minorEastAsia"/>
                      <w:bCs/>
                      <w:kern w:val="0"/>
                      <w:szCs w:val="21"/>
                    </w:rPr>
                    <w:t>1</w:t>
                  </w:r>
                </w:p>
              </w:tc>
              <w:tc>
                <w:tcPr>
                  <w:tcW w:w="2291" w:type="dxa"/>
                  <w:vAlign w:val="center"/>
                </w:tcPr>
                <w:p w14:paraId="6401FC2B">
                  <w:pPr>
                    <w:autoSpaceDE w:val="0"/>
                    <w:autoSpaceDN w:val="0"/>
                    <w:adjustRightInd w:val="0"/>
                    <w:jc w:val="center"/>
                    <w:rPr>
                      <w:rFonts w:eastAsiaTheme="minorEastAsia"/>
                      <w:bCs/>
                      <w:kern w:val="0"/>
                      <w:szCs w:val="21"/>
                    </w:rPr>
                  </w:pPr>
                  <w:r>
                    <w:rPr>
                      <w:rFonts w:hAnsiTheme="minorEastAsia" w:eastAsiaTheme="minorEastAsia"/>
                      <w:bCs/>
                      <w:kern w:val="0"/>
                      <w:szCs w:val="21"/>
                    </w:rPr>
                    <w:t>冷却塔</w:t>
                  </w:r>
                </w:p>
              </w:tc>
              <w:tc>
                <w:tcPr>
                  <w:tcW w:w="1111" w:type="dxa"/>
                  <w:vAlign w:val="center"/>
                </w:tcPr>
                <w:p w14:paraId="3079A661">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-30</w:t>
                  </w:r>
                </w:p>
              </w:tc>
              <w:tc>
                <w:tcPr>
                  <w:tcW w:w="993" w:type="dxa"/>
                  <w:vAlign w:val="center"/>
                </w:tcPr>
                <w:p w14:paraId="4800CA23">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-15</w:t>
                  </w:r>
                </w:p>
              </w:tc>
              <w:tc>
                <w:tcPr>
                  <w:tcW w:w="992" w:type="dxa"/>
                  <w:vAlign w:val="center"/>
                </w:tcPr>
                <w:p w14:paraId="57BA2DEB">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12.9</w:t>
                  </w:r>
                </w:p>
              </w:tc>
              <w:tc>
                <w:tcPr>
                  <w:tcW w:w="2268" w:type="dxa"/>
                  <w:vAlign w:val="center"/>
                </w:tcPr>
                <w:p w14:paraId="227F099D">
                  <w:pPr>
                    <w:autoSpaceDE w:val="0"/>
                    <w:autoSpaceDN w:val="0"/>
                    <w:adjustRightInd w:val="0"/>
                    <w:jc w:val="center"/>
                    <w:rPr>
                      <w:rFonts w:eastAsiaTheme="minorEastAsia"/>
                      <w:bCs/>
                      <w:kern w:val="0"/>
                      <w:szCs w:val="21"/>
                    </w:rPr>
                  </w:pPr>
                  <w:r>
                    <w:rPr>
                      <w:rFonts w:eastAsiaTheme="minorEastAsia"/>
                      <w:bCs/>
                      <w:kern w:val="0"/>
                      <w:szCs w:val="21"/>
                    </w:rPr>
                    <w:t>8</w:t>
                  </w:r>
                  <w:r>
                    <w:rPr>
                      <w:rFonts w:hint="eastAsia" w:eastAsiaTheme="minorEastAsia"/>
                      <w:bCs/>
                      <w:kern w:val="0"/>
                      <w:szCs w:val="21"/>
                    </w:rPr>
                    <w:t>0/1</w:t>
                  </w:r>
                </w:p>
              </w:tc>
              <w:tc>
                <w:tcPr>
                  <w:tcW w:w="4050" w:type="dxa"/>
                  <w:vAlign w:val="center"/>
                </w:tcPr>
                <w:p w14:paraId="5DB75631">
                  <w:pPr>
                    <w:autoSpaceDE w:val="0"/>
                    <w:autoSpaceDN w:val="0"/>
                    <w:adjustRightInd w:val="0"/>
                    <w:jc w:val="center"/>
                    <w:rPr>
                      <w:rFonts w:eastAsiaTheme="minorEastAsia"/>
                      <w:bCs/>
                      <w:kern w:val="0"/>
                      <w:szCs w:val="21"/>
                    </w:rPr>
                  </w:pPr>
                  <w:r>
                    <w:rPr>
                      <w:rFonts w:hAnsiTheme="minorEastAsia" w:eastAsiaTheme="minorEastAsia"/>
                      <w:kern w:val="0"/>
                      <w:szCs w:val="21"/>
                    </w:rPr>
                    <w:t>选用低噪声设备、低噪声工艺；采取吸声、消声、隔声、减振等措施</w:t>
                  </w:r>
                </w:p>
              </w:tc>
              <w:tc>
                <w:tcPr>
                  <w:tcW w:w="1879" w:type="dxa"/>
                  <w:vAlign w:val="center"/>
                </w:tcPr>
                <w:p w14:paraId="05591359">
                  <w:pPr>
                    <w:autoSpaceDE w:val="0"/>
                    <w:autoSpaceDN w:val="0"/>
                    <w:adjustRightInd w:val="0"/>
                    <w:spacing w:line="480" w:lineRule="exact"/>
                    <w:jc w:val="center"/>
                    <w:rPr>
                      <w:rFonts w:eastAsiaTheme="minorEastAsia"/>
                      <w:bCs/>
                      <w:kern w:val="0"/>
                      <w:szCs w:val="21"/>
                    </w:rPr>
                  </w:pPr>
                  <w:r>
                    <w:rPr>
                      <w:rFonts w:hint="eastAsia" w:hAnsiTheme="minorEastAsia" w:eastAsiaTheme="minorEastAsia"/>
                      <w:bCs/>
                      <w:kern w:val="0"/>
                      <w:szCs w:val="21"/>
                    </w:rPr>
                    <w:t>20h</w:t>
                  </w:r>
                </w:p>
              </w:tc>
            </w:tr>
            <w:tr w14:paraId="313D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6CF89EAE">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2</w:t>
                  </w:r>
                </w:p>
              </w:tc>
              <w:tc>
                <w:tcPr>
                  <w:tcW w:w="2291" w:type="dxa"/>
                  <w:vAlign w:val="center"/>
                </w:tcPr>
                <w:p w14:paraId="19735112">
                  <w:pPr>
                    <w:autoSpaceDE w:val="0"/>
                    <w:autoSpaceDN w:val="0"/>
                    <w:adjustRightInd w:val="0"/>
                    <w:jc w:val="center"/>
                    <w:rPr>
                      <w:rFonts w:eastAsiaTheme="minorEastAsia"/>
                      <w:bCs/>
                      <w:kern w:val="0"/>
                      <w:szCs w:val="21"/>
                    </w:rPr>
                  </w:pPr>
                  <w:r>
                    <w:rPr>
                      <w:rFonts w:hAnsiTheme="minorEastAsia" w:eastAsiaTheme="minorEastAsia"/>
                      <w:bCs/>
                      <w:kern w:val="0"/>
                      <w:szCs w:val="21"/>
                    </w:rPr>
                    <w:t>冷却塔</w:t>
                  </w:r>
                </w:p>
              </w:tc>
              <w:tc>
                <w:tcPr>
                  <w:tcW w:w="1111" w:type="dxa"/>
                  <w:vAlign w:val="center"/>
                </w:tcPr>
                <w:p w14:paraId="0FF2F5BA">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-30</w:t>
                  </w:r>
                </w:p>
              </w:tc>
              <w:tc>
                <w:tcPr>
                  <w:tcW w:w="993" w:type="dxa"/>
                  <w:vAlign w:val="center"/>
                </w:tcPr>
                <w:p w14:paraId="07E8435C">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-25</w:t>
                  </w:r>
                </w:p>
              </w:tc>
              <w:tc>
                <w:tcPr>
                  <w:tcW w:w="992" w:type="dxa"/>
                  <w:vAlign w:val="center"/>
                </w:tcPr>
                <w:p w14:paraId="5272933D">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12.9</w:t>
                  </w:r>
                </w:p>
              </w:tc>
              <w:tc>
                <w:tcPr>
                  <w:tcW w:w="2268" w:type="dxa"/>
                  <w:vAlign w:val="center"/>
                </w:tcPr>
                <w:p w14:paraId="03C49862">
                  <w:pPr>
                    <w:autoSpaceDE w:val="0"/>
                    <w:autoSpaceDN w:val="0"/>
                    <w:adjustRightInd w:val="0"/>
                    <w:jc w:val="center"/>
                    <w:rPr>
                      <w:rFonts w:eastAsiaTheme="minorEastAsia"/>
                      <w:bCs/>
                      <w:kern w:val="0"/>
                      <w:szCs w:val="21"/>
                    </w:rPr>
                  </w:pPr>
                  <w:r>
                    <w:rPr>
                      <w:rFonts w:eastAsiaTheme="minorEastAsia"/>
                      <w:bCs/>
                      <w:kern w:val="0"/>
                      <w:szCs w:val="21"/>
                    </w:rPr>
                    <w:t>8</w:t>
                  </w:r>
                  <w:r>
                    <w:rPr>
                      <w:rFonts w:hint="eastAsia" w:eastAsiaTheme="minorEastAsia"/>
                      <w:bCs/>
                      <w:kern w:val="0"/>
                      <w:szCs w:val="21"/>
                    </w:rPr>
                    <w:t>0/1</w:t>
                  </w:r>
                </w:p>
              </w:tc>
              <w:tc>
                <w:tcPr>
                  <w:tcW w:w="4050" w:type="dxa"/>
                  <w:vAlign w:val="center"/>
                </w:tcPr>
                <w:p w14:paraId="1F79E67C">
                  <w:pPr>
                    <w:autoSpaceDE w:val="0"/>
                    <w:autoSpaceDN w:val="0"/>
                    <w:adjustRightInd w:val="0"/>
                    <w:jc w:val="center"/>
                    <w:rPr>
                      <w:rFonts w:eastAsiaTheme="minorEastAsia"/>
                      <w:bCs/>
                      <w:kern w:val="0"/>
                      <w:szCs w:val="21"/>
                    </w:rPr>
                  </w:pPr>
                  <w:r>
                    <w:rPr>
                      <w:rFonts w:hAnsiTheme="minorEastAsia" w:eastAsiaTheme="minorEastAsia"/>
                      <w:kern w:val="0"/>
                      <w:szCs w:val="21"/>
                    </w:rPr>
                    <w:t>选用低噪声设备、低噪声工艺；采取吸声、消声、隔声、减振等措施</w:t>
                  </w:r>
                </w:p>
              </w:tc>
              <w:tc>
                <w:tcPr>
                  <w:tcW w:w="1879" w:type="dxa"/>
                  <w:vAlign w:val="center"/>
                </w:tcPr>
                <w:p w14:paraId="586DCB85">
                  <w:pPr>
                    <w:autoSpaceDE w:val="0"/>
                    <w:autoSpaceDN w:val="0"/>
                    <w:adjustRightInd w:val="0"/>
                    <w:spacing w:line="480" w:lineRule="exact"/>
                    <w:jc w:val="center"/>
                    <w:rPr>
                      <w:rFonts w:hAnsiTheme="minorEastAsia" w:eastAsiaTheme="minorEastAsia"/>
                      <w:bCs/>
                      <w:kern w:val="0"/>
                      <w:szCs w:val="21"/>
                    </w:rPr>
                  </w:pPr>
                  <w:r>
                    <w:rPr>
                      <w:rFonts w:hint="eastAsia" w:hAnsiTheme="minorEastAsia" w:eastAsiaTheme="minorEastAsia"/>
                      <w:bCs/>
                      <w:kern w:val="0"/>
                      <w:szCs w:val="21"/>
                    </w:rPr>
                    <w:t>20h</w:t>
                  </w:r>
                </w:p>
              </w:tc>
            </w:tr>
            <w:tr w14:paraId="76AD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413E9437">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3</w:t>
                  </w:r>
                </w:p>
              </w:tc>
              <w:tc>
                <w:tcPr>
                  <w:tcW w:w="2291" w:type="dxa"/>
                  <w:vAlign w:val="center"/>
                </w:tcPr>
                <w:p w14:paraId="0C7C3091">
                  <w:pPr>
                    <w:autoSpaceDE w:val="0"/>
                    <w:autoSpaceDN w:val="0"/>
                    <w:adjustRightInd w:val="0"/>
                    <w:jc w:val="center"/>
                    <w:rPr>
                      <w:rFonts w:eastAsiaTheme="minorEastAsia"/>
                      <w:bCs/>
                      <w:kern w:val="0"/>
                      <w:szCs w:val="21"/>
                    </w:rPr>
                  </w:pPr>
                  <w:r>
                    <w:rPr>
                      <w:rFonts w:hAnsiTheme="minorEastAsia" w:eastAsiaTheme="minorEastAsia"/>
                      <w:bCs/>
                      <w:kern w:val="0"/>
                      <w:szCs w:val="21"/>
                    </w:rPr>
                    <w:t>冷却塔</w:t>
                  </w:r>
                </w:p>
              </w:tc>
              <w:tc>
                <w:tcPr>
                  <w:tcW w:w="1111" w:type="dxa"/>
                  <w:vAlign w:val="center"/>
                </w:tcPr>
                <w:p w14:paraId="3CDAFCB2">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-30</w:t>
                  </w:r>
                </w:p>
              </w:tc>
              <w:tc>
                <w:tcPr>
                  <w:tcW w:w="993" w:type="dxa"/>
                  <w:vAlign w:val="center"/>
                </w:tcPr>
                <w:p w14:paraId="7F301F97">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-35</w:t>
                  </w:r>
                </w:p>
              </w:tc>
              <w:tc>
                <w:tcPr>
                  <w:tcW w:w="992" w:type="dxa"/>
                  <w:vAlign w:val="center"/>
                </w:tcPr>
                <w:p w14:paraId="6B3ED18D">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12.9</w:t>
                  </w:r>
                </w:p>
              </w:tc>
              <w:tc>
                <w:tcPr>
                  <w:tcW w:w="2268" w:type="dxa"/>
                  <w:vAlign w:val="center"/>
                </w:tcPr>
                <w:p w14:paraId="23E0F8AB">
                  <w:pPr>
                    <w:autoSpaceDE w:val="0"/>
                    <w:autoSpaceDN w:val="0"/>
                    <w:adjustRightInd w:val="0"/>
                    <w:jc w:val="center"/>
                    <w:rPr>
                      <w:rFonts w:eastAsiaTheme="minorEastAsia"/>
                      <w:bCs/>
                      <w:kern w:val="0"/>
                      <w:szCs w:val="21"/>
                    </w:rPr>
                  </w:pPr>
                  <w:r>
                    <w:rPr>
                      <w:rFonts w:eastAsiaTheme="minorEastAsia"/>
                      <w:bCs/>
                      <w:kern w:val="0"/>
                      <w:szCs w:val="21"/>
                    </w:rPr>
                    <w:t>8</w:t>
                  </w:r>
                  <w:r>
                    <w:rPr>
                      <w:rFonts w:hint="eastAsia" w:eastAsiaTheme="minorEastAsia"/>
                      <w:bCs/>
                      <w:kern w:val="0"/>
                      <w:szCs w:val="21"/>
                    </w:rPr>
                    <w:t>0/1</w:t>
                  </w:r>
                </w:p>
              </w:tc>
              <w:tc>
                <w:tcPr>
                  <w:tcW w:w="4050" w:type="dxa"/>
                  <w:vAlign w:val="center"/>
                </w:tcPr>
                <w:p w14:paraId="32F7960A">
                  <w:pPr>
                    <w:autoSpaceDE w:val="0"/>
                    <w:autoSpaceDN w:val="0"/>
                    <w:adjustRightInd w:val="0"/>
                    <w:jc w:val="center"/>
                    <w:rPr>
                      <w:rFonts w:eastAsiaTheme="minorEastAsia"/>
                      <w:bCs/>
                      <w:kern w:val="0"/>
                      <w:szCs w:val="21"/>
                    </w:rPr>
                  </w:pPr>
                  <w:r>
                    <w:rPr>
                      <w:rFonts w:hAnsiTheme="minorEastAsia" w:eastAsiaTheme="minorEastAsia"/>
                      <w:kern w:val="0"/>
                      <w:szCs w:val="21"/>
                    </w:rPr>
                    <w:t>选用低噪声设备、低噪声工艺；采取吸声、消声、隔声、减振等措施</w:t>
                  </w:r>
                </w:p>
              </w:tc>
              <w:tc>
                <w:tcPr>
                  <w:tcW w:w="1879" w:type="dxa"/>
                  <w:vAlign w:val="center"/>
                </w:tcPr>
                <w:p w14:paraId="5C6F95F3">
                  <w:pPr>
                    <w:autoSpaceDE w:val="0"/>
                    <w:autoSpaceDN w:val="0"/>
                    <w:adjustRightInd w:val="0"/>
                    <w:spacing w:line="480" w:lineRule="exact"/>
                    <w:jc w:val="center"/>
                    <w:rPr>
                      <w:rFonts w:hAnsiTheme="minorEastAsia" w:eastAsiaTheme="minorEastAsia"/>
                      <w:bCs/>
                      <w:kern w:val="0"/>
                      <w:szCs w:val="21"/>
                    </w:rPr>
                  </w:pPr>
                  <w:r>
                    <w:rPr>
                      <w:rFonts w:hint="eastAsia" w:hAnsiTheme="minorEastAsia" w:eastAsiaTheme="minorEastAsia"/>
                      <w:bCs/>
                      <w:kern w:val="0"/>
                      <w:szCs w:val="21"/>
                    </w:rPr>
                    <w:t>20h</w:t>
                  </w:r>
                </w:p>
              </w:tc>
            </w:tr>
            <w:tr w14:paraId="219A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045A12E8">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4</w:t>
                  </w:r>
                </w:p>
              </w:tc>
              <w:tc>
                <w:tcPr>
                  <w:tcW w:w="2291" w:type="dxa"/>
                  <w:vAlign w:val="center"/>
                </w:tcPr>
                <w:p w14:paraId="5F10C5E7">
                  <w:pPr>
                    <w:autoSpaceDE w:val="0"/>
                    <w:autoSpaceDN w:val="0"/>
                    <w:adjustRightInd w:val="0"/>
                    <w:jc w:val="center"/>
                    <w:rPr>
                      <w:rFonts w:eastAsiaTheme="minorEastAsia"/>
                      <w:bCs/>
                      <w:kern w:val="0"/>
                      <w:szCs w:val="21"/>
                    </w:rPr>
                  </w:pPr>
                  <w:r>
                    <w:rPr>
                      <w:rFonts w:eastAsiaTheme="minorEastAsia"/>
                      <w:bCs/>
                      <w:kern w:val="0"/>
                      <w:szCs w:val="21"/>
                    </w:rPr>
                    <w:t>1#</w:t>
                  </w:r>
                  <w:r>
                    <w:rPr>
                      <w:rFonts w:hAnsiTheme="minorEastAsia" w:eastAsiaTheme="minorEastAsia"/>
                      <w:bCs/>
                      <w:kern w:val="0"/>
                      <w:szCs w:val="21"/>
                    </w:rPr>
                    <w:t>排气筒对应的风机</w:t>
                  </w:r>
                </w:p>
              </w:tc>
              <w:tc>
                <w:tcPr>
                  <w:tcW w:w="1111" w:type="dxa"/>
                  <w:vAlign w:val="center"/>
                </w:tcPr>
                <w:p w14:paraId="49FE6576">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-50</w:t>
                  </w:r>
                </w:p>
              </w:tc>
              <w:tc>
                <w:tcPr>
                  <w:tcW w:w="993" w:type="dxa"/>
                  <w:vAlign w:val="center"/>
                </w:tcPr>
                <w:p w14:paraId="2BDED723">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-45</w:t>
                  </w:r>
                </w:p>
              </w:tc>
              <w:tc>
                <w:tcPr>
                  <w:tcW w:w="992" w:type="dxa"/>
                  <w:vAlign w:val="center"/>
                </w:tcPr>
                <w:p w14:paraId="5F126BBD">
                  <w:pPr>
                    <w:autoSpaceDE w:val="0"/>
                    <w:autoSpaceDN w:val="0"/>
                    <w:adjustRightInd w:val="0"/>
                    <w:spacing w:line="480" w:lineRule="exact"/>
                    <w:jc w:val="center"/>
                    <w:rPr>
                      <w:rFonts w:eastAsiaTheme="minorEastAsia"/>
                      <w:bCs/>
                      <w:kern w:val="0"/>
                      <w:szCs w:val="21"/>
                    </w:rPr>
                  </w:pPr>
                  <w:r>
                    <w:rPr>
                      <w:rFonts w:hint="eastAsia" w:eastAsiaTheme="minorEastAsia"/>
                      <w:bCs/>
                      <w:kern w:val="0"/>
                      <w:szCs w:val="21"/>
                    </w:rPr>
                    <w:t>12.9</w:t>
                  </w:r>
                </w:p>
              </w:tc>
              <w:tc>
                <w:tcPr>
                  <w:tcW w:w="2268" w:type="dxa"/>
                  <w:vAlign w:val="center"/>
                </w:tcPr>
                <w:p w14:paraId="37281E50">
                  <w:pPr>
                    <w:autoSpaceDE w:val="0"/>
                    <w:autoSpaceDN w:val="0"/>
                    <w:adjustRightInd w:val="0"/>
                    <w:jc w:val="center"/>
                    <w:rPr>
                      <w:rFonts w:eastAsiaTheme="minorEastAsia"/>
                      <w:bCs/>
                      <w:kern w:val="0"/>
                      <w:szCs w:val="21"/>
                    </w:rPr>
                  </w:pPr>
                  <w:r>
                    <w:rPr>
                      <w:rFonts w:eastAsiaTheme="minorEastAsia"/>
                      <w:bCs/>
                      <w:kern w:val="0"/>
                      <w:szCs w:val="21"/>
                    </w:rPr>
                    <w:t>8</w:t>
                  </w:r>
                  <w:r>
                    <w:rPr>
                      <w:rFonts w:hint="eastAsia" w:eastAsiaTheme="minorEastAsia"/>
                      <w:bCs/>
                      <w:kern w:val="0"/>
                      <w:szCs w:val="21"/>
                    </w:rPr>
                    <w:t>5/1</w:t>
                  </w:r>
                </w:p>
              </w:tc>
              <w:tc>
                <w:tcPr>
                  <w:tcW w:w="4050" w:type="dxa"/>
                  <w:vAlign w:val="center"/>
                </w:tcPr>
                <w:p w14:paraId="23B524F7">
                  <w:pPr>
                    <w:autoSpaceDE w:val="0"/>
                    <w:autoSpaceDN w:val="0"/>
                    <w:adjustRightInd w:val="0"/>
                    <w:jc w:val="center"/>
                    <w:rPr>
                      <w:rFonts w:eastAsiaTheme="minorEastAsia"/>
                      <w:bCs/>
                      <w:kern w:val="0"/>
                      <w:szCs w:val="21"/>
                    </w:rPr>
                  </w:pPr>
                  <w:r>
                    <w:rPr>
                      <w:rFonts w:hAnsiTheme="minorEastAsia" w:eastAsiaTheme="minorEastAsia"/>
                      <w:kern w:val="0"/>
                      <w:szCs w:val="21"/>
                    </w:rPr>
                    <w:t>选用低噪声设备、低噪声工艺；采取吸声、消声、隔声、减振等措施</w:t>
                  </w:r>
                </w:p>
              </w:tc>
              <w:tc>
                <w:tcPr>
                  <w:tcW w:w="1879" w:type="dxa"/>
                  <w:vAlign w:val="center"/>
                </w:tcPr>
                <w:p w14:paraId="53615AC4">
                  <w:pPr>
                    <w:autoSpaceDE w:val="0"/>
                    <w:autoSpaceDN w:val="0"/>
                    <w:adjustRightInd w:val="0"/>
                    <w:spacing w:line="480" w:lineRule="exact"/>
                    <w:jc w:val="center"/>
                    <w:rPr>
                      <w:rFonts w:hAnsiTheme="minorEastAsia" w:eastAsiaTheme="minorEastAsia"/>
                      <w:bCs/>
                      <w:kern w:val="0"/>
                      <w:szCs w:val="21"/>
                    </w:rPr>
                  </w:pPr>
                  <w:r>
                    <w:rPr>
                      <w:rFonts w:hint="eastAsia" w:hAnsiTheme="minorEastAsia" w:eastAsiaTheme="minorEastAsia"/>
                      <w:bCs/>
                      <w:kern w:val="0"/>
                      <w:szCs w:val="21"/>
                    </w:rPr>
                    <w:t>20h</w:t>
                  </w:r>
                </w:p>
              </w:tc>
            </w:tr>
            <w:tr w14:paraId="49ED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047" w:type="dxa"/>
                  <w:gridSpan w:val="8"/>
                  <w:vAlign w:val="center"/>
                </w:tcPr>
                <w:p w14:paraId="239F09DF">
                  <w:pPr>
                    <w:autoSpaceDE w:val="0"/>
                    <w:autoSpaceDN w:val="0"/>
                    <w:adjustRightInd w:val="0"/>
                    <w:spacing w:line="480" w:lineRule="exact"/>
                    <w:jc w:val="left"/>
                    <w:rPr>
                      <w:rFonts w:hAnsiTheme="minorEastAsia" w:eastAsiaTheme="minorEastAsia"/>
                      <w:bCs/>
                      <w:kern w:val="0"/>
                      <w:szCs w:val="21"/>
                    </w:rPr>
                  </w:pPr>
                  <w:r>
                    <w:rPr>
                      <w:rFonts w:hAnsiTheme="minorEastAsia" w:eastAsiaTheme="minorEastAsia"/>
                      <w:bCs/>
                      <w:kern w:val="0"/>
                      <w:szCs w:val="21"/>
                    </w:rPr>
                    <w:t>注：相对位置原点位于</w:t>
                  </w:r>
                  <w:r>
                    <w:rPr>
                      <w:rFonts w:hint="eastAsia" w:eastAsiaTheme="minorEastAsia"/>
                      <w:bCs/>
                      <w:kern w:val="0"/>
                      <w:szCs w:val="21"/>
                    </w:rPr>
                    <w:t>2#厂房东北角</w:t>
                  </w:r>
                  <w:r>
                    <w:rPr>
                      <w:rFonts w:hAnsiTheme="minorEastAsia" w:eastAsiaTheme="minorEastAsia"/>
                      <w:bCs/>
                      <w:kern w:val="0"/>
                      <w:szCs w:val="21"/>
                    </w:rPr>
                    <w:t>地平，正北方向为</w:t>
                  </w:r>
                  <w:r>
                    <w:rPr>
                      <w:rFonts w:eastAsiaTheme="minorEastAsia"/>
                      <w:bCs/>
                      <w:kern w:val="0"/>
                      <w:szCs w:val="21"/>
                    </w:rPr>
                    <w:t>X</w:t>
                  </w:r>
                  <w:r>
                    <w:rPr>
                      <w:rFonts w:hAnsiTheme="minorEastAsia" w:eastAsiaTheme="minorEastAsia"/>
                      <w:bCs/>
                      <w:kern w:val="0"/>
                      <w:szCs w:val="21"/>
                    </w:rPr>
                    <w:t>轴方向，正东方向为</w:t>
                  </w:r>
                  <w:r>
                    <w:rPr>
                      <w:rFonts w:eastAsiaTheme="minorEastAsia"/>
                      <w:bCs/>
                      <w:kern w:val="0"/>
                      <w:szCs w:val="21"/>
                    </w:rPr>
                    <w:t>Y</w:t>
                  </w:r>
                  <w:r>
                    <w:rPr>
                      <w:rFonts w:hAnsiTheme="minorEastAsia" w:eastAsiaTheme="minorEastAsia"/>
                      <w:bCs/>
                      <w:kern w:val="0"/>
                      <w:szCs w:val="21"/>
                    </w:rPr>
                    <w:t>轴方向。</w:t>
                  </w:r>
                </w:p>
              </w:tc>
            </w:tr>
          </w:tbl>
          <w:p w14:paraId="3D962533">
            <w:pPr>
              <w:spacing w:line="460" w:lineRule="exact"/>
              <w:ind w:firstLine="422" w:firstLineChars="200"/>
              <w:jc w:val="center"/>
              <w:rPr>
                <w:b/>
                <w:szCs w:val="21"/>
              </w:rPr>
            </w:pPr>
            <w:r>
              <w:rPr>
                <w:b/>
                <w:szCs w:val="21"/>
              </w:rPr>
              <w:t>表4</w:t>
            </w:r>
            <w:r>
              <w:rPr>
                <w:rFonts w:hint="eastAsia"/>
                <w:b/>
                <w:szCs w:val="21"/>
              </w:rPr>
              <w:t>.2</w:t>
            </w:r>
            <w:r>
              <w:rPr>
                <w:b/>
                <w:szCs w:val="21"/>
              </w:rPr>
              <w:t>-</w:t>
            </w:r>
            <w:r>
              <w:rPr>
                <w:rFonts w:hint="eastAsia"/>
                <w:b/>
                <w:szCs w:val="21"/>
              </w:rPr>
              <w:t>15 工业企业噪声源强调查清单（室内声源）</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650"/>
              <w:gridCol w:w="1116"/>
              <w:gridCol w:w="846"/>
              <w:gridCol w:w="1396"/>
              <w:gridCol w:w="918"/>
              <w:gridCol w:w="852"/>
              <w:gridCol w:w="849"/>
              <w:gridCol w:w="852"/>
              <w:gridCol w:w="710"/>
              <w:gridCol w:w="707"/>
              <w:gridCol w:w="710"/>
              <w:gridCol w:w="707"/>
              <w:gridCol w:w="867"/>
              <w:gridCol w:w="846"/>
              <w:gridCol w:w="993"/>
              <w:gridCol w:w="858"/>
              <w:gridCol w:w="677"/>
            </w:tblGrid>
            <w:tr w14:paraId="3F53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Merge w:val="restart"/>
                  <w:vAlign w:val="center"/>
                </w:tcPr>
                <w:p w14:paraId="753E4149">
                  <w:pPr>
                    <w:jc w:val="center"/>
                    <w:rPr>
                      <w:rFonts w:eastAsiaTheme="minorEastAsia"/>
                      <w:szCs w:val="21"/>
                    </w:rPr>
                  </w:pPr>
                  <w:r>
                    <w:rPr>
                      <w:rFonts w:hAnsiTheme="minorEastAsia" w:eastAsiaTheme="minorEastAsia"/>
                      <w:szCs w:val="21"/>
                    </w:rPr>
                    <w:t>序号</w:t>
                  </w:r>
                </w:p>
              </w:tc>
              <w:tc>
                <w:tcPr>
                  <w:tcW w:w="216" w:type="pct"/>
                  <w:vMerge w:val="restart"/>
                  <w:vAlign w:val="center"/>
                </w:tcPr>
                <w:p w14:paraId="34137B18">
                  <w:pPr>
                    <w:jc w:val="center"/>
                    <w:rPr>
                      <w:rFonts w:eastAsiaTheme="minorEastAsia"/>
                      <w:szCs w:val="21"/>
                    </w:rPr>
                  </w:pPr>
                  <w:r>
                    <w:rPr>
                      <w:rFonts w:hAnsiTheme="minorEastAsia" w:eastAsiaTheme="minorEastAsia"/>
                      <w:szCs w:val="21"/>
                    </w:rPr>
                    <w:t>建筑物名称</w:t>
                  </w:r>
                </w:p>
              </w:tc>
              <w:tc>
                <w:tcPr>
                  <w:tcW w:w="371" w:type="pct"/>
                  <w:vMerge w:val="restart"/>
                  <w:vAlign w:val="center"/>
                </w:tcPr>
                <w:p w14:paraId="27FE8838">
                  <w:pPr>
                    <w:jc w:val="center"/>
                    <w:rPr>
                      <w:rFonts w:eastAsiaTheme="minorEastAsia"/>
                      <w:szCs w:val="21"/>
                    </w:rPr>
                  </w:pPr>
                  <w:r>
                    <w:rPr>
                      <w:rFonts w:hAnsiTheme="minorEastAsia" w:eastAsiaTheme="minorEastAsia"/>
                      <w:szCs w:val="21"/>
                    </w:rPr>
                    <w:t>声源</w:t>
                  </w:r>
                </w:p>
                <w:p w14:paraId="677CF5D5">
                  <w:pPr>
                    <w:jc w:val="center"/>
                    <w:rPr>
                      <w:rFonts w:eastAsiaTheme="minorEastAsia"/>
                      <w:szCs w:val="21"/>
                    </w:rPr>
                  </w:pPr>
                  <w:r>
                    <w:rPr>
                      <w:rFonts w:hAnsiTheme="minorEastAsia" w:eastAsiaTheme="minorEastAsia"/>
                      <w:szCs w:val="21"/>
                    </w:rPr>
                    <w:t>名称</w:t>
                  </w:r>
                </w:p>
              </w:tc>
              <w:tc>
                <w:tcPr>
                  <w:tcW w:w="281" w:type="pct"/>
                  <w:vMerge w:val="restart"/>
                  <w:vAlign w:val="center"/>
                </w:tcPr>
                <w:p w14:paraId="63A5D32A">
                  <w:pPr>
                    <w:jc w:val="center"/>
                    <w:rPr>
                      <w:rFonts w:eastAsiaTheme="minorEastAsia"/>
                      <w:szCs w:val="21"/>
                    </w:rPr>
                  </w:pPr>
                  <w:r>
                    <w:rPr>
                      <w:rFonts w:hAnsiTheme="minorEastAsia" w:eastAsiaTheme="minorEastAsia"/>
                      <w:snapToGrid w:val="0"/>
                      <w:szCs w:val="21"/>
                    </w:rPr>
                    <w:t>数量（台）</w:t>
                  </w:r>
                </w:p>
              </w:tc>
              <w:tc>
                <w:tcPr>
                  <w:tcW w:w="464" w:type="pct"/>
                  <w:vMerge w:val="restart"/>
                  <w:vAlign w:val="center"/>
                </w:tcPr>
                <w:p w14:paraId="01424FEE">
                  <w:pPr>
                    <w:autoSpaceDE w:val="0"/>
                    <w:autoSpaceDN w:val="0"/>
                    <w:adjustRightInd w:val="0"/>
                    <w:jc w:val="left"/>
                    <w:rPr>
                      <w:kern w:val="0"/>
                      <w:szCs w:val="21"/>
                    </w:rPr>
                  </w:pPr>
                  <w:r>
                    <w:rPr>
                      <w:rFonts w:hint="eastAsia" w:ascii="宋体" w:cs="宋体"/>
                      <w:kern w:val="0"/>
                      <w:szCs w:val="21"/>
                    </w:rPr>
                    <w:t>（声压级</w:t>
                  </w:r>
                  <w:r>
                    <w:rPr>
                      <w:kern w:val="0"/>
                      <w:szCs w:val="21"/>
                    </w:rPr>
                    <w:t>/</w:t>
                  </w:r>
                  <w:r>
                    <w:rPr>
                      <w:rFonts w:hint="eastAsia" w:ascii="宋体" w:cs="宋体"/>
                      <w:kern w:val="0"/>
                      <w:szCs w:val="21"/>
                    </w:rPr>
                    <w:t>距声源距离）</w:t>
                  </w:r>
                  <w:r>
                    <w:rPr>
                      <w:kern w:val="0"/>
                      <w:szCs w:val="21"/>
                    </w:rPr>
                    <w:t>/</w:t>
                  </w:r>
                </w:p>
                <w:p w14:paraId="24761329">
                  <w:pPr>
                    <w:jc w:val="center"/>
                    <w:rPr>
                      <w:rFonts w:eastAsiaTheme="minorEastAsia"/>
                      <w:szCs w:val="21"/>
                    </w:rPr>
                  </w:pPr>
                  <w:r>
                    <w:rPr>
                      <w:rFonts w:hint="eastAsia" w:ascii="宋体" w:cs="宋体"/>
                      <w:kern w:val="0"/>
                      <w:szCs w:val="21"/>
                    </w:rPr>
                    <w:t>（</w:t>
                  </w:r>
                  <w:r>
                    <w:rPr>
                      <w:kern w:val="0"/>
                      <w:szCs w:val="21"/>
                    </w:rPr>
                    <w:t>dB(A)/m</w:t>
                  </w:r>
                  <w:r>
                    <w:rPr>
                      <w:rFonts w:hint="eastAsia" w:ascii="宋体" w:cs="宋体"/>
                      <w:kern w:val="0"/>
                      <w:szCs w:val="21"/>
                    </w:rPr>
                    <w:t>）</w:t>
                  </w:r>
                </w:p>
              </w:tc>
              <w:tc>
                <w:tcPr>
                  <w:tcW w:w="305" w:type="pct"/>
                  <w:vMerge w:val="restart"/>
                  <w:vAlign w:val="center"/>
                </w:tcPr>
                <w:p w14:paraId="6FE01BB5">
                  <w:pPr>
                    <w:jc w:val="center"/>
                    <w:rPr>
                      <w:rFonts w:eastAsiaTheme="minorEastAsia"/>
                      <w:szCs w:val="21"/>
                    </w:rPr>
                  </w:pPr>
                  <w:r>
                    <w:rPr>
                      <w:rFonts w:hAnsiTheme="minorEastAsia" w:eastAsiaTheme="minorEastAsia"/>
                      <w:szCs w:val="21"/>
                    </w:rPr>
                    <w:t>声源控制措施</w:t>
                  </w:r>
                </w:p>
              </w:tc>
              <w:tc>
                <w:tcPr>
                  <w:tcW w:w="848" w:type="pct"/>
                  <w:gridSpan w:val="3"/>
                  <w:vAlign w:val="center"/>
                </w:tcPr>
                <w:p w14:paraId="30CF1A7E">
                  <w:pPr>
                    <w:jc w:val="center"/>
                    <w:rPr>
                      <w:rFonts w:eastAsiaTheme="minorEastAsia"/>
                      <w:szCs w:val="21"/>
                    </w:rPr>
                  </w:pPr>
                  <w:r>
                    <w:rPr>
                      <w:rFonts w:hAnsiTheme="minorEastAsia" w:eastAsiaTheme="minorEastAsia"/>
                      <w:szCs w:val="21"/>
                    </w:rPr>
                    <w:t>空间相对位置</w:t>
                  </w:r>
                </w:p>
              </w:tc>
              <w:tc>
                <w:tcPr>
                  <w:tcW w:w="942" w:type="pct"/>
                  <w:gridSpan w:val="4"/>
                  <w:vAlign w:val="center"/>
                </w:tcPr>
                <w:p w14:paraId="74A57F64">
                  <w:pPr>
                    <w:jc w:val="center"/>
                    <w:rPr>
                      <w:rFonts w:eastAsiaTheme="minorEastAsia"/>
                      <w:szCs w:val="21"/>
                    </w:rPr>
                  </w:pPr>
                  <w:r>
                    <w:rPr>
                      <w:rFonts w:hint="eastAsia" w:hAnsiTheme="minorEastAsia" w:eastAsiaTheme="minorEastAsia"/>
                      <w:szCs w:val="21"/>
                    </w:rPr>
                    <w:t>距</w:t>
                  </w:r>
                  <w:r>
                    <w:rPr>
                      <w:rFonts w:hAnsiTheme="minorEastAsia" w:eastAsiaTheme="minorEastAsia"/>
                      <w:szCs w:val="21"/>
                    </w:rPr>
                    <w:t>室内边界距离</w:t>
                  </w:r>
                  <w:r>
                    <w:rPr>
                      <w:rFonts w:eastAsiaTheme="minorEastAsia"/>
                      <w:szCs w:val="21"/>
                    </w:rPr>
                    <w:t>/m</w:t>
                  </w:r>
                </w:p>
              </w:tc>
              <w:tc>
                <w:tcPr>
                  <w:tcW w:w="1184" w:type="pct"/>
                  <w:gridSpan w:val="4"/>
                  <w:vAlign w:val="center"/>
                </w:tcPr>
                <w:p w14:paraId="5585D233">
                  <w:pPr>
                    <w:jc w:val="center"/>
                    <w:rPr>
                      <w:rFonts w:eastAsiaTheme="minorEastAsia"/>
                      <w:szCs w:val="21"/>
                    </w:rPr>
                  </w:pPr>
                  <w:r>
                    <w:rPr>
                      <w:rFonts w:hAnsiTheme="minorEastAsia" w:eastAsiaTheme="minorEastAsia"/>
                      <w:snapToGrid w:val="0"/>
                      <w:szCs w:val="21"/>
                    </w:rPr>
                    <w:t>室内边界声级</w:t>
                  </w:r>
                  <w:r>
                    <w:rPr>
                      <w:rFonts w:eastAsiaTheme="minorEastAsia"/>
                      <w:snapToGrid w:val="0"/>
                      <w:szCs w:val="21"/>
                    </w:rPr>
                    <w:t>/</w:t>
                  </w:r>
                  <w:r>
                    <w:rPr>
                      <w:rFonts w:eastAsiaTheme="minorEastAsia"/>
                      <w:snapToGrid w:val="0"/>
                      <w:spacing w:val="-8"/>
                      <w:szCs w:val="21"/>
                    </w:rPr>
                    <w:t xml:space="preserve"> dB</w:t>
                  </w:r>
                  <w:r>
                    <w:rPr>
                      <w:rFonts w:hAnsiTheme="minorEastAsia" w:eastAsiaTheme="minorEastAsia"/>
                      <w:snapToGrid w:val="0"/>
                      <w:spacing w:val="-8"/>
                      <w:szCs w:val="21"/>
                    </w:rPr>
                    <w:t>（</w:t>
                  </w:r>
                  <w:r>
                    <w:rPr>
                      <w:rFonts w:eastAsiaTheme="minorEastAsia"/>
                      <w:snapToGrid w:val="0"/>
                      <w:spacing w:val="-8"/>
                      <w:szCs w:val="21"/>
                    </w:rPr>
                    <w:t>A</w:t>
                  </w:r>
                  <w:r>
                    <w:rPr>
                      <w:rFonts w:hAnsiTheme="minorEastAsia" w:eastAsiaTheme="minorEastAsia"/>
                      <w:snapToGrid w:val="0"/>
                      <w:spacing w:val="-8"/>
                      <w:szCs w:val="21"/>
                    </w:rPr>
                    <w:t>）</w:t>
                  </w:r>
                </w:p>
              </w:tc>
              <w:tc>
                <w:tcPr>
                  <w:tcW w:w="225" w:type="pct"/>
                  <w:vMerge w:val="restart"/>
                  <w:vAlign w:val="center"/>
                </w:tcPr>
                <w:p w14:paraId="02D299AC">
                  <w:pPr>
                    <w:pStyle w:val="2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运行时段</w:t>
                  </w:r>
                </w:p>
              </w:tc>
            </w:tr>
            <w:tr w14:paraId="3CF5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Merge w:val="continue"/>
                  <w:vAlign w:val="center"/>
                </w:tcPr>
                <w:p w14:paraId="488A24DC">
                  <w:pPr>
                    <w:jc w:val="center"/>
                    <w:rPr>
                      <w:rFonts w:eastAsiaTheme="minorEastAsia"/>
                      <w:szCs w:val="21"/>
                    </w:rPr>
                  </w:pPr>
                </w:p>
              </w:tc>
              <w:tc>
                <w:tcPr>
                  <w:tcW w:w="216" w:type="pct"/>
                  <w:vMerge w:val="continue"/>
                  <w:vAlign w:val="center"/>
                </w:tcPr>
                <w:p w14:paraId="52D1EA4A">
                  <w:pPr>
                    <w:jc w:val="center"/>
                    <w:rPr>
                      <w:rFonts w:eastAsiaTheme="minorEastAsia"/>
                      <w:szCs w:val="21"/>
                    </w:rPr>
                  </w:pPr>
                </w:p>
              </w:tc>
              <w:tc>
                <w:tcPr>
                  <w:tcW w:w="371" w:type="pct"/>
                  <w:vMerge w:val="continue"/>
                  <w:vAlign w:val="center"/>
                </w:tcPr>
                <w:p w14:paraId="6A24F9BF">
                  <w:pPr>
                    <w:jc w:val="center"/>
                    <w:rPr>
                      <w:rFonts w:eastAsiaTheme="minorEastAsia"/>
                      <w:szCs w:val="21"/>
                    </w:rPr>
                  </w:pPr>
                </w:p>
              </w:tc>
              <w:tc>
                <w:tcPr>
                  <w:tcW w:w="281" w:type="pct"/>
                  <w:vMerge w:val="continue"/>
                  <w:vAlign w:val="center"/>
                </w:tcPr>
                <w:p w14:paraId="19A10D5E">
                  <w:pPr>
                    <w:jc w:val="center"/>
                    <w:rPr>
                      <w:rFonts w:eastAsiaTheme="minorEastAsia"/>
                      <w:szCs w:val="21"/>
                    </w:rPr>
                  </w:pPr>
                </w:p>
              </w:tc>
              <w:tc>
                <w:tcPr>
                  <w:tcW w:w="464" w:type="pct"/>
                  <w:vMerge w:val="continue"/>
                  <w:vAlign w:val="center"/>
                </w:tcPr>
                <w:p w14:paraId="40DF94F2">
                  <w:pPr>
                    <w:jc w:val="center"/>
                    <w:rPr>
                      <w:rFonts w:eastAsiaTheme="minorEastAsia"/>
                      <w:szCs w:val="21"/>
                    </w:rPr>
                  </w:pPr>
                </w:p>
              </w:tc>
              <w:tc>
                <w:tcPr>
                  <w:tcW w:w="305" w:type="pct"/>
                  <w:vMerge w:val="continue"/>
                  <w:vAlign w:val="center"/>
                </w:tcPr>
                <w:p w14:paraId="1C3353C8">
                  <w:pPr>
                    <w:jc w:val="center"/>
                    <w:rPr>
                      <w:rFonts w:eastAsiaTheme="minorEastAsia"/>
                      <w:szCs w:val="21"/>
                    </w:rPr>
                  </w:pPr>
                </w:p>
              </w:tc>
              <w:tc>
                <w:tcPr>
                  <w:tcW w:w="283" w:type="pct"/>
                  <w:vAlign w:val="center"/>
                </w:tcPr>
                <w:p w14:paraId="33F30A80">
                  <w:pPr>
                    <w:jc w:val="center"/>
                    <w:rPr>
                      <w:rFonts w:eastAsiaTheme="minorEastAsia"/>
                      <w:szCs w:val="21"/>
                    </w:rPr>
                  </w:pPr>
                  <w:r>
                    <w:rPr>
                      <w:rFonts w:eastAsiaTheme="minorEastAsia"/>
                      <w:szCs w:val="21"/>
                    </w:rPr>
                    <w:t>X</w:t>
                  </w:r>
                </w:p>
              </w:tc>
              <w:tc>
                <w:tcPr>
                  <w:tcW w:w="282" w:type="pct"/>
                  <w:vAlign w:val="center"/>
                </w:tcPr>
                <w:p w14:paraId="704D65DE">
                  <w:pPr>
                    <w:jc w:val="center"/>
                    <w:rPr>
                      <w:rFonts w:eastAsiaTheme="minorEastAsia"/>
                      <w:szCs w:val="21"/>
                    </w:rPr>
                  </w:pPr>
                  <w:r>
                    <w:rPr>
                      <w:rFonts w:eastAsiaTheme="minorEastAsia"/>
                      <w:szCs w:val="21"/>
                    </w:rPr>
                    <w:t>Y</w:t>
                  </w:r>
                </w:p>
              </w:tc>
              <w:tc>
                <w:tcPr>
                  <w:tcW w:w="283" w:type="pct"/>
                  <w:vAlign w:val="center"/>
                </w:tcPr>
                <w:p w14:paraId="584C68C7">
                  <w:pPr>
                    <w:jc w:val="center"/>
                    <w:rPr>
                      <w:rFonts w:eastAsiaTheme="minorEastAsia"/>
                      <w:szCs w:val="21"/>
                    </w:rPr>
                  </w:pPr>
                  <w:r>
                    <w:rPr>
                      <w:rFonts w:eastAsiaTheme="minorEastAsia"/>
                      <w:szCs w:val="21"/>
                    </w:rPr>
                    <w:t>Z</w:t>
                  </w:r>
                </w:p>
              </w:tc>
              <w:tc>
                <w:tcPr>
                  <w:tcW w:w="236" w:type="pct"/>
                  <w:vAlign w:val="center"/>
                </w:tcPr>
                <w:p w14:paraId="10F58BC3">
                  <w:pPr>
                    <w:jc w:val="center"/>
                    <w:rPr>
                      <w:rFonts w:eastAsiaTheme="minorEastAsia"/>
                      <w:szCs w:val="21"/>
                    </w:rPr>
                  </w:pPr>
                  <w:r>
                    <w:rPr>
                      <w:rFonts w:hAnsiTheme="minorEastAsia" w:eastAsiaTheme="minorEastAsia"/>
                      <w:szCs w:val="21"/>
                    </w:rPr>
                    <w:t>东</w:t>
                  </w:r>
                </w:p>
              </w:tc>
              <w:tc>
                <w:tcPr>
                  <w:tcW w:w="235" w:type="pct"/>
                  <w:vAlign w:val="center"/>
                </w:tcPr>
                <w:p w14:paraId="399998DA">
                  <w:pPr>
                    <w:jc w:val="center"/>
                    <w:rPr>
                      <w:rFonts w:eastAsiaTheme="minorEastAsia"/>
                      <w:szCs w:val="21"/>
                    </w:rPr>
                  </w:pPr>
                  <w:r>
                    <w:rPr>
                      <w:rFonts w:hAnsiTheme="minorEastAsia" w:eastAsiaTheme="minorEastAsia"/>
                      <w:szCs w:val="21"/>
                    </w:rPr>
                    <w:t>南</w:t>
                  </w:r>
                </w:p>
              </w:tc>
              <w:tc>
                <w:tcPr>
                  <w:tcW w:w="236" w:type="pct"/>
                  <w:vAlign w:val="center"/>
                </w:tcPr>
                <w:p w14:paraId="3FAAA6EB">
                  <w:pPr>
                    <w:jc w:val="center"/>
                    <w:rPr>
                      <w:rFonts w:eastAsiaTheme="minorEastAsia"/>
                      <w:szCs w:val="21"/>
                    </w:rPr>
                  </w:pPr>
                  <w:r>
                    <w:rPr>
                      <w:rFonts w:hAnsiTheme="minorEastAsia" w:eastAsiaTheme="minorEastAsia"/>
                      <w:szCs w:val="21"/>
                    </w:rPr>
                    <w:t>西</w:t>
                  </w:r>
                </w:p>
              </w:tc>
              <w:tc>
                <w:tcPr>
                  <w:tcW w:w="235" w:type="pct"/>
                  <w:vAlign w:val="center"/>
                </w:tcPr>
                <w:p w14:paraId="6324EC04">
                  <w:pPr>
                    <w:jc w:val="center"/>
                    <w:rPr>
                      <w:rFonts w:eastAsiaTheme="minorEastAsia"/>
                      <w:szCs w:val="21"/>
                    </w:rPr>
                  </w:pPr>
                  <w:r>
                    <w:rPr>
                      <w:rFonts w:hAnsiTheme="minorEastAsia" w:eastAsiaTheme="minorEastAsia"/>
                      <w:szCs w:val="21"/>
                    </w:rPr>
                    <w:t>北</w:t>
                  </w:r>
                </w:p>
              </w:tc>
              <w:tc>
                <w:tcPr>
                  <w:tcW w:w="288" w:type="pct"/>
                  <w:vAlign w:val="center"/>
                </w:tcPr>
                <w:p w14:paraId="0C18B606">
                  <w:pPr>
                    <w:jc w:val="center"/>
                    <w:rPr>
                      <w:rFonts w:eastAsiaTheme="minorEastAsia"/>
                      <w:szCs w:val="21"/>
                    </w:rPr>
                  </w:pPr>
                  <w:r>
                    <w:rPr>
                      <w:rFonts w:hAnsiTheme="minorEastAsia" w:eastAsiaTheme="minorEastAsia"/>
                      <w:szCs w:val="21"/>
                    </w:rPr>
                    <w:t>东</w:t>
                  </w:r>
                </w:p>
              </w:tc>
              <w:tc>
                <w:tcPr>
                  <w:tcW w:w="281" w:type="pct"/>
                  <w:vAlign w:val="center"/>
                </w:tcPr>
                <w:p w14:paraId="54ACA64D">
                  <w:pPr>
                    <w:jc w:val="center"/>
                    <w:rPr>
                      <w:rFonts w:eastAsiaTheme="minorEastAsia"/>
                      <w:szCs w:val="21"/>
                    </w:rPr>
                  </w:pPr>
                  <w:r>
                    <w:rPr>
                      <w:rFonts w:hAnsiTheme="minorEastAsia" w:eastAsiaTheme="minorEastAsia"/>
                      <w:szCs w:val="21"/>
                    </w:rPr>
                    <w:t>南</w:t>
                  </w:r>
                </w:p>
              </w:tc>
              <w:tc>
                <w:tcPr>
                  <w:tcW w:w="330" w:type="pct"/>
                  <w:vAlign w:val="center"/>
                </w:tcPr>
                <w:p w14:paraId="6E818A4E">
                  <w:pPr>
                    <w:jc w:val="center"/>
                    <w:rPr>
                      <w:rFonts w:eastAsiaTheme="minorEastAsia"/>
                      <w:szCs w:val="21"/>
                    </w:rPr>
                  </w:pPr>
                  <w:r>
                    <w:rPr>
                      <w:rFonts w:hAnsiTheme="minorEastAsia" w:eastAsiaTheme="minorEastAsia"/>
                      <w:szCs w:val="21"/>
                    </w:rPr>
                    <w:t>西</w:t>
                  </w:r>
                </w:p>
              </w:tc>
              <w:tc>
                <w:tcPr>
                  <w:tcW w:w="285" w:type="pct"/>
                  <w:vAlign w:val="center"/>
                </w:tcPr>
                <w:p w14:paraId="2127517D">
                  <w:pPr>
                    <w:jc w:val="center"/>
                    <w:rPr>
                      <w:rFonts w:eastAsiaTheme="minorEastAsia"/>
                      <w:szCs w:val="21"/>
                    </w:rPr>
                  </w:pPr>
                  <w:r>
                    <w:rPr>
                      <w:rFonts w:hAnsiTheme="minorEastAsia" w:eastAsiaTheme="minorEastAsia"/>
                      <w:szCs w:val="21"/>
                    </w:rPr>
                    <w:t>北</w:t>
                  </w:r>
                </w:p>
              </w:tc>
              <w:tc>
                <w:tcPr>
                  <w:tcW w:w="225" w:type="pct"/>
                  <w:vMerge w:val="continue"/>
                  <w:vAlign w:val="center"/>
                </w:tcPr>
                <w:p w14:paraId="06B931C9">
                  <w:pPr>
                    <w:jc w:val="center"/>
                    <w:rPr>
                      <w:rFonts w:eastAsiaTheme="minorEastAsia"/>
                      <w:szCs w:val="21"/>
                    </w:rPr>
                  </w:pPr>
                </w:p>
              </w:tc>
            </w:tr>
            <w:tr w14:paraId="577D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1ABE0E66">
                  <w:pPr>
                    <w:jc w:val="center"/>
                    <w:rPr>
                      <w:rFonts w:eastAsiaTheme="minorEastAsia"/>
                      <w:szCs w:val="21"/>
                    </w:rPr>
                  </w:pPr>
                  <w:r>
                    <w:rPr>
                      <w:rFonts w:eastAsiaTheme="minorEastAsia"/>
                      <w:szCs w:val="21"/>
                    </w:rPr>
                    <w:t>1</w:t>
                  </w:r>
                </w:p>
              </w:tc>
              <w:tc>
                <w:tcPr>
                  <w:tcW w:w="216" w:type="pct"/>
                  <w:vMerge w:val="restart"/>
                  <w:vAlign w:val="center"/>
                </w:tcPr>
                <w:p w14:paraId="04337E6C">
                  <w:pPr>
                    <w:jc w:val="center"/>
                    <w:rPr>
                      <w:rFonts w:eastAsiaTheme="minorEastAsia"/>
                      <w:szCs w:val="21"/>
                    </w:rPr>
                  </w:pPr>
                  <w:r>
                    <w:rPr>
                      <w:rFonts w:eastAsiaTheme="minorEastAsia"/>
                      <w:szCs w:val="21"/>
                    </w:rPr>
                    <w:t>2#</w:t>
                  </w:r>
                  <w:r>
                    <w:rPr>
                      <w:rFonts w:hAnsiTheme="minorEastAsia" w:eastAsiaTheme="minorEastAsia"/>
                      <w:szCs w:val="21"/>
                    </w:rPr>
                    <w:t>厂房</w:t>
                  </w:r>
                </w:p>
              </w:tc>
              <w:tc>
                <w:tcPr>
                  <w:tcW w:w="371" w:type="pct"/>
                  <w:vAlign w:val="center"/>
                </w:tcPr>
                <w:p w14:paraId="63470485">
                  <w:pPr>
                    <w:jc w:val="center"/>
                    <w:rPr>
                      <w:rFonts w:eastAsiaTheme="minorEastAsia"/>
                      <w:szCs w:val="21"/>
                    </w:rPr>
                  </w:pPr>
                  <w:r>
                    <w:rPr>
                      <w:rFonts w:eastAsiaTheme="minorEastAsia"/>
                      <w:szCs w:val="21"/>
                    </w:rPr>
                    <w:t>CTP</w:t>
                  </w:r>
                  <w:r>
                    <w:rPr>
                      <w:rFonts w:hAnsiTheme="minorEastAsia" w:eastAsiaTheme="minorEastAsia"/>
                      <w:szCs w:val="21"/>
                    </w:rPr>
                    <w:t>制版机</w:t>
                  </w:r>
                </w:p>
              </w:tc>
              <w:tc>
                <w:tcPr>
                  <w:tcW w:w="281" w:type="pct"/>
                  <w:vAlign w:val="center"/>
                </w:tcPr>
                <w:p w14:paraId="760E5FF7">
                  <w:pPr>
                    <w:jc w:val="center"/>
                    <w:rPr>
                      <w:rFonts w:eastAsiaTheme="minorEastAsia"/>
                      <w:szCs w:val="21"/>
                    </w:rPr>
                  </w:pPr>
                  <w:r>
                    <w:rPr>
                      <w:rFonts w:hint="eastAsia" w:eastAsiaTheme="minorEastAsia"/>
                      <w:szCs w:val="21"/>
                    </w:rPr>
                    <w:t>1</w:t>
                  </w:r>
                </w:p>
              </w:tc>
              <w:tc>
                <w:tcPr>
                  <w:tcW w:w="464" w:type="pct"/>
                  <w:vAlign w:val="center"/>
                </w:tcPr>
                <w:p w14:paraId="7D0FC693">
                  <w:pPr>
                    <w:jc w:val="center"/>
                    <w:rPr>
                      <w:rFonts w:eastAsiaTheme="minorEastAsia"/>
                      <w:szCs w:val="21"/>
                    </w:rPr>
                  </w:pPr>
                  <w:r>
                    <w:rPr>
                      <w:rFonts w:hint="eastAsia" w:eastAsiaTheme="minorEastAsia"/>
                      <w:szCs w:val="21"/>
                    </w:rPr>
                    <w:t>80/1</w:t>
                  </w:r>
                </w:p>
              </w:tc>
              <w:tc>
                <w:tcPr>
                  <w:tcW w:w="305" w:type="pct"/>
                  <w:vMerge w:val="restart"/>
                  <w:vAlign w:val="center"/>
                </w:tcPr>
                <w:p w14:paraId="3D149F13">
                  <w:pPr>
                    <w:jc w:val="center"/>
                    <w:rPr>
                      <w:rFonts w:eastAsiaTheme="minorEastAsia"/>
                      <w:szCs w:val="21"/>
                    </w:rPr>
                  </w:pPr>
                  <w:r>
                    <w:rPr>
                      <w:rFonts w:hint="eastAsia" w:ascii="宋体" w:cs="宋体"/>
                      <w:kern w:val="0"/>
                      <w:szCs w:val="21"/>
                    </w:rPr>
                    <w:t>主要通过选用低噪声设备，利用建筑隔声，采取减震措施来进行降噪。</w:t>
                  </w:r>
                </w:p>
              </w:tc>
              <w:tc>
                <w:tcPr>
                  <w:tcW w:w="283" w:type="pct"/>
                  <w:vAlign w:val="center"/>
                </w:tcPr>
                <w:p w14:paraId="3E98718A">
                  <w:pPr>
                    <w:jc w:val="center"/>
                    <w:rPr>
                      <w:rFonts w:eastAsiaTheme="minorEastAsia"/>
                      <w:szCs w:val="21"/>
                    </w:rPr>
                  </w:pPr>
                  <w:r>
                    <w:rPr>
                      <w:rFonts w:hint="eastAsia" w:eastAsiaTheme="minorEastAsia"/>
                      <w:szCs w:val="21"/>
                    </w:rPr>
                    <w:t>-17</w:t>
                  </w:r>
                </w:p>
              </w:tc>
              <w:tc>
                <w:tcPr>
                  <w:tcW w:w="282" w:type="pct"/>
                  <w:vAlign w:val="center"/>
                </w:tcPr>
                <w:p w14:paraId="2D4D9028">
                  <w:pPr>
                    <w:jc w:val="center"/>
                    <w:rPr>
                      <w:rFonts w:eastAsiaTheme="minorEastAsia"/>
                      <w:szCs w:val="21"/>
                    </w:rPr>
                  </w:pPr>
                  <w:r>
                    <w:rPr>
                      <w:rFonts w:hint="eastAsia" w:eastAsiaTheme="minorEastAsia"/>
                      <w:szCs w:val="21"/>
                    </w:rPr>
                    <w:t>-4</w:t>
                  </w:r>
                </w:p>
              </w:tc>
              <w:tc>
                <w:tcPr>
                  <w:tcW w:w="283" w:type="pct"/>
                  <w:vAlign w:val="center"/>
                </w:tcPr>
                <w:p w14:paraId="25676A1C">
                  <w:pPr>
                    <w:jc w:val="center"/>
                    <w:rPr>
                      <w:rFonts w:eastAsiaTheme="minorEastAsia"/>
                      <w:szCs w:val="21"/>
                    </w:rPr>
                  </w:pPr>
                  <w:r>
                    <w:rPr>
                      <w:rFonts w:hint="eastAsia" w:eastAsiaTheme="minorEastAsia"/>
                      <w:szCs w:val="21"/>
                    </w:rPr>
                    <w:t>0</w:t>
                  </w:r>
                </w:p>
              </w:tc>
              <w:tc>
                <w:tcPr>
                  <w:tcW w:w="236" w:type="pct"/>
                  <w:vAlign w:val="center"/>
                </w:tcPr>
                <w:p w14:paraId="32C0AC81">
                  <w:pPr>
                    <w:jc w:val="center"/>
                    <w:rPr>
                      <w:rFonts w:eastAsiaTheme="minorEastAsia"/>
                      <w:szCs w:val="21"/>
                    </w:rPr>
                  </w:pPr>
                  <w:r>
                    <w:rPr>
                      <w:rFonts w:hint="eastAsia" w:eastAsiaTheme="minorEastAsia"/>
                      <w:szCs w:val="21"/>
                    </w:rPr>
                    <w:t>3</w:t>
                  </w:r>
                </w:p>
              </w:tc>
              <w:tc>
                <w:tcPr>
                  <w:tcW w:w="235" w:type="pct"/>
                  <w:vAlign w:val="center"/>
                </w:tcPr>
                <w:p w14:paraId="4E481D9B">
                  <w:pPr>
                    <w:jc w:val="center"/>
                    <w:rPr>
                      <w:rFonts w:eastAsiaTheme="minorEastAsia"/>
                      <w:szCs w:val="21"/>
                    </w:rPr>
                  </w:pPr>
                  <w:r>
                    <w:rPr>
                      <w:rFonts w:hint="eastAsia" w:eastAsiaTheme="minorEastAsia"/>
                      <w:szCs w:val="21"/>
                    </w:rPr>
                    <w:t>37</w:t>
                  </w:r>
                </w:p>
              </w:tc>
              <w:tc>
                <w:tcPr>
                  <w:tcW w:w="236" w:type="pct"/>
                  <w:vAlign w:val="center"/>
                </w:tcPr>
                <w:p w14:paraId="74A3BE2B">
                  <w:pPr>
                    <w:jc w:val="center"/>
                    <w:rPr>
                      <w:rFonts w:eastAsiaTheme="minorEastAsia"/>
                      <w:szCs w:val="21"/>
                    </w:rPr>
                  </w:pPr>
                  <w:r>
                    <w:rPr>
                      <w:rFonts w:hint="eastAsia" w:eastAsiaTheme="minorEastAsia"/>
                      <w:szCs w:val="21"/>
                    </w:rPr>
                    <w:t>137</w:t>
                  </w:r>
                </w:p>
              </w:tc>
              <w:tc>
                <w:tcPr>
                  <w:tcW w:w="235" w:type="pct"/>
                  <w:vAlign w:val="center"/>
                </w:tcPr>
                <w:p w14:paraId="6AE4A199">
                  <w:pPr>
                    <w:jc w:val="center"/>
                    <w:rPr>
                      <w:rFonts w:eastAsiaTheme="minorEastAsia"/>
                      <w:szCs w:val="21"/>
                    </w:rPr>
                  </w:pPr>
                  <w:r>
                    <w:rPr>
                      <w:rFonts w:hint="eastAsia" w:eastAsiaTheme="minorEastAsia"/>
                      <w:szCs w:val="21"/>
                    </w:rPr>
                    <w:t>17</w:t>
                  </w:r>
                </w:p>
              </w:tc>
              <w:tc>
                <w:tcPr>
                  <w:tcW w:w="288" w:type="pct"/>
                  <w:vAlign w:val="center"/>
                </w:tcPr>
                <w:p w14:paraId="353A676D">
                  <w:pPr>
                    <w:jc w:val="center"/>
                    <w:rPr>
                      <w:rFonts w:eastAsiaTheme="minorEastAsia"/>
                      <w:szCs w:val="21"/>
                    </w:rPr>
                  </w:pPr>
                  <w:r>
                    <w:rPr>
                      <w:rFonts w:hint="eastAsia" w:eastAsiaTheme="minorEastAsia"/>
                      <w:szCs w:val="21"/>
                    </w:rPr>
                    <w:t>70.5</w:t>
                  </w:r>
                </w:p>
              </w:tc>
              <w:tc>
                <w:tcPr>
                  <w:tcW w:w="281" w:type="pct"/>
                  <w:vAlign w:val="center"/>
                </w:tcPr>
                <w:p w14:paraId="433D1E77">
                  <w:pPr>
                    <w:jc w:val="center"/>
                    <w:rPr>
                      <w:rFonts w:eastAsiaTheme="minorEastAsia"/>
                      <w:szCs w:val="21"/>
                    </w:rPr>
                  </w:pPr>
                  <w:r>
                    <w:rPr>
                      <w:rFonts w:hint="eastAsia" w:eastAsiaTheme="minorEastAsia"/>
                      <w:szCs w:val="21"/>
                    </w:rPr>
                    <w:t>48.6</w:t>
                  </w:r>
                </w:p>
              </w:tc>
              <w:tc>
                <w:tcPr>
                  <w:tcW w:w="330" w:type="pct"/>
                  <w:vAlign w:val="center"/>
                </w:tcPr>
                <w:p w14:paraId="72A282F3">
                  <w:pPr>
                    <w:jc w:val="center"/>
                    <w:rPr>
                      <w:rFonts w:eastAsiaTheme="minorEastAsia"/>
                      <w:szCs w:val="21"/>
                    </w:rPr>
                  </w:pPr>
                  <w:r>
                    <w:rPr>
                      <w:rFonts w:hint="eastAsia" w:eastAsiaTheme="minorEastAsia"/>
                      <w:szCs w:val="21"/>
                    </w:rPr>
                    <w:t>37.3</w:t>
                  </w:r>
                </w:p>
              </w:tc>
              <w:tc>
                <w:tcPr>
                  <w:tcW w:w="285" w:type="pct"/>
                  <w:vAlign w:val="center"/>
                </w:tcPr>
                <w:p w14:paraId="00B0FAEF">
                  <w:pPr>
                    <w:jc w:val="center"/>
                    <w:rPr>
                      <w:rFonts w:eastAsiaTheme="minorEastAsia"/>
                      <w:szCs w:val="21"/>
                    </w:rPr>
                  </w:pPr>
                  <w:r>
                    <w:rPr>
                      <w:rFonts w:hint="eastAsia" w:eastAsiaTheme="minorEastAsia"/>
                      <w:szCs w:val="21"/>
                    </w:rPr>
                    <w:t>55.4</w:t>
                  </w:r>
                </w:p>
              </w:tc>
              <w:tc>
                <w:tcPr>
                  <w:tcW w:w="225" w:type="pct"/>
                  <w:vAlign w:val="center"/>
                </w:tcPr>
                <w:p w14:paraId="18309E57">
                  <w:pPr>
                    <w:jc w:val="center"/>
                    <w:rPr>
                      <w:rFonts w:eastAsiaTheme="minorEastAsia"/>
                      <w:szCs w:val="21"/>
                    </w:rPr>
                  </w:pPr>
                  <w:r>
                    <w:rPr>
                      <w:rFonts w:hint="eastAsia" w:hAnsiTheme="minorEastAsia" w:eastAsiaTheme="minorEastAsia"/>
                      <w:bCs/>
                      <w:kern w:val="0"/>
                      <w:szCs w:val="21"/>
                    </w:rPr>
                    <w:t>8h</w:t>
                  </w:r>
                </w:p>
              </w:tc>
            </w:tr>
            <w:tr w14:paraId="4B2E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46C88C41">
                  <w:pPr>
                    <w:jc w:val="center"/>
                    <w:rPr>
                      <w:rFonts w:eastAsiaTheme="minorEastAsia"/>
                      <w:szCs w:val="21"/>
                    </w:rPr>
                  </w:pPr>
                  <w:r>
                    <w:rPr>
                      <w:rFonts w:eastAsiaTheme="minorEastAsia"/>
                      <w:szCs w:val="21"/>
                    </w:rPr>
                    <w:t>2</w:t>
                  </w:r>
                </w:p>
              </w:tc>
              <w:tc>
                <w:tcPr>
                  <w:tcW w:w="216" w:type="pct"/>
                  <w:vMerge w:val="continue"/>
                  <w:vAlign w:val="center"/>
                </w:tcPr>
                <w:p w14:paraId="5D256154">
                  <w:pPr>
                    <w:jc w:val="center"/>
                    <w:rPr>
                      <w:rFonts w:eastAsiaTheme="minorEastAsia"/>
                      <w:szCs w:val="21"/>
                    </w:rPr>
                  </w:pPr>
                </w:p>
              </w:tc>
              <w:tc>
                <w:tcPr>
                  <w:tcW w:w="371" w:type="pct"/>
                  <w:vAlign w:val="center"/>
                </w:tcPr>
                <w:p w14:paraId="7B88C09A">
                  <w:pPr>
                    <w:jc w:val="center"/>
                    <w:rPr>
                      <w:rFonts w:eastAsiaTheme="minorEastAsia"/>
                      <w:szCs w:val="21"/>
                    </w:rPr>
                  </w:pPr>
                  <w:r>
                    <w:rPr>
                      <w:rFonts w:hAnsiTheme="minorEastAsia" w:eastAsiaTheme="minorEastAsia"/>
                      <w:szCs w:val="21"/>
                    </w:rPr>
                    <w:t>切纸机</w:t>
                  </w:r>
                </w:p>
              </w:tc>
              <w:tc>
                <w:tcPr>
                  <w:tcW w:w="281" w:type="pct"/>
                  <w:vAlign w:val="center"/>
                </w:tcPr>
                <w:p w14:paraId="0BCEE78F">
                  <w:pPr>
                    <w:jc w:val="center"/>
                    <w:rPr>
                      <w:rFonts w:eastAsiaTheme="minorEastAsia"/>
                      <w:szCs w:val="21"/>
                    </w:rPr>
                  </w:pPr>
                  <w:r>
                    <w:rPr>
                      <w:rFonts w:hint="eastAsia" w:eastAsiaTheme="minorEastAsia"/>
                      <w:szCs w:val="21"/>
                    </w:rPr>
                    <w:t>1</w:t>
                  </w:r>
                </w:p>
              </w:tc>
              <w:tc>
                <w:tcPr>
                  <w:tcW w:w="464" w:type="pct"/>
                  <w:vAlign w:val="center"/>
                </w:tcPr>
                <w:p w14:paraId="247B206A">
                  <w:pPr>
                    <w:jc w:val="center"/>
                    <w:rPr>
                      <w:rFonts w:eastAsiaTheme="minorEastAsia"/>
                      <w:szCs w:val="21"/>
                    </w:rPr>
                  </w:pPr>
                  <w:r>
                    <w:rPr>
                      <w:rFonts w:hint="eastAsia" w:eastAsiaTheme="minorEastAsia"/>
                      <w:szCs w:val="21"/>
                    </w:rPr>
                    <w:t>85/1</w:t>
                  </w:r>
                </w:p>
              </w:tc>
              <w:tc>
                <w:tcPr>
                  <w:tcW w:w="305" w:type="pct"/>
                  <w:vMerge w:val="continue"/>
                </w:tcPr>
                <w:p w14:paraId="177D111E">
                  <w:pPr>
                    <w:jc w:val="center"/>
                    <w:rPr>
                      <w:szCs w:val="21"/>
                    </w:rPr>
                  </w:pPr>
                </w:p>
              </w:tc>
              <w:tc>
                <w:tcPr>
                  <w:tcW w:w="283" w:type="pct"/>
                  <w:vAlign w:val="center"/>
                </w:tcPr>
                <w:p w14:paraId="15E48F20">
                  <w:pPr>
                    <w:jc w:val="center"/>
                    <w:rPr>
                      <w:rFonts w:eastAsiaTheme="minorEastAsia"/>
                      <w:szCs w:val="21"/>
                    </w:rPr>
                  </w:pPr>
                  <w:r>
                    <w:rPr>
                      <w:rFonts w:hint="eastAsia" w:eastAsiaTheme="minorEastAsia"/>
                      <w:szCs w:val="21"/>
                    </w:rPr>
                    <w:t>-66</w:t>
                  </w:r>
                </w:p>
              </w:tc>
              <w:tc>
                <w:tcPr>
                  <w:tcW w:w="282" w:type="pct"/>
                  <w:vAlign w:val="center"/>
                </w:tcPr>
                <w:p w14:paraId="43A2B426">
                  <w:pPr>
                    <w:jc w:val="center"/>
                    <w:rPr>
                      <w:rFonts w:eastAsiaTheme="minorEastAsia"/>
                      <w:szCs w:val="21"/>
                    </w:rPr>
                  </w:pPr>
                  <w:r>
                    <w:rPr>
                      <w:rFonts w:hint="eastAsia" w:eastAsiaTheme="minorEastAsia"/>
                      <w:szCs w:val="21"/>
                    </w:rPr>
                    <w:t>-50</w:t>
                  </w:r>
                </w:p>
              </w:tc>
              <w:tc>
                <w:tcPr>
                  <w:tcW w:w="283" w:type="pct"/>
                  <w:vAlign w:val="center"/>
                </w:tcPr>
                <w:p w14:paraId="6C39ADBD">
                  <w:pPr>
                    <w:jc w:val="center"/>
                    <w:rPr>
                      <w:rFonts w:eastAsiaTheme="minorEastAsia"/>
                      <w:szCs w:val="21"/>
                    </w:rPr>
                  </w:pPr>
                  <w:r>
                    <w:rPr>
                      <w:rFonts w:hint="eastAsia" w:eastAsiaTheme="minorEastAsia"/>
                      <w:szCs w:val="21"/>
                    </w:rPr>
                    <w:t>0</w:t>
                  </w:r>
                </w:p>
              </w:tc>
              <w:tc>
                <w:tcPr>
                  <w:tcW w:w="236" w:type="pct"/>
                  <w:vAlign w:val="center"/>
                </w:tcPr>
                <w:p w14:paraId="4E135E88">
                  <w:pPr>
                    <w:jc w:val="center"/>
                    <w:rPr>
                      <w:rFonts w:eastAsiaTheme="minorEastAsia"/>
                      <w:szCs w:val="21"/>
                    </w:rPr>
                  </w:pPr>
                  <w:r>
                    <w:rPr>
                      <w:rFonts w:hint="eastAsia" w:eastAsiaTheme="minorEastAsia"/>
                      <w:szCs w:val="21"/>
                    </w:rPr>
                    <w:t>63</w:t>
                  </w:r>
                </w:p>
              </w:tc>
              <w:tc>
                <w:tcPr>
                  <w:tcW w:w="235" w:type="pct"/>
                  <w:vAlign w:val="center"/>
                </w:tcPr>
                <w:p w14:paraId="7C74A49E">
                  <w:pPr>
                    <w:jc w:val="center"/>
                    <w:rPr>
                      <w:rFonts w:eastAsiaTheme="minorEastAsia"/>
                      <w:szCs w:val="21"/>
                    </w:rPr>
                  </w:pPr>
                  <w:r>
                    <w:rPr>
                      <w:rFonts w:hint="eastAsia" w:eastAsiaTheme="minorEastAsia"/>
                      <w:szCs w:val="21"/>
                    </w:rPr>
                    <w:t>5</w:t>
                  </w:r>
                </w:p>
              </w:tc>
              <w:tc>
                <w:tcPr>
                  <w:tcW w:w="236" w:type="pct"/>
                  <w:vAlign w:val="center"/>
                </w:tcPr>
                <w:p w14:paraId="58BD4006">
                  <w:pPr>
                    <w:jc w:val="center"/>
                    <w:rPr>
                      <w:rFonts w:eastAsiaTheme="minorEastAsia"/>
                      <w:szCs w:val="21"/>
                    </w:rPr>
                  </w:pPr>
                  <w:r>
                    <w:rPr>
                      <w:rFonts w:hint="eastAsia" w:eastAsiaTheme="minorEastAsia"/>
                      <w:szCs w:val="21"/>
                    </w:rPr>
                    <w:t>77</w:t>
                  </w:r>
                </w:p>
              </w:tc>
              <w:tc>
                <w:tcPr>
                  <w:tcW w:w="235" w:type="pct"/>
                  <w:vAlign w:val="center"/>
                </w:tcPr>
                <w:p w14:paraId="14522019">
                  <w:pPr>
                    <w:jc w:val="center"/>
                    <w:rPr>
                      <w:rFonts w:eastAsiaTheme="minorEastAsia"/>
                      <w:szCs w:val="21"/>
                    </w:rPr>
                  </w:pPr>
                  <w:r>
                    <w:rPr>
                      <w:rFonts w:hint="eastAsia" w:eastAsiaTheme="minorEastAsia"/>
                      <w:szCs w:val="21"/>
                    </w:rPr>
                    <w:t>49</w:t>
                  </w:r>
                </w:p>
              </w:tc>
              <w:tc>
                <w:tcPr>
                  <w:tcW w:w="288" w:type="pct"/>
                  <w:vAlign w:val="center"/>
                </w:tcPr>
                <w:p w14:paraId="018AE3E2">
                  <w:pPr>
                    <w:jc w:val="center"/>
                    <w:rPr>
                      <w:rFonts w:eastAsiaTheme="minorEastAsia"/>
                      <w:szCs w:val="21"/>
                    </w:rPr>
                  </w:pPr>
                  <w:r>
                    <w:rPr>
                      <w:rFonts w:hint="eastAsia" w:eastAsiaTheme="minorEastAsia"/>
                      <w:szCs w:val="21"/>
                    </w:rPr>
                    <w:t>49.0</w:t>
                  </w:r>
                </w:p>
              </w:tc>
              <w:tc>
                <w:tcPr>
                  <w:tcW w:w="281" w:type="pct"/>
                  <w:vAlign w:val="center"/>
                </w:tcPr>
                <w:p w14:paraId="3D3C6FDE">
                  <w:pPr>
                    <w:jc w:val="center"/>
                    <w:rPr>
                      <w:rFonts w:eastAsiaTheme="minorEastAsia"/>
                      <w:szCs w:val="21"/>
                    </w:rPr>
                  </w:pPr>
                  <w:r>
                    <w:rPr>
                      <w:rFonts w:hint="eastAsia" w:eastAsiaTheme="minorEastAsia"/>
                      <w:szCs w:val="21"/>
                    </w:rPr>
                    <w:t>71.0</w:t>
                  </w:r>
                </w:p>
              </w:tc>
              <w:tc>
                <w:tcPr>
                  <w:tcW w:w="330" w:type="pct"/>
                  <w:vAlign w:val="center"/>
                </w:tcPr>
                <w:p w14:paraId="2220D5A2">
                  <w:pPr>
                    <w:jc w:val="center"/>
                    <w:rPr>
                      <w:rFonts w:eastAsiaTheme="minorEastAsia"/>
                      <w:szCs w:val="21"/>
                    </w:rPr>
                  </w:pPr>
                  <w:r>
                    <w:rPr>
                      <w:rFonts w:hint="eastAsia" w:eastAsiaTheme="minorEastAsia"/>
                      <w:szCs w:val="21"/>
                    </w:rPr>
                    <w:t>47.3</w:t>
                  </w:r>
                </w:p>
              </w:tc>
              <w:tc>
                <w:tcPr>
                  <w:tcW w:w="285" w:type="pct"/>
                  <w:vAlign w:val="center"/>
                </w:tcPr>
                <w:p w14:paraId="40D0EBEA">
                  <w:pPr>
                    <w:jc w:val="center"/>
                    <w:rPr>
                      <w:rFonts w:eastAsiaTheme="minorEastAsia"/>
                      <w:szCs w:val="21"/>
                    </w:rPr>
                  </w:pPr>
                  <w:r>
                    <w:rPr>
                      <w:rFonts w:hint="eastAsia" w:eastAsiaTheme="minorEastAsia"/>
                      <w:szCs w:val="21"/>
                    </w:rPr>
                    <w:t>51.2</w:t>
                  </w:r>
                </w:p>
              </w:tc>
              <w:tc>
                <w:tcPr>
                  <w:tcW w:w="225" w:type="pct"/>
                  <w:vAlign w:val="center"/>
                </w:tcPr>
                <w:p w14:paraId="1BD23FF6">
                  <w:pPr>
                    <w:jc w:val="center"/>
                    <w:rPr>
                      <w:rFonts w:eastAsiaTheme="minorEastAsia"/>
                      <w:szCs w:val="21"/>
                    </w:rPr>
                  </w:pPr>
                  <w:r>
                    <w:rPr>
                      <w:rFonts w:hint="eastAsia" w:hAnsiTheme="minorEastAsia" w:eastAsiaTheme="minorEastAsia"/>
                      <w:bCs/>
                      <w:kern w:val="0"/>
                      <w:szCs w:val="21"/>
                    </w:rPr>
                    <w:t>16h</w:t>
                  </w:r>
                </w:p>
              </w:tc>
            </w:tr>
            <w:tr w14:paraId="63DC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1DB55351">
                  <w:pPr>
                    <w:jc w:val="center"/>
                    <w:rPr>
                      <w:rFonts w:eastAsiaTheme="minorEastAsia"/>
                      <w:szCs w:val="21"/>
                    </w:rPr>
                  </w:pPr>
                  <w:r>
                    <w:rPr>
                      <w:rFonts w:hint="eastAsia" w:eastAsiaTheme="minorEastAsia"/>
                      <w:szCs w:val="21"/>
                    </w:rPr>
                    <w:t>3</w:t>
                  </w:r>
                </w:p>
              </w:tc>
              <w:tc>
                <w:tcPr>
                  <w:tcW w:w="216" w:type="pct"/>
                  <w:vMerge w:val="continue"/>
                  <w:vAlign w:val="center"/>
                </w:tcPr>
                <w:p w14:paraId="2B540B59">
                  <w:pPr>
                    <w:jc w:val="center"/>
                    <w:rPr>
                      <w:rFonts w:eastAsiaTheme="minorEastAsia"/>
                      <w:szCs w:val="21"/>
                    </w:rPr>
                  </w:pPr>
                </w:p>
              </w:tc>
              <w:tc>
                <w:tcPr>
                  <w:tcW w:w="371" w:type="pct"/>
                  <w:vAlign w:val="center"/>
                </w:tcPr>
                <w:p w14:paraId="7AA0328C">
                  <w:pPr>
                    <w:jc w:val="center"/>
                    <w:rPr>
                      <w:rFonts w:hAnsiTheme="minorEastAsia" w:eastAsiaTheme="minorEastAsia"/>
                      <w:szCs w:val="21"/>
                    </w:rPr>
                  </w:pPr>
                  <w:r>
                    <w:rPr>
                      <w:rFonts w:hint="eastAsia" w:hAnsiTheme="minorEastAsia" w:eastAsiaTheme="minorEastAsia"/>
                      <w:szCs w:val="21"/>
                    </w:rPr>
                    <w:t>翻纸机</w:t>
                  </w:r>
                </w:p>
              </w:tc>
              <w:tc>
                <w:tcPr>
                  <w:tcW w:w="281" w:type="pct"/>
                  <w:vAlign w:val="center"/>
                </w:tcPr>
                <w:p w14:paraId="3807200A">
                  <w:pPr>
                    <w:jc w:val="center"/>
                    <w:rPr>
                      <w:rFonts w:eastAsiaTheme="minorEastAsia"/>
                      <w:szCs w:val="21"/>
                    </w:rPr>
                  </w:pPr>
                  <w:r>
                    <w:rPr>
                      <w:rFonts w:hint="eastAsia" w:eastAsiaTheme="minorEastAsia"/>
                      <w:szCs w:val="21"/>
                    </w:rPr>
                    <w:t>1</w:t>
                  </w:r>
                </w:p>
              </w:tc>
              <w:tc>
                <w:tcPr>
                  <w:tcW w:w="464" w:type="pct"/>
                  <w:vAlign w:val="center"/>
                </w:tcPr>
                <w:p w14:paraId="559C09B3">
                  <w:pPr>
                    <w:jc w:val="center"/>
                    <w:rPr>
                      <w:rFonts w:eastAsiaTheme="minorEastAsia"/>
                      <w:szCs w:val="21"/>
                    </w:rPr>
                  </w:pPr>
                  <w:r>
                    <w:rPr>
                      <w:rFonts w:hint="eastAsia" w:eastAsiaTheme="minorEastAsia"/>
                      <w:szCs w:val="21"/>
                    </w:rPr>
                    <w:t>85/1</w:t>
                  </w:r>
                </w:p>
              </w:tc>
              <w:tc>
                <w:tcPr>
                  <w:tcW w:w="305" w:type="pct"/>
                  <w:vMerge w:val="continue"/>
                </w:tcPr>
                <w:p w14:paraId="79820B0A">
                  <w:pPr>
                    <w:jc w:val="center"/>
                    <w:rPr>
                      <w:szCs w:val="21"/>
                    </w:rPr>
                  </w:pPr>
                </w:p>
              </w:tc>
              <w:tc>
                <w:tcPr>
                  <w:tcW w:w="283" w:type="pct"/>
                  <w:vAlign w:val="center"/>
                </w:tcPr>
                <w:p w14:paraId="47D46494">
                  <w:pPr>
                    <w:jc w:val="center"/>
                    <w:rPr>
                      <w:rFonts w:eastAsiaTheme="minorEastAsia"/>
                      <w:szCs w:val="21"/>
                    </w:rPr>
                  </w:pPr>
                  <w:r>
                    <w:rPr>
                      <w:rFonts w:hint="eastAsia" w:eastAsiaTheme="minorEastAsia"/>
                      <w:szCs w:val="21"/>
                    </w:rPr>
                    <w:t>-66</w:t>
                  </w:r>
                </w:p>
              </w:tc>
              <w:tc>
                <w:tcPr>
                  <w:tcW w:w="282" w:type="pct"/>
                  <w:vAlign w:val="center"/>
                </w:tcPr>
                <w:p w14:paraId="3C5A3930">
                  <w:pPr>
                    <w:jc w:val="center"/>
                    <w:rPr>
                      <w:rFonts w:eastAsiaTheme="minorEastAsia"/>
                      <w:szCs w:val="21"/>
                    </w:rPr>
                  </w:pPr>
                  <w:r>
                    <w:rPr>
                      <w:rFonts w:hint="eastAsia" w:eastAsiaTheme="minorEastAsia"/>
                      <w:szCs w:val="21"/>
                    </w:rPr>
                    <w:t>-40</w:t>
                  </w:r>
                </w:p>
              </w:tc>
              <w:tc>
                <w:tcPr>
                  <w:tcW w:w="283" w:type="pct"/>
                  <w:vAlign w:val="center"/>
                </w:tcPr>
                <w:p w14:paraId="3B0D7604">
                  <w:pPr>
                    <w:jc w:val="center"/>
                    <w:rPr>
                      <w:rFonts w:eastAsiaTheme="minorEastAsia"/>
                      <w:szCs w:val="21"/>
                    </w:rPr>
                  </w:pPr>
                  <w:r>
                    <w:rPr>
                      <w:rFonts w:hint="eastAsia" w:eastAsiaTheme="minorEastAsia"/>
                      <w:szCs w:val="21"/>
                    </w:rPr>
                    <w:t>0</w:t>
                  </w:r>
                </w:p>
              </w:tc>
              <w:tc>
                <w:tcPr>
                  <w:tcW w:w="236" w:type="pct"/>
                  <w:vAlign w:val="center"/>
                </w:tcPr>
                <w:p w14:paraId="1ACB43FF">
                  <w:pPr>
                    <w:jc w:val="center"/>
                    <w:rPr>
                      <w:rFonts w:eastAsiaTheme="minorEastAsia"/>
                      <w:szCs w:val="21"/>
                    </w:rPr>
                  </w:pPr>
                  <w:r>
                    <w:rPr>
                      <w:rFonts w:hint="eastAsia" w:eastAsiaTheme="minorEastAsia"/>
                      <w:szCs w:val="21"/>
                    </w:rPr>
                    <w:t>64</w:t>
                  </w:r>
                </w:p>
              </w:tc>
              <w:tc>
                <w:tcPr>
                  <w:tcW w:w="235" w:type="pct"/>
                  <w:vAlign w:val="center"/>
                </w:tcPr>
                <w:p w14:paraId="19675D74">
                  <w:pPr>
                    <w:jc w:val="center"/>
                    <w:rPr>
                      <w:rFonts w:eastAsiaTheme="minorEastAsia"/>
                      <w:szCs w:val="21"/>
                    </w:rPr>
                  </w:pPr>
                  <w:r>
                    <w:rPr>
                      <w:rFonts w:hint="eastAsia" w:eastAsiaTheme="minorEastAsia"/>
                      <w:szCs w:val="21"/>
                    </w:rPr>
                    <w:t>16</w:t>
                  </w:r>
                </w:p>
              </w:tc>
              <w:tc>
                <w:tcPr>
                  <w:tcW w:w="236" w:type="pct"/>
                  <w:vAlign w:val="center"/>
                </w:tcPr>
                <w:p w14:paraId="3693DA0D">
                  <w:pPr>
                    <w:jc w:val="center"/>
                    <w:rPr>
                      <w:rFonts w:eastAsiaTheme="minorEastAsia"/>
                      <w:szCs w:val="21"/>
                    </w:rPr>
                  </w:pPr>
                  <w:r>
                    <w:rPr>
                      <w:rFonts w:hint="eastAsia" w:eastAsiaTheme="minorEastAsia"/>
                      <w:szCs w:val="21"/>
                    </w:rPr>
                    <w:t>76</w:t>
                  </w:r>
                </w:p>
              </w:tc>
              <w:tc>
                <w:tcPr>
                  <w:tcW w:w="235" w:type="pct"/>
                  <w:vAlign w:val="center"/>
                </w:tcPr>
                <w:p w14:paraId="61FC077E">
                  <w:pPr>
                    <w:jc w:val="center"/>
                    <w:rPr>
                      <w:rFonts w:eastAsiaTheme="minorEastAsia"/>
                      <w:szCs w:val="21"/>
                    </w:rPr>
                  </w:pPr>
                  <w:r>
                    <w:rPr>
                      <w:rFonts w:hint="eastAsia" w:eastAsiaTheme="minorEastAsia"/>
                      <w:szCs w:val="21"/>
                    </w:rPr>
                    <w:t>38</w:t>
                  </w:r>
                </w:p>
              </w:tc>
              <w:tc>
                <w:tcPr>
                  <w:tcW w:w="288" w:type="pct"/>
                  <w:vAlign w:val="center"/>
                </w:tcPr>
                <w:p w14:paraId="083A62DD">
                  <w:pPr>
                    <w:jc w:val="center"/>
                    <w:rPr>
                      <w:rFonts w:eastAsiaTheme="minorEastAsia"/>
                      <w:szCs w:val="21"/>
                    </w:rPr>
                  </w:pPr>
                  <w:r>
                    <w:rPr>
                      <w:rFonts w:hint="eastAsia" w:eastAsiaTheme="minorEastAsia"/>
                      <w:szCs w:val="21"/>
                    </w:rPr>
                    <w:t>48.9</w:t>
                  </w:r>
                </w:p>
              </w:tc>
              <w:tc>
                <w:tcPr>
                  <w:tcW w:w="281" w:type="pct"/>
                  <w:vAlign w:val="center"/>
                </w:tcPr>
                <w:p w14:paraId="6812529D">
                  <w:pPr>
                    <w:jc w:val="center"/>
                    <w:rPr>
                      <w:rFonts w:eastAsiaTheme="minorEastAsia"/>
                      <w:szCs w:val="21"/>
                    </w:rPr>
                  </w:pPr>
                  <w:r>
                    <w:rPr>
                      <w:rFonts w:hint="eastAsia" w:eastAsiaTheme="minorEastAsia"/>
                      <w:szCs w:val="21"/>
                    </w:rPr>
                    <w:t>60.9</w:t>
                  </w:r>
                </w:p>
              </w:tc>
              <w:tc>
                <w:tcPr>
                  <w:tcW w:w="330" w:type="pct"/>
                  <w:vAlign w:val="center"/>
                </w:tcPr>
                <w:p w14:paraId="3D891076">
                  <w:pPr>
                    <w:jc w:val="center"/>
                    <w:rPr>
                      <w:rFonts w:eastAsiaTheme="minorEastAsia"/>
                      <w:szCs w:val="21"/>
                    </w:rPr>
                  </w:pPr>
                  <w:r>
                    <w:rPr>
                      <w:rFonts w:hint="eastAsia" w:eastAsiaTheme="minorEastAsia"/>
                      <w:szCs w:val="21"/>
                    </w:rPr>
                    <w:t>47.4</w:t>
                  </w:r>
                </w:p>
              </w:tc>
              <w:tc>
                <w:tcPr>
                  <w:tcW w:w="285" w:type="pct"/>
                  <w:vAlign w:val="center"/>
                </w:tcPr>
                <w:p w14:paraId="75DA6504">
                  <w:pPr>
                    <w:jc w:val="center"/>
                    <w:rPr>
                      <w:rFonts w:eastAsiaTheme="minorEastAsia"/>
                      <w:szCs w:val="21"/>
                    </w:rPr>
                  </w:pPr>
                  <w:r>
                    <w:rPr>
                      <w:rFonts w:hint="eastAsia" w:eastAsiaTheme="minorEastAsia"/>
                      <w:szCs w:val="21"/>
                    </w:rPr>
                    <w:t>53.4</w:t>
                  </w:r>
                </w:p>
              </w:tc>
              <w:tc>
                <w:tcPr>
                  <w:tcW w:w="225" w:type="pct"/>
                  <w:vAlign w:val="center"/>
                </w:tcPr>
                <w:p w14:paraId="05771F02">
                  <w:pPr>
                    <w:jc w:val="center"/>
                    <w:rPr>
                      <w:rFonts w:eastAsiaTheme="minorEastAsia"/>
                      <w:szCs w:val="21"/>
                    </w:rPr>
                  </w:pPr>
                  <w:r>
                    <w:rPr>
                      <w:rFonts w:hint="eastAsia" w:hAnsiTheme="minorEastAsia" w:eastAsiaTheme="minorEastAsia"/>
                      <w:bCs/>
                      <w:kern w:val="0"/>
                      <w:szCs w:val="21"/>
                    </w:rPr>
                    <w:t>16h</w:t>
                  </w:r>
                </w:p>
              </w:tc>
            </w:tr>
            <w:tr w14:paraId="4850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44299ED6">
                  <w:pPr>
                    <w:jc w:val="center"/>
                    <w:rPr>
                      <w:rFonts w:eastAsiaTheme="minorEastAsia"/>
                      <w:szCs w:val="21"/>
                    </w:rPr>
                  </w:pPr>
                  <w:r>
                    <w:rPr>
                      <w:rFonts w:hint="eastAsia" w:eastAsiaTheme="minorEastAsia"/>
                      <w:szCs w:val="21"/>
                    </w:rPr>
                    <w:t>4</w:t>
                  </w:r>
                </w:p>
              </w:tc>
              <w:tc>
                <w:tcPr>
                  <w:tcW w:w="216" w:type="pct"/>
                  <w:vMerge w:val="continue"/>
                  <w:vAlign w:val="center"/>
                </w:tcPr>
                <w:p w14:paraId="56538285">
                  <w:pPr>
                    <w:jc w:val="center"/>
                    <w:rPr>
                      <w:rFonts w:eastAsiaTheme="minorEastAsia"/>
                      <w:szCs w:val="21"/>
                    </w:rPr>
                  </w:pPr>
                </w:p>
              </w:tc>
              <w:tc>
                <w:tcPr>
                  <w:tcW w:w="371" w:type="pct"/>
                  <w:vAlign w:val="center"/>
                </w:tcPr>
                <w:p w14:paraId="3C8AF207">
                  <w:pPr>
                    <w:jc w:val="center"/>
                    <w:rPr>
                      <w:rFonts w:eastAsiaTheme="minorEastAsia"/>
                      <w:szCs w:val="21"/>
                    </w:rPr>
                  </w:pPr>
                  <w:r>
                    <w:rPr>
                      <w:rFonts w:hAnsiTheme="minorEastAsia" w:eastAsiaTheme="minorEastAsia"/>
                      <w:szCs w:val="21"/>
                    </w:rPr>
                    <w:t>印刷机</w:t>
                  </w:r>
                </w:p>
              </w:tc>
              <w:tc>
                <w:tcPr>
                  <w:tcW w:w="281" w:type="pct"/>
                  <w:vAlign w:val="center"/>
                </w:tcPr>
                <w:p w14:paraId="3121EB7E">
                  <w:pPr>
                    <w:jc w:val="center"/>
                    <w:rPr>
                      <w:rFonts w:eastAsiaTheme="minorEastAsia"/>
                      <w:szCs w:val="21"/>
                    </w:rPr>
                  </w:pPr>
                  <w:r>
                    <w:rPr>
                      <w:rFonts w:hint="eastAsia" w:eastAsiaTheme="minorEastAsia"/>
                      <w:szCs w:val="21"/>
                    </w:rPr>
                    <w:t>1</w:t>
                  </w:r>
                </w:p>
              </w:tc>
              <w:tc>
                <w:tcPr>
                  <w:tcW w:w="464" w:type="pct"/>
                  <w:vAlign w:val="center"/>
                </w:tcPr>
                <w:p w14:paraId="28DF6107">
                  <w:pPr>
                    <w:jc w:val="center"/>
                    <w:rPr>
                      <w:rFonts w:eastAsiaTheme="minorEastAsia"/>
                      <w:szCs w:val="21"/>
                    </w:rPr>
                  </w:pPr>
                  <w:r>
                    <w:rPr>
                      <w:rFonts w:hint="eastAsia" w:eastAsiaTheme="minorEastAsia"/>
                      <w:szCs w:val="21"/>
                    </w:rPr>
                    <w:t>80/1</w:t>
                  </w:r>
                </w:p>
              </w:tc>
              <w:tc>
                <w:tcPr>
                  <w:tcW w:w="305" w:type="pct"/>
                  <w:vMerge w:val="continue"/>
                </w:tcPr>
                <w:p w14:paraId="3388DE51">
                  <w:pPr>
                    <w:jc w:val="center"/>
                    <w:rPr>
                      <w:szCs w:val="21"/>
                    </w:rPr>
                  </w:pPr>
                </w:p>
              </w:tc>
              <w:tc>
                <w:tcPr>
                  <w:tcW w:w="283" w:type="pct"/>
                  <w:vAlign w:val="center"/>
                </w:tcPr>
                <w:p w14:paraId="6411D946">
                  <w:pPr>
                    <w:jc w:val="center"/>
                    <w:rPr>
                      <w:rFonts w:eastAsiaTheme="minorEastAsia"/>
                      <w:szCs w:val="21"/>
                    </w:rPr>
                  </w:pPr>
                  <w:r>
                    <w:rPr>
                      <w:rFonts w:hint="eastAsia" w:eastAsiaTheme="minorEastAsia"/>
                      <w:szCs w:val="21"/>
                    </w:rPr>
                    <w:t>-21</w:t>
                  </w:r>
                </w:p>
              </w:tc>
              <w:tc>
                <w:tcPr>
                  <w:tcW w:w="282" w:type="pct"/>
                  <w:vAlign w:val="center"/>
                </w:tcPr>
                <w:p w14:paraId="4B274F8B">
                  <w:pPr>
                    <w:jc w:val="center"/>
                    <w:rPr>
                      <w:rFonts w:eastAsiaTheme="minorEastAsia"/>
                      <w:szCs w:val="21"/>
                    </w:rPr>
                  </w:pPr>
                  <w:r>
                    <w:rPr>
                      <w:rFonts w:hint="eastAsia" w:eastAsiaTheme="minorEastAsia"/>
                      <w:szCs w:val="21"/>
                    </w:rPr>
                    <w:t>-42</w:t>
                  </w:r>
                </w:p>
              </w:tc>
              <w:tc>
                <w:tcPr>
                  <w:tcW w:w="283" w:type="pct"/>
                  <w:vAlign w:val="center"/>
                </w:tcPr>
                <w:p w14:paraId="21183CA6">
                  <w:pPr>
                    <w:jc w:val="center"/>
                    <w:rPr>
                      <w:rFonts w:eastAsiaTheme="minorEastAsia"/>
                      <w:szCs w:val="21"/>
                    </w:rPr>
                  </w:pPr>
                  <w:r>
                    <w:rPr>
                      <w:rFonts w:hint="eastAsia" w:eastAsiaTheme="minorEastAsia"/>
                      <w:szCs w:val="21"/>
                    </w:rPr>
                    <w:t>0</w:t>
                  </w:r>
                </w:p>
              </w:tc>
              <w:tc>
                <w:tcPr>
                  <w:tcW w:w="236" w:type="pct"/>
                  <w:vAlign w:val="center"/>
                </w:tcPr>
                <w:p w14:paraId="40E6578A">
                  <w:pPr>
                    <w:jc w:val="center"/>
                    <w:rPr>
                      <w:rFonts w:eastAsiaTheme="minorEastAsia"/>
                      <w:szCs w:val="21"/>
                    </w:rPr>
                  </w:pPr>
                  <w:r>
                    <w:rPr>
                      <w:rFonts w:hint="eastAsia" w:eastAsiaTheme="minorEastAsia"/>
                      <w:szCs w:val="21"/>
                    </w:rPr>
                    <w:t>23</w:t>
                  </w:r>
                </w:p>
              </w:tc>
              <w:tc>
                <w:tcPr>
                  <w:tcW w:w="235" w:type="pct"/>
                  <w:vAlign w:val="center"/>
                </w:tcPr>
                <w:p w14:paraId="1AF70EE1">
                  <w:pPr>
                    <w:jc w:val="center"/>
                    <w:rPr>
                      <w:rFonts w:eastAsiaTheme="minorEastAsia"/>
                      <w:szCs w:val="21"/>
                    </w:rPr>
                  </w:pPr>
                  <w:r>
                    <w:rPr>
                      <w:rFonts w:hint="eastAsia" w:eastAsiaTheme="minorEastAsia"/>
                      <w:szCs w:val="21"/>
                    </w:rPr>
                    <w:t>14</w:t>
                  </w:r>
                </w:p>
              </w:tc>
              <w:tc>
                <w:tcPr>
                  <w:tcW w:w="236" w:type="pct"/>
                  <w:vAlign w:val="center"/>
                </w:tcPr>
                <w:p w14:paraId="2F831A48">
                  <w:pPr>
                    <w:jc w:val="center"/>
                    <w:rPr>
                      <w:rFonts w:eastAsiaTheme="minorEastAsia"/>
                      <w:szCs w:val="21"/>
                    </w:rPr>
                  </w:pPr>
                  <w:r>
                    <w:rPr>
                      <w:rFonts w:hint="eastAsia" w:eastAsiaTheme="minorEastAsia"/>
                      <w:szCs w:val="21"/>
                    </w:rPr>
                    <w:t>117</w:t>
                  </w:r>
                </w:p>
              </w:tc>
              <w:tc>
                <w:tcPr>
                  <w:tcW w:w="235" w:type="pct"/>
                  <w:vAlign w:val="center"/>
                </w:tcPr>
                <w:p w14:paraId="5AF6B702">
                  <w:pPr>
                    <w:jc w:val="center"/>
                    <w:rPr>
                      <w:rFonts w:eastAsiaTheme="minorEastAsia"/>
                      <w:szCs w:val="21"/>
                    </w:rPr>
                  </w:pPr>
                  <w:r>
                    <w:rPr>
                      <w:rFonts w:hint="eastAsia" w:eastAsiaTheme="minorEastAsia"/>
                      <w:szCs w:val="21"/>
                    </w:rPr>
                    <w:t>40</w:t>
                  </w:r>
                </w:p>
              </w:tc>
              <w:tc>
                <w:tcPr>
                  <w:tcW w:w="288" w:type="pct"/>
                  <w:vAlign w:val="center"/>
                </w:tcPr>
                <w:p w14:paraId="6C89C5A0">
                  <w:pPr>
                    <w:jc w:val="center"/>
                    <w:rPr>
                      <w:rFonts w:eastAsiaTheme="minorEastAsia"/>
                      <w:szCs w:val="21"/>
                    </w:rPr>
                  </w:pPr>
                  <w:r>
                    <w:rPr>
                      <w:rFonts w:hint="eastAsia" w:eastAsiaTheme="minorEastAsia"/>
                      <w:szCs w:val="21"/>
                    </w:rPr>
                    <w:t>52.8</w:t>
                  </w:r>
                </w:p>
              </w:tc>
              <w:tc>
                <w:tcPr>
                  <w:tcW w:w="281" w:type="pct"/>
                  <w:vAlign w:val="center"/>
                </w:tcPr>
                <w:p w14:paraId="4C5D6AAD">
                  <w:pPr>
                    <w:jc w:val="center"/>
                    <w:rPr>
                      <w:rFonts w:eastAsiaTheme="minorEastAsia"/>
                      <w:szCs w:val="21"/>
                    </w:rPr>
                  </w:pPr>
                  <w:r>
                    <w:rPr>
                      <w:rFonts w:hint="eastAsia" w:eastAsiaTheme="minorEastAsia"/>
                      <w:szCs w:val="21"/>
                    </w:rPr>
                    <w:t>57.1</w:t>
                  </w:r>
                </w:p>
              </w:tc>
              <w:tc>
                <w:tcPr>
                  <w:tcW w:w="330" w:type="pct"/>
                  <w:vAlign w:val="center"/>
                </w:tcPr>
                <w:p w14:paraId="3B02008C">
                  <w:pPr>
                    <w:jc w:val="center"/>
                    <w:rPr>
                      <w:rFonts w:eastAsiaTheme="minorEastAsia"/>
                      <w:szCs w:val="21"/>
                    </w:rPr>
                  </w:pPr>
                  <w:r>
                    <w:rPr>
                      <w:rFonts w:hint="eastAsia" w:eastAsiaTheme="minorEastAsia"/>
                      <w:szCs w:val="21"/>
                    </w:rPr>
                    <w:t>38.6</w:t>
                  </w:r>
                </w:p>
              </w:tc>
              <w:tc>
                <w:tcPr>
                  <w:tcW w:w="285" w:type="pct"/>
                  <w:vAlign w:val="center"/>
                </w:tcPr>
                <w:p w14:paraId="7950C0AE">
                  <w:pPr>
                    <w:jc w:val="center"/>
                    <w:rPr>
                      <w:rFonts w:eastAsiaTheme="minorEastAsia"/>
                      <w:szCs w:val="21"/>
                    </w:rPr>
                  </w:pPr>
                  <w:r>
                    <w:rPr>
                      <w:rFonts w:hint="eastAsia" w:eastAsiaTheme="minorEastAsia"/>
                      <w:szCs w:val="21"/>
                    </w:rPr>
                    <w:t>48.0</w:t>
                  </w:r>
                </w:p>
              </w:tc>
              <w:tc>
                <w:tcPr>
                  <w:tcW w:w="225" w:type="pct"/>
                  <w:vAlign w:val="center"/>
                </w:tcPr>
                <w:p w14:paraId="5853FD6D">
                  <w:pPr>
                    <w:jc w:val="center"/>
                    <w:rPr>
                      <w:rFonts w:eastAsiaTheme="minorEastAsia"/>
                      <w:szCs w:val="21"/>
                    </w:rPr>
                  </w:pPr>
                  <w:r>
                    <w:rPr>
                      <w:rFonts w:hint="eastAsia" w:hAnsiTheme="minorEastAsia" w:eastAsiaTheme="minorEastAsia"/>
                      <w:bCs/>
                      <w:kern w:val="0"/>
                      <w:szCs w:val="21"/>
                    </w:rPr>
                    <w:t>16h</w:t>
                  </w:r>
                </w:p>
              </w:tc>
            </w:tr>
            <w:tr w14:paraId="4453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4FDF477E">
                  <w:pPr>
                    <w:jc w:val="center"/>
                    <w:rPr>
                      <w:rFonts w:eastAsiaTheme="minorEastAsia"/>
                      <w:szCs w:val="21"/>
                    </w:rPr>
                  </w:pPr>
                  <w:r>
                    <w:rPr>
                      <w:rFonts w:hint="eastAsia" w:eastAsiaTheme="minorEastAsia"/>
                      <w:szCs w:val="21"/>
                    </w:rPr>
                    <w:t>5</w:t>
                  </w:r>
                </w:p>
              </w:tc>
              <w:tc>
                <w:tcPr>
                  <w:tcW w:w="216" w:type="pct"/>
                  <w:vMerge w:val="continue"/>
                  <w:vAlign w:val="center"/>
                </w:tcPr>
                <w:p w14:paraId="14A34295">
                  <w:pPr>
                    <w:jc w:val="center"/>
                    <w:rPr>
                      <w:rFonts w:eastAsiaTheme="minorEastAsia"/>
                      <w:szCs w:val="21"/>
                    </w:rPr>
                  </w:pPr>
                </w:p>
              </w:tc>
              <w:tc>
                <w:tcPr>
                  <w:tcW w:w="371" w:type="pct"/>
                  <w:vAlign w:val="center"/>
                </w:tcPr>
                <w:p w14:paraId="00C37ADB">
                  <w:pPr>
                    <w:jc w:val="center"/>
                    <w:rPr>
                      <w:rFonts w:hAnsiTheme="minorEastAsia" w:eastAsiaTheme="minorEastAsia"/>
                      <w:szCs w:val="21"/>
                    </w:rPr>
                  </w:pPr>
                  <w:r>
                    <w:rPr>
                      <w:rFonts w:hAnsiTheme="minorEastAsia" w:eastAsiaTheme="minorEastAsia"/>
                      <w:szCs w:val="21"/>
                    </w:rPr>
                    <w:t>印刷机</w:t>
                  </w:r>
                </w:p>
              </w:tc>
              <w:tc>
                <w:tcPr>
                  <w:tcW w:w="281" w:type="pct"/>
                  <w:vAlign w:val="center"/>
                </w:tcPr>
                <w:p w14:paraId="3AC90E7E">
                  <w:pPr>
                    <w:jc w:val="center"/>
                    <w:rPr>
                      <w:rFonts w:eastAsiaTheme="minorEastAsia"/>
                      <w:szCs w:val="21"/>
                    </w:rPr>
                  </w:pPr>
                  <w:r>
                    <w:rPr>
                      <w:rFonts w:hint="eastAsia" w:eastAsiaTheme="minorEastAsia"/>
                      <w:szCs w:val="21"/>
                    </w:rPr>
                    <w:t>1</w:t>
                  </w:r>
                </w:p>
              </w:tc>
              <w:tc>
                <w:tcPr>
                  <w:tcW w:w="464" w:type="pct"/>
                  <w:vAlign w:val="center"/>
                </w:tcPr>
                <w:p w14:paraId="65332F73">
                  <w:pPr>
                    <w:jc w:val="center"/>
                    <w:rPr>
                      <w:rFonts w:eastAsiaTheme="minorEastAsia"/>
                      <w:szCs w:val="21"/>
                    </w:rPr>
                  </w:pPr>
                  <w:r>
                    <w:rPr>
                      <w:rFonts w:hint="eastAsia" w:eastAsiaTheme="minorEastAsia"/>
                      <w:szCs w:val="21"/>
                    </w:rPr>
                    <w:t>80/1</w:t>
                  </w:r>
                </w:p>
              </w:tc>
              <w:tc>
                <w:tcPr>
                  <w:tcW w:w="305" w:type="pct"/>
                  <w:vMerge w:val="continue"/>
                </w:tcPr>
                <w:p w14:paraId="38B02818">
                  <w:pPr>
                    <w:jc w:val="center"/>
                    <w:rPr>
                      <w:szCs w:val="21"/>
                    </w:rPr>
                  </w:pPr>
                </w:p>
              </w:tc>
              <w:tc>
                <w:tcPr>
                  <w:tcW w:w="283" w:type="pct"/>
                  <w:vAlign w:val="center"/>
                </w:tcPr>
                <w:p w14:paraId="2FE261CF">
                  <w:pPr>
                    <w:jc w:val="center"/>
                    <w:rPr>
                      <w:rFonts w:eastAsiaTheme="minorEastAsia"/>
                      <w:szCs w:val="21"/>
                    </w:rPr>
                  </w:pPr>
                  <w:r>
                    <w:rPr>
                      <w:rFonts w:hint="eastAsia" w:eastAsiaTheme="minorEastAsia"/>
                      <w:szCs w:val="21"/>
                    </w:rPr>
                    <w:t>-49</w:t>
                  </w:r>
                </w:p>
              </w:tc>
              <w:tc>
                <w:tcPr>
                  <w:tcW w:w="282" w:type="pct"/>
                  <w:vAlign w:val="center"/>
                </w:tcPr>
                <w:p w14:paraId="70E6F753">
                  <w:pPr>
                    <w:jc w:val="center"/>
                    <w:rPr>
                      <w:rFonts w:eastAsiaTheme="minorEastAsia"/>
                      <w:szCs w:val="21"/>
                    </w:rPr>
                  </w:pPr>
                  <w:r>
                    <w:rPr>
                      <w:rFonts w:hint="eastAsia" w:eastAsiaTheme="minorEastAsia"/>
                      <w:szCs w:val="21"/>
                    </w:rPr>
                    <w:t>-42</w:t>
                  </w:r>
                </w:p>
              </w:tc>
              <w:tc>
                <w:tcPr>
                  <w:tcW w:w="283" w:type="pct"/>
                  <w:vAlign w:val="center"/>
                </w:tcPr>
                <w:p w14:paraId="39551BA0">
                  <w:pPr>
                    <w:jc w:val="center"/>
                    <w:rPr>
                      <w:rFonts w:eastAsiaTheme="minorEastAsia"/>
                      <w:szCs w:val="21"/>
                    </w:rPr>
                  </w:pPr>
                  <w:r>
                    <w:rPr>
                      <w:rFonts w:hint="eastAsia" w:eastAsiaTheme="minorEastAsia"/>
                      <w:szCs w:val="21"/>
                    </w:rPr>
                    <w:t>0</w:t>
                  </w:r>
                </w:p>
              </w:tc>
              <w:tc>
                <w:tcPr>
                  <w:tcW w:w="236" w:type="pct"/>
                  <w:vAlign w:val="center"/>
                </w:tcPr>
                <w:p w14:paraId="7D9AD2FE">
                  <w:pPr>
                    <w:jc w:val="center"/>
                    <w:rPr>
                      <w:rFonts w:eastAsiaTheme="minorEastAsia"/>
                      <w:szCs w:val="21"/>
                    </w:rPr>
                  </w:pPr>
                  <w:r>
                    <w:rPr>
                      <w:rFonts w:hint="eastAsia" w:eastAsiaTheme="minorEastAsia"/>
                      <w:szCs w:val="21"/>
                    </w:rPr>
                    <w:t>48</w:t>
                  </w:r>
                </w:p>
              </w:tc>
              <w:tc>
                <w:tcPr>
                  <w:tcW w:w="235" w:type="pct"/>
                  <w:vAlign w:val="center"/>
                </w:tcPr>
                <w:p w14:paraId="0BA3A5E0">
                  <w:pPr>
                    <w:jc w:val="center"/>
                    <w:rPr>
                      <w:rFonts w:eastAsiaTheme="minorEastAsia"/>
                      <w:szCs w:val="21"/>
                    </w:rPr>
                  </w:pPr>
                  <w:r>
                    <w:rPr>
                      <w:rFonts w:hint="eastAsia" w:eastAsiaTheme="minorEastAsia"/>
                      <w:szCs w:val="21"/>
                    </w:rPr>
                    <w:t>14</w:t>
                  </w:r>
                </w:p>
              </w:tc>
              <w:tc>
                <w:tcPr>
                  <w:tcW w:w="236" w:type="pct"/>
                  <w:vAlign w:val="center"/>
                </w:tcPr>
                <w:p w14:paraId="0AA43CF1">
                  <w:pPr>
                    <w:jc w:val="center"/>
                    <w:rPr>
                      <w:rFonts w:eastAsiaTheme="minorEastAsia"/>
                      <w:szCs w:val="21"/>
                    </w:rPr>
                  </w:pPr>
                  <w:r>
                    <w:rPr>
                      <w:rFonts w:hint="eastAsia" w:eastAsiaTheme="minorEastAsia"/>
                      <w:szCs w:val="21"/>
                    </w:rPr>
                    <w:t>92</w:t>
                  </w:r>
                </w:p>
              </w:tc>
              <w:tc>
                <w:tcPr>
                  <w:tcW w:w="235" w:type="pct"/>
                  <w:vAlign w:val="center"/>
                </w:tcPr>
                <w:p w14:paraId="1CEF1C51">
                  <w:pPr>
                    <w:jc w:val="center"/>
                    <w:rPr>
                      <w:rFonts w:eastAsiaTheme="minorEastAsia"/>
                      <w:szCs w:val="21"/>
                    </w:rPr>
                  </w:pPr>
                  <w:r>
                    <w:rPr>
                      <w:rFonts w:hint="eastAsia" w:eastAsiaTheme="minorEastAsia"/>
                      <w:szCs w:val="21"/>
                    </w:rPr>
                    <w:t>40</w:t>
                  </w:r>
                </w:p>
              </w:tc>
              <w:tc>
                <w:tcPr>
                  <w:tcW w:w="288" w:type="pct"/>
                  <w:vAlign w:val="center"/>
                </w:tcPr>
                <w:p w14:paraId="7F71DFC1">
                  <w:pPr>
                    <w:jc w:val="center"/>
                    <w:rPr>
                      <w:rFonts w:eastAsiaTheme="minorEastAsia"/>
                      <w:szCs w:val="21"/>
                    </w:rPr>
                  </w:pPr>
                  <w:r>
                    <w:rPr>
                      <w:rFonts w:hint="eastAsia" w:eastAsiaTheme="minorEastAsia"/>
                      <w:szCs w:val="21"/>
                    </w:rPr>
                    <w:t>46.4</w:t>
                  </w:r>
                </w:p>
              </w:tc>
              <w:tc>
                <w:tcPr>
                  <w:tcW w:w="281" w:type="pct"/>
                  <w:vAlign w:val="center"/>
                </w:tcPr>
                <w:p w14:paraId="208A4219">
                  <w:pPr>
                    <w:jc w:val="center"/>
                    <w:rPr>
                      <w:rFonts w:eastAsiaTheme="minorEastAsia"/>
                      <w:szCs w:val="21"/>
                    </w:rPr>
                  </w:pPr>
                  <w:r>
                    <w:rPr>
                      <w:rFonts w:hint="eastAsia" w:eastAsiaTheme="minorEastAsia"/>
                      <w:szCs w:val="21"/>
                    </w:rPr>
                    <w:t>57.1</w:t>
                  </w:r>
                </w:p>
              </w:tc>
              <w:tc>
                <w:tcPr>
                  <w:tcW w:w="330" w:type="pct"/>
                  <w:vAlign w:val="center"/>
                </w:tcPr>
                <w:p w14:paraId="1460F599">
                  <w:pPr>
                    <w:jc w:val="center"/>
                    <w:rPr>
                      <w:rFonts w:eastAsiaTheme="minorEastAsia"/>
                      <w:szCs w:val="21"/>
                    </w:rPr>
                  </w:pPr>
                  <w:r>
                    <w:rPr>
                      <w:rFonts w:hint="eastAsia" w:eastAsiaTheme="minorEastAsia"/>
                      <w:szCs w:val="21"/>
                    </w:rPr>
                    <w:t>40.7</w:t>
                  </w:r>
                </w:p>
              </w:tc>
              <w:tc>
                <w:tcPr>
                  <w:tcW w:w="285" w:type="pct"/>
                  <w:vAlign w:val="center"/>
                </w:tcPr>
                <w:p w14:paraId="448CC0BA">
                  <w:pPr>
                    <w:jc w:val="center"/>
                    <w:rPr>
                      <w:rFonts w:eastAsiaTheme="minorEastAsia"/>
                      <w:szCs w:val="21"/>
                    </w:rPr>
                  </w:pPr>
                  <w:r>
                    <w:rPr>
                      <w:rFonts w:hint="eastAsia" w:eastAsiaTheme="minorEastAsia"/>
                      <w:szCs w:val="21"/>
                    </w:rPr>
                    <w:t>48.0</w:t>
                  </w:r>
                </w:p>
              </w:tc>
              <w:tc>
                <w:tcPr>
                  <w:tcW w:w="225" w:type="pct"/>
                  <w:vAlign w:val="center"/>
                </w:tcPr>
                <w:p w14:paraId="419765E3">
                  <w:pPr>
                    <w:jc w:val="center"/>
                    <w:rPr>
                      <w:rFonts w:eastAsiaTheme="minorEastAsia"/>
                      <w:szCs w:val="21"/>
                    </w:rPr>
                  </w:pPr>
                  <w:r>
                    <w:rPr>
                      <w:rFonts w:hint="eastAsia" w:hAnsiTheme="minorEastAsia" w:eastAsiaTheme="minorEastAsia"/>
                      <w:bCs/>
                      <w:kern w:val="0"/>
                      <w:szCs w:val="21"/>
                    </w:rPr>
                    <w:t>16h</w:t>
                  </w:r>
                </w:p>
              </w:tc>
            </w:tr>
            <w:tr w14:paraId="74DE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57E4C224">
                  <w:pPr>
                    <w:jc w:val="center"/>
                    <w:rPr>
                      <w:rFonts w:eastAsiaTheme="minorEastAsia"/>
                      <w:szCs w:val="21"/>
                    </w:rPr>
                  </w:pPr>
                  <w:r>
                    <w:rPr>
                      <w:rFonts w:hint="eastAsia" w:eastAsiaTheme="minorEastAsia"/>
                      <w:szCs w:val="21"/>
                    </w:rPr>
                    <w:t>6</w:t>
                  </w:r>
                </w:p>
              </w:tc>
              <w:tc>
                <w:tcPr>
                  <w:tcW w:w="216" w:type="pct"/>
                  <w:vMerge w:val="continue"/>
                  <w:vAlign w:val="center"/>
                </w:tcPr>
                <w:p w14:paraId="67BAD6A4">
                  <w:pPr>
                    <w:jc w:val="center"/>
                    <w:rPr>
                      <w:rFonts w:eastAsiaTheme="minorEastAsia"/>
                      <w:szCs w:val="21"/>
                    </w:rPr>
                  </w:pPr>
                </w:p>
              </w:tc>
              <w:tc>
                <w:tcPr>
                  <w:tcW w:w="371" w:type="pct"/>
                  <w:vAlign w:val="center"/>
                </w:tcPr>
                <w:p w14:paraId="3A7B1DFC">
                  <w:pPr>
                    <w:jc w:val="center"/>
                    <w:rPr>
                      <w:rFonts w:hAnsiTheme="minorEastAsia" w:eastAsiaTheme="minorEastAsia"/>
                      <w:szCs w:val="21"/>
                    </w:rPr>
                  </w:pPr>
                  <w:r>
                    <w:rPr>
                      <w:rFonts w:hAnsiTheme="minorEastAsia" w:eastAsiaTheme="minorEastAsia"/>
                      <w:szCs w:val="21"/>
                    </w:rPr>
                    <w:t>印刷机</w:t>
                  </w:r>
                </w:p>
              </w:tc>
              <w:tc>
                <w:tcPr>
                  <w:tcW w:w="281" w:type="pct"/>
                  <w:vAlign w:val="center"/>
                </w:tcPr>
                <w:p w14:paraId="1BBC36B3">
                  <w:pPr>
                    <w:jc w:val="center"/>
                    <w:rPr>
                      <w:rFonts w:eastAsiaTheme="minorEastAsia"/>
                      <w:szCs w:val="21"/>
                    </w:rPr>
                  </w:pPr>
                  <w:r>
                    <w:rPr>
                      <w:rFonts w:hint="eastAsia" w:eastAsiaTheme="minorEastAsia"/>
                      <w:szCs w:val="21"/>
                    </w:rPr>
                    <w:t>1</w:t>
                  </w:r>
                </w:p>
              </w:tc>
              <w:tc>
                <w:tcPr>
                  <w:tcW w:w="464" w:type="pct"/>
                  <w:vAlign w:val="center"/>
                </w:tcPr>
                <w:p w14:paraId="22A5AA37">
                  <w:pPr>
                    <w:jc w:val="center"/>
                    <w:rPr>
                      <w:rFonts w:eastAsiaTheme="minorEastAsia"/>
                      <w:szCs w:val="21"/>
                    </w:rPr>
                  </w:pPr>
                  <w:r>
                    <w:rPr>
                      <w:rFonts w:hint="eastAsia" w:eastAsiaTheme="minorEastAsia"/>
                      <w:szCs w:val="21"/>
                    </w:rPr>
                    <w:t>80/1</w:t>
                  </w:r>
                </w:p>
              </w:tc>
              <w:tc>
                <w:tcPr>
                  <w:tcW w:w="305" w:type="pct"/>
                  <w:vMerge w:val="continue"/>
                </w:tcPr>
                <w:p w14:paraId="31CB003D">
                  <w:pPr>
                    <w:jc w:val="center"/>
                    <w:rPr>
                      <w:szCs w:val="21"/>
                    </w:rPr>
                  </w:pPr>
                </w:p>
              </w:tc>
              <w:tc>
                <w:tcPr>
                  <w:tcW w:w="283" w:type="pct"/>
                  <w:vAlign w:val="center"/>
                </w:tcPr>
                <w:p w14:paraId="34E78390">
                  <w:pPr>
                    <w:jc w:val="center"/>
                    <w:rPr>
                      <w:rFonts w:eastAsiaTheme="minorEastAsia"/>
                      <w:szCs w:val="21"/>
                    </w:rPr>
                  </w:pPr>
                  <w:r>
                    <w:rPr>
                      <w:rFonts w:hint="eastAsia" w:eastAsiaTheme="minorEastAsia"/>
                      <w:szCs w:val="21"/>
                    </w:rPr>
                    <w:t>-21</w:t>
                  </w:r>
                </w:p>
              </w:tc>
              <w:tc>
                <w:tcPr>
                  <w:tcW w:w="282" w:type="pct"/>
                  <w:vAlign w:val="center"/>
                </w:tcPr>
                <w:p w14:paraId="48DC630E">
                  <w:pPr>
                    <w:jc w:val="center"/>
                    <w:rPr>
                      <w:rFonts w:eastAsiaTheme="minorEastAsia"/>
                      <w:szCs w:val="21"/>
                    </w:rPr>
                  </w:pPr>
                  <w:r>
                    <w:rPr>
                      <w:rFonts w:hint="eastAsia" w:eastAsiaTheme="minorEastAsia"/>
                      <w:szCs w:val="21"/>
                    </w:rPr>
                    <w:t>-50</w:t>
                  </w:r>
                </w:p>
              </w:tc>
              <w:tc>
                <w:tcPr>
                  <w:tcW w:w="283" w:type="pct"/>
                  <w:vAlign w:val="center"/>
                </w:tcPr>
                <w:p w14:paraId="358882E3">
                  <w:pPr>
                    <w:jc w:val="center"/>
                    <w:rPr>
                      <w:rFonts w:eastAsiaTheme="minorEastAsia"/>
                      <w:szCs w:val="21"/>
                    </w:rPr>
                  </w:pPr>
                  <w:r>
                    <w:rPr>
                      <w:rFonts w:hint="eastAsia" w:eastAsiaTheme="minorEastAsia"/>
                      <w:szCs w:val="21"/>
                    </w:rPr>
                    <w:t>0</w:t>
                  </w:r>
                </w:p>
              </w:tc>
              <w:tc>
                <w:tcPr>
                  <w:tcW w:w="236" w:type="pct"/>
                  <w:vAlign w:val="center"/>
                </w:tcPr>
                <w:p w14:paraId="050C8321">
                  <w:pPr>
                    <w:jc w:val="center"/>
                    <w:rPr>
                      <w:rFonts w:eastAsiaTheme="minorEastAsia"/>
                      <w:szCs w:val="21"/>
                    </w:rPr>
                  </w:pPr>
                  <w:r>
                    <w:rPr>
                      <w:rFonts w:hint="eastAsia" w:eastAsiaTheme="minorEastAsia"/>
                      <w:szCs w:val="21"/>
                    </w:rPr>
                    <w:t>23</w:t>
                  </w:r>
                </w:p>
              </w:tc>
              <w:tc>
                <w:tcPr>
                  <w:tcW w:w="235" w:type="pct"/>
                  <w:vAlign w:val="center"/>
                </w:tcPr>
                <w:p w14:paraId="4C378247">
                  <w:pPr>
                    <w:jc w:val="center"/>
                    <w:rPr>
                      <w:rFonts w:eastAsiaTheme="minorEastAsia"/>
                      <w:szCs w:val="21"/>
                    </w:rPr>
                  </w:pPr>
                  <w:r>
                    <w:rPr>
                      <w:rFonts w:hint="eastAsia" w:eastAsiaTheme="minorEastAsia"/>
                      <w:szCs w:val="21"/>
                    </w:rPr>
                    <w:t>4</w:t>
                  </w:r>
                </w:p>
              </w:tc>
              <w:tc>
                <w:tcPr>
                  <w:tcW w:w="236" w:type="pct"/>
                  <w:vAlign w:val="center"/>
                </w:tcPr>
                <w:p w14:paraId="7437AE13">
                  <w:pPr>
                    <w:jc w:val="center"/>
                    <w:rPr>
                      <w:rFonts w:eastAsiaTheme="minorEastAsia"/>
                      <w:szCs w:val="21"/>
                    </w:rPr>
                  </w:pPr>
                  <w:r>
                    <w:rPr>
                      <w:rFonts w:hint="eastAsia" w:eastAsiaTheme="minorEastAsia"/>
                      <w:szCs w:val="21"/>
                    </w:rPr>
                    <w:t>117</w:t>
                  </w:r>
                </w:p>
              </w:tc>
              <w:tc>
                <w:tcPr>
                  <w:tcW w:w="235" w:type="pct"/>
                  <w:vAlign w:val="center"/>
                </w:tcPr>
                <w:p w14:paraId="63979A55">
                  <w:pPr>
                    <w:jc w:val="center"/>
                    <w:rPr>
                      <w:rFonts w:eastAsiaTheme="minorEastAsia"/>
                      <w:szCs w:val="21"/>
                    </w:rPr>
                  </w:pPr>
                  <w:r>
                    <w:rPr>
                      <w:rFonts w:hint="eastAsia" w:eastAsiaTheme="minorEastAsia"/>
                      <w:szCs w:val="21"/>
                    </w:rPr>
                    <w:t>50</w:t>
                  </w:r>
                </w:p>
              </w:tc>
              <w:tc>
                <w:tcPr>
                  <w:tcW w:w="288" w:type="pct"/>
                  <w:vAlign w:val="center"/>
                </w:tcPr>
                <w:p w14:paraId="1D374284">
                  <w:pPr>
                    <w:jc w:val="center"/>
                    <w:rPr>
                      <w:rFonts w:eastAsiaTheme="minorEastAsia"/>
                      <w:szCs w:val="21"/>
                    </w:rPr>
                  </w:pPr>
                  <w:r>
                    <w:rPr>
                      <w:rFonts w:hint="eastAsia" w:eastAsiaTheme="minorEastAsia"/>
                      <w:szCs w:val="21"/>
                    </w:rPr>
                    <w:t>52.8</w:t>
                  </w:r>
                </w:p>
              </w:tc>
              <w:tc>
                <w:tcPr>
                  <w:tcW w:w="281" w:type="pct"/>
                  <w:vAlign w:val="center"/>
                </w:tcPr>
                <w:p w14:paraId="1DD993B9">
                  <w:pPr>
                    <w:jc w:val="center"/>
                    <w:rPr>
                      <w:rFonts w:eastAsiaTheme="minorEastAsia"/>
                      <w:szCs w:val="21"/>
                    </w:rPr>
                  </w:pPr>
                  <w:r>
                    <w:rPr>
                      <w:rFonts w:hint="eastAsia" w:eastAsiaTheme="minorEastAsia"/>
                      <w:szCs w:val="21"/>
                    </w:rPr>
                    <w:t>68.0</w:t>
                  </w:r>
                </w:p>
              </w:tc>
              <w:tc>
                <w:tcPr>
                  <w:tcW w:w="330" w:type="pct"/>
                  <w:vAlign w:val="center"/>
                </w:tcPr>
                <w:p w14:paraId="5A2C34BA">
                  <w:pPr>
                    <w:jc w:val="center"/>
                    <w:rPr>
                      <w:rFonts w:eastAsiaTheme="minorEastAsia"/>
                      <w:szCs w:val="21"/>
                    </w:rPr>
                  </w:pPr>
                  <w:r>
                    <w:rPr>
                      <w:rFonts w:hint="eastAsia" w:eastAsiaTheme="minorEastAsia"/>
                      <w:szCs w:val="21"/>
                    </w:rPr>
                    <w:t>38.6</w:t>
                  </w:r>
                </w:p>
              </w:tc>
              <w:tc>
                <w:tcPr>
                  <w:tcW w:w="285" w:type="pct"/>
                  <w:vAlign w:val="center"/>
                </w:tcPr>
                <w:p w14:paraId="4C5171A3">
                  <w:pPr>
                    <w:jc w:val="center"/>
                    <w:rPr>
                      <w:rFonts w:eastAsiaTheme="minorEastAsia"/>
                      <w:szCs w:val="21"/>
                    </w:rPr>
                  </w:pPr>
                  <w:r>
                    <w:rPr>
                      <w:rFonts w:hint="eastAsia" w:eastAsiaTheme="minorEastAsia"/>
                      <w:szCs w:val="21"/>
                    </w:rPr>
                    <w:t>46.0</w:t>
                  </w:r>
                </w:p>
              </w:tc>
              <w:tc>
                <w:tcPr>
                  <w:tcW w:w="225" w:type="pct"/>
                  <w:vAlign w:val="center"/>
                </w:tcPr>
                <w:p w14:paraId="5E14B501">
                  <w:pPr>
                    <w:jc w:val="center"/>
                    <w:rPr>
                      <w:rFonts w:eastAsiaTheme="minorEastAsia"/>
                      <w:szCs w:val="21"/>
                    </w:rPr>
                  </w:pPr>
                  <w:r>
                    <w:rPr>
                      <w:rFonts w:hint="eastAsia" w:hAnsiTheme="minorEastAsia" w:eastAsiaTheme="minorEastAsia"/>
                      <w:bCs/>
                      <w:kern w:val="0"/>
                      <w:szCs w:val="21"/>
                    </w:rPr>
                    <w:t>8h</w:t>
                  </w:r>
                </w:p>
              </w:tc>
            </w:tr>
            <w:tr w14:paraId="36B9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711C1048">
                  <w:pPr>
                    <w:jc w:val="center"/>
                    <w:rPr>
                      <w:rFonts w:eastAsiaTheme="minorEastAsia"/>
                      <w:szCs w:val="21"/>
                    </w:rPr>
                  </w:pPr>
                  <w:r>
                    <w:rPr>
                      <w:rFonts w:hint="eastAsia" w:eastAsiaTheme="minorEastAsia"/>
                      <w:szCs w:val="21"/>
                    </w:rPr>
                    <w:t>7</w:t>
                  </w:r>
                </w:p>
              </w:tc>
              <w:tc>
                <w:tcPr>
                  <w:tcW w:w="216" w:type="pct"/>
                  <w:vMerge w:val="continue"/>
                  <w:vAlign w:val="center"/>
                </w:tcPr>
                <w:p w14:paraId="60A41FF0">
                  <w:pPr>
                    <w:jc w:val="center"/>
                    <w:rPr>
                      <w:rFonts w:eastAsiaTheme="minorEastAsia"/>
                      <w:szCs w:val="21"/>
                    </w:rPr>
                  </w:pPr>
                </w:p>
              </w:tc>
              <w:tc>
                <w:tcPr>
                  <w:tcW w:w="371" w:type="pct"/>
                  <w:vAlign w:val="center"/>
                </w:tcPr>
                <w:p w14:paraId="14456017">
                  <w:pPr>
                    <w:jc w:val="center"/>
                    <w:rPr>
                      <w:rFonts w:eastAsiaTheme="minorEastAsia"/>
                      <w:szCs w:val="21"/>
                    </w:rPr>
                  </w:pPr>
                  <w:r>
                    <w:rPr>
                      <w:rFonts w:hAnsiTheme="minorEastAsia" w:eastAsiaTheme="minorEastAsia"/>
                      <w:szCs w:val="21"/>
                    </w:rPr>
                    <w:t>过油机</w:t>
                  </w:r>
                </w:p>
              </w:tc>
              <w:tc>
                <w:tcPr>
                  <w:tcW w:w="281" w:type="pct"/>
                  <w:vAlign w:val="center"/>
                </w:tcPr>
                <w:p w14:paraId="51EC6238">
                  <w:pPr>
                    <w:jc w:val="center"/>
                    <w:rPr>
                      <w:rFonts w:eastAsiaTheme="minorEastAsia"/>
                      <w:szCs w:val="21"/>
                    </w:rPr>
                  </w:pPr>
                  <w:r>
                    <w:rPr>
                      <w:rFonts w:hint="eastAsia" w:eastAsiaTheme="minorEastAsia"/>
                      <w:szCs w:val="21"/>
                    </w:rPr>
                    <w:t>1</w:t>
                  </w:r>
                </w:p>
              </w:tc>
              <w:tc>
                <w:tcPr>
                  <w:tcW w:w="464" w:type="pct"/>
                  <w:vAlign w:val="center"/>
                </w:tcPr>
                <w:p w14:paraId="1204431A">
                  <w:pPr>
                    <w:jc w:val="center"/>
                    <w:rPr>
                      <w:rFonts w:eastAsiaTheme="minorEastAsia"/>
                      <w:szCs w:val="21"/>
                    </w:rPr>
                  </w:pPr>
                  <w:r>
                    <w:rPr>
                      <w:rFonts w:hint="eastAsia" w:eastAsiaTheme="minorEastAsia"/>
                      <w:szCs w:val="21"/>
                    </w:rPr>
                    <w:t>80/1</w:t>
                  </w:r>
                </w:p>
              </w:tc>
              <w:tc>
                <w:tcPr>
                  <w:tcW w:w="305" w:type="pct"/>
                  <w:vMerge w:val="continue"/>
                </w:tcPr>
                <w:p w14:paraId="7A800480">
                  <w:pPr>
                    <w:jc w:val="center"/>
                    <w:rPr>
                      <w:szCs w:val="21"/>
                    </w:rPr>
                  </w:pPr>
                </w:p>
              </w:tc>
              <w:tc>
                <w:tcPr>
                  <w:tcW w:w="283" w:type="pct"/>
                  <w:vAlign w:val="center"/>
                </w:tcPr>
                <w:p w14:paraId="6E822524">
                  <w:pPr>
                    <w:jc w:val="center"/>
                    <w:rPr>
                      <w:rFonts w:eastAsiaTheme="minorEastAsia"/>
                      <w:szCs w:val="21"/>
                    </w:rPr>
                  </w:pPr>
                  <w:r>
                    <w:rPr>
                      <w:rFonts w:hint="eastAsia" w:eastAsiaTheme="minorEastAsia"/>
                      <w:szCs w:val="21"/>
                    </w:rPr>
                    <w:t>-40</w:t>
                  </w:r>
                </w:p>
              </w:tc>
              <w:tc>
                <w:tcPr>
                  <w:tcW w:w="282" w:type="pct"/>
                  <w:vAlign w:val="center"/>
                </w:tcPr>
                <w:p w14:paraId="1751F01D">
                  <w:pPr>
                    <w:jc w:val="center"/>
                    <w:rPr>
                      <w:rFonts w:eastAsiaTheme="minorEastAsia"/>
                      <w:szCs w:val="21"/>
                    </w:rPr>
                  </w:pPr>
                  <w:r>
                    <w:rPr>
                      <w:rFonts w:hint="eastAsia" w:eastAsiaTheme="minorEastAsia"/>
                      <w:szCs w:val="21"/>
                    </w:rPr>
                    <w:t>-3</w:t>
                  </w:r>
                </w:p>
              </w:tc>
              <w:tc>
                <w:tcPr>
                  <w:tcW w:w="283" w:type="pct"/>
                  <w:vAlign w:val="center"/>
                </w:tcPr>
                <w:p w14:paraId="2442C5FC">
                  <w:pPr>
                    <w:jc w:val="center"/>
                    <w:rPr>
                      <w:rFonts w:eastAsiaTheme="minorEastAsia"/>
                      <w:szCs w:val="21"/>
                    </w:rPr>
                  </w:pPr>
                  <w:r>
                    <w:rPr>
                      <w:rFonts w:hint="eastAsia" w:eastAsiaTheme="minorEastAsia"/>
                      <w:szCs w:val="21"/>
                    </w:rPr>
                    <w:t>0</w:t>
                  </w:r>
                </w:p>
              </w:tc>
              <w:tc>
                <w:tcPr>
                  <w:tcW w:w="236" w:type="pct"/>
                  <w:vAlign w:val="center"/>
                </w:tcPr>
                <w:p w14:paraId="64390110">
                  <w:pPr>
                    <w:jc w:val="center"/>
                    <w:rPr>
                      <w:rFonts w:eastAsiaTheme="minorEastAsia"/>
                      <w:szCs w:val="21"/>
                    </w:rPr>
                  </w:pPr>
                  <w:r>
                    <w:rPr>
                      <w:rFonts w:hint="eastAsia" w:eastAsiaTheme="minorEastAsia"/>
                      <w:szCs w:val="21"/>
                    </w:rPr>
                    <w:t>41</w:t>
                  </w:r>
                </w:p>
              </w:tc>
              <w:tc>
                <w:tcPr>
                  <w:tcW w:w="235" w:type="pct"/>
                  <w:vAlign w:val="center"/>
                </w:tcPr>
                <w:p w14:paraId="679F7286">
                  <w:pPr>
                    <w:jc w:val="center"/>
                    <w:rPr>
                      <w:rFonts w:eastAsiaTheme="minorEastAsia"/>
                      <w:szCs w:val="21"/>
                    </w:rPr>
                  </w:pPr>
                  <w:r>
                    <w:rPr>
                      <w:rFonts w:hint="eastAsia" w:eastAsiaTheme="minorEastAsia"/>
                      <w:szCs w:val="21"/>
                    </w:rPr>
                    <w:t>52</w:t>
                  </w:r>
                </w:p>
              </w:tc>
              <w:tc>
                <w:tcPr>
                  <w:tcW w:w="236" w:type="pct"/>
                  <w:vAlign w:val="center"/>
                </w:tcPr>
                <w:p w14:paraId="2B8C39B8">
                  <w:pPr>
                    <w:jc w:val="center"/>
                    <w:rPr>
                      <w:rFonts w:eastAsiaTheme="minorEastAsia"/>
                      <w:szCs w:val="21"/>
                    </w:rPr>
                  </w:pPr>
                  <w:r>
                    <w:rPr>
                      <w:rFonts w:hint="eastAsia" w:eastAsiaTheme="minorEastAsia"/>
                      <w:szCs w:val="21"/>
                    </w:rPr>
                    <w:t>99</w:t>
                  </w:r>
                </w:p>
              </w:tc>
              <w:tc>
                <w:tcPr>
                  <w:tcW w:w="235" w:type="pct"/>
                  <w:vAlign w:val="center"/>
                </w:tcPr>
                <w:p w14:paraId="333161D9">
                  <w:pPr>
                    <w:jc w:val="center"/>
                    <w:rPr>
                      <w:rFonts w:eastAsiaTheme="minorEastAsia"/>
                      <w:szCs w:val="21"/>
                    </w:rPr>
                  </w:pPr>
                  <w:r>
                    <w:rPr>
                      <w:rFonts w:hint="eastAsia" w:eastAsiaTheme="minorEastAsia"/>
                      <w:szCs w:val="21"/>
                    </w:rPr>
                    <w:t>2</w:t>
                  </w:r>
                </w:p>
              </w:tc>
              <w:tc>
                <w:tcPr>
                  <w:tcW w:w="288" w:type="pct"/>
                  <w:vAlign w:val="center"/>
                </w:tcPr>
                <w:p w14:paraId="3F69EEA6">
                  <w:pPr>
                    <w:jc w:val="center"/>
                    <w:rPr>
                      <w:rFonts w:eastAsiaTheme="minorEastAsia"/>
                      <w:szCs w:val="21"/>
                    </w:rPr>
                  </w:pPr>
                  <w:r>
                    <w:rPr>
                      <w:rFonts w:hint="eastAsia" w:eastAsiaTheme="minorEastAsia"/>
                      <w:szCs w:val="21"/>
                    </w:rPr>
                    <w:t>47.7</w:t>
                  </w:r>
                </w:p>
              </w:tc>
              <w:tc>
                <w:tcPr>
                  <w:tcW w:w="281" w:type="pct"/>
                  <w:vAlign w:val="center"/>
                </w:tcPr>
                <w:p w14:paraId="0B12D576">
                  <w:pPr>
                    <w:jc w:val="center"/>
                    <w:rPr>
                      <w:rFonts w:eastAsiaTheme="minorEastAsia"/>
                      <w:szCs w:val="21"/>
                    </w:rPr>
                  </w:pPr>
                  <w:r>
                    <w:rPr>
                      <w:rFonts w:hint="eastAsia" w:eastAsiaTheme="minorEastAsia"/>
                      <w:szCs w:val="21"/>
                    </w:rPr>
                    <w:t>45.7</w:t>
                  </w:r>
                </w:p>
              </w:tc>
              <w:tc>
                <w:tcPr>
                  <w:tcW w:w="330" w:type="pct"/>
                  <w:vAlign w:val="center"/>
                </w:tcPr>
                <w:p w14:paraId="303BD100">
                  <w:pPr>
                    <w:jc w:val="center"/>
                    <w:rPr>
                      <w:rFonts w:eastAsiaTheme="minorEastAsia"/>
                      <w:szCs w:val="21"/>
                    </w:rPr>
                  </w:pPr>
                  <w:r>
                    <w:rPr>
                      <w:rFonts w:hint="eastAsia" w:eastAsiaTheme="minorEastAsia"/>
                      <w:szCs w:val="21"/>
                    </w:rPr>
                    <w:t>40.1</w:t>
                  </w:r>
                </w:p>
              </w:tc>
              <w:tc>
                <w:tcPr>
                  <w:tcW w:w="285" w:type="pct"/>
                  <w:vAlign w:val="center"/>
                </w:tcPr>
                <w:p w14:paraId="59B33A60">
                  <w:pPr>
                    <w:jc w:val="center"/>
                    <w:rPr>
                      <w:rFonts w:eastAsiaTheme="minorEastAsia"/>
                      <w:szCs w:val="21"/>
                    </w:rPr>
                  </w:pPr>
                  <w:r>
                    <w:rPr>
                      <w:rFonts w:hint="eastAsia" w:eastAsiaTheme="minorEastAsia"/>
                      <w:szCs w:val="21"/>
                    </w:rPr>
                    <w:t>74.0</w:t>
                  </w:r>
                </w:p>
              </w:tc>
              <w:tc>
                <w:tcPr>
                  <w:tcW w:w="225" w:type="pct"/>
                  <w:vAlign w:val="center"/>
                </w:tcPr>
                <w:p w14:paraId="0FCD5E82">
                  <w:pPr>
                    <w:jc w:val="center"/>
                    <w:rPr>
                      <w:rFonts w:eastAsiaTheme="minorEastAsia"/>
                      <w:szCs w:val="21"/>
                    </w:rPr>
                  </w:pPr>
                  <w:r>
                    <w:rPr>
                      <w:rFonts w:hint="eastAsia" w:hAnsiTheme="minorEastAsia" w:eastAsiaTheme="minorEastAsia"/>
                      <w:bCs/>
                      <w:kern w:val="0"/>
                      <w:szCs w:val="21"/>
                    </w:rPr>
                    <w:t>20h</w:t>
                  </w:r>
                </w:p>
              </w:tc>
            </w:tr>
            <w:tr w14:paraId="07A0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037950E0">
                  <w:pPr>
                    <w:jc w:val="center"/>
                    <w:rPr>
                      <w:rFonts w:eastAsiaTheme="minorEastAsia"/>
                      <w:szCs w:val="21"/>
                    </w:rPr>
                  </w:pPr>
                  <w:r>
                    <w:rPr>
                      <w:rFonts w:hint="eastAsia" w:eastAsiaTheme="minorEastAsia"/>
                      <w:szCs w:val="21"/>
                    </w:rPr>
                    <w:t>8</w:t>
                  </w:r>
                </w:p>
              </w:tc>
              <w:tc>
                <w:tcPr>
                  <w:tcW w:w="216" w:type="pct"/>
                  <w:vMerge w:val="continue"/>
                  <w:vAlign w:val="center"/>
                </w:tcPr>
                <w:p w14:paraId="624F220F">
                  <w:pPr>
                    <w:jc w:val="center"/>
                    <w:rPr>
                      <w:rFonts w:eastAsiaTheme="minorEastAsia"/>
                      <w:szCs w:val="21"/>
                    </w:rPr>
                  </w:pPr>
                </w:p>
              </w:tc>
              <w:tc>
                <w:tcPr>
                  <w:tcW w:w="371" w:type="pct"/>
                  <w:vAlign w:val="center"/>
                </w:tcPr>
                <w:p w14:paraId="0BAA4DA3">
                  <w:pPr>
                    <w:jc w:val="center"/>
                    <w:rPr>
                      <w:rFonts w:eastAsiaTheme="minorEastAsia"/>
                      <w:szCs w:val="21"/>
                    </w:rPr>
                  </w:pPr>
                  <w:r>
                    <w:rPr>
                      <w:rFonts w:hAnsiTheme="minorEastAsia" w:eastAsiaTheme="minorEastAsia"/>
                      <w:szCs w:val="21"/>
                    </w:rPr>
                    <w:t>裱纸机</w:t>
                  </w:r>
                </w:p>
              </w:tc>
              <w:tc>
                <w:tcPr>
                  <w:tcW w:w="281" w:type="pct"/>
                  <w:vAlign w:val="center"/>
                </w:tcPr>
                <w:p w14:paraId="0B6023FF">
                  <w:pPr>
                    <w:jc w:val="center"/>
                    <w:rPr>
                      <w:rFonts w:eastAsiaTheme="minorEastAsia"/>
                      <w:szCs w:val="21"/>
                    </w:rPr>
                  </w:pPr>
                  <w:r>
                    <w:rPr>
                      <w:rFonts w:hint="eastAsia" w:eastAsiaTheme="minorEastAsia"/>
                      <w:szCs w:val="21"/>
                    </w:rPr>
                    <w:t>1</w:t>
                  </w:r>
                </w:p>
              </w:tc>
              <w:tc>
                <w:tcPr>
                  <w:tcW w:w="464" w:type="pct"/>
                  <w:vAlign w:val="center"/>
                </w:tcPr>
                <w:p w14:paraId="043221E4">
                  <w:pPr>
                    <w:jc w:val="center"/>
                    <w:rPr>
                      <w:rFonts w:eastAsiaTheme="minorEastAsia"/>
                      <w:szCs w:val="21"/>
                    </w:rPr>
                  </w:pPr>
                  <w:r>
                    <w:rPr>
                      <w:rFonts w:hint="eastAsia" w:eastAsiaTheme="minorEastAsia"/>
                      <w:szCs w:val="21"/>
                    </w:rPr>
                    <w:t>80/1</w:t>
                  </w:r>
                </w:p>
              </w:tc>
              <w:tc>
                <w:tcPr>
                  <w:tcW w:w="305" w:type="pct"/>
                  <w:vMerge w:val="continue"/>
                </w:tcPr>
                <w:p w14:paraId="3F511439">
                  <w:pPr>
                    <w:jc w:val="center"/>
                    <w:rPr>
                      <w:szCs w:val="21"/>
                    </w:rPr>
                  </w:pPr>
                </w:p>
              </w:tc>
              <w:tc>
                <w:tcPr>
                  <w:tcW w:w="283" w:type="pct"/>
                  <w:vAlign w:val="center"/>
                </w:tcPr>
                <w:p w14:paraId="3BB186EB">
                  <w:pPr>
                    <w:jc w:val="center"/>
                    <w:rPr>
                      <w:rFonts w:eastAsiaTheme="minorEastAsia"/>
                      <w:szCs w:val="21"/>
                    </w:rPr>
                  </w:pPr>
                  <w:r>
                    <w:rPr>
                      <w:rFonts w:hint="eastAsia" w:eastAsiaTheme="minorEastAsia"/>
                      <w:szCs w:val="21"/>
                    </w:rPr>
                    <w:t>-27</w:t>
                  </w:r>
                </w:p>
              </w:tc>
              <w:tc>
                <w:tcPr>
                  <w:tcW w:w="282" w:type="pct"/>
                  <w:vAlign w:val="center"/>
                </w:tcPr>
                <w:p w14:paraId="31925891">
                  <w:pPr>
                    <w:jc w:val="center"/>
                    <w:rPr>
                      <w:rFonts w:eastAsiaTheme="minorEastAsia"/>
                      <w:szCs w:val="21"/>
                    </w:rPr>
                  </w:pPr>
                  <w:r>
                    <w:rPr>
                      <w:rFonts w:hint="eastAsia" w:eastAsiaTheme="minorEastAsia"/>
                      <w:szCs w:val="21"/>
                    </w:rPr>
                    <w:t>-26</w:t>
                  </w:r>
                </w:p>
              </w:tc>
              <w:tc>
                <w:tcPr>
                  <w:tcW w:w="283" w:type="pct"/>
                  <w:vAlign w:val="center"/>
                </w:tcPr>
                <w:p w14:paraId="752497A2">
                  <w:pPr>
                    <w:jc w:val="center"/>
                    <w:rPr>
                      <w:rFonts w:eastAsiaTheme="minorEastAsia"/>
                      <w:szCs w:val="21"/>
                    </w:rPr>
                  </w:pPr>
                  <w:r>
                    <w:rPr>
                      <w:rFonts w:hint="eastAsia" w:eastAsiaTheme="minorEastAsia"/>
                      <w:szCs w:val="21"/>
                    </w:rPr>
                    <w:t>0</w:t>
                  </w:r>
                </w:p>
              </w:tc>
              <w:tc>
                <w:tcPr>
                  <w:tcW w:w="236" w:type="pct"/>
                  <w:vAlign w:val="center"/>
                </w:tcPr>
                <w:p w14:paraId="4A0CC2EE">
                  <w:pPr>
                    <w:jc w:val="center"/>
                    <w:rPr>
                      <w:rFonts w:eastAsiaTheme="minorEastAsia"/>
                      <w:szCs w:val="21"/>
                    </w:rPr>
                  </w:pPr>
                  <w:r>
                    <w:rPr>
                      <w:rFonts w:hint="eastAsia" w:eastAsiaTheme="minorEastAsia"/>
                      <w:szCs w:val="21"/>
                    </w:rPr>
                    <w:t>26</w:t>
                  </w:r>
                </w:p>
              </w:tc>
              <w:tc>
                <w:tcPr>
                  <w:tcW w:w="235" w:type="pct"/>
                  <w:vAlign w:val="center"/>
                </w:tcPr>
                <w:p w14:paraId="3F8451FA">
                  <w:pPr>
                    <w:jc w:val="center"/>
                    <w:rPr>
                      <w:rFonts w:eastAsiaTheme="minorEastAsia"/>
                      <w:szCs w:val="21"/>
                    </w:rPr>
                  </w:pPr>
                  <w:r>
                    <w:rPr>
                      <w:rFonts w:hint="eastAsia" w:eastAsiaTheme="minorEastAsia"/>
                      <w:szCs w:val="21"/>
                    </w:rPr>
                    <w:t>29</w:t>
                  </w:r>
                </w:p>
              </w:tc>
              <w:tc>
                <w:tcPr>
                  <w:tcW w:w="236" w:type="pct"/>
                  <w:vAlign w:val="center"/>
                </w:tcPr>
                <w:p w14:paraId="7B4DB21B">
                  <w:pPr>
                    <w:jc w:val="center"/>
                    <w:rPr>
                      <w:rFonts w:eastAsiaTheme="minorEastAsia"/>
                      <w:szCs w:val="21"/>
                    </w:rPr>
                  </w:pPr>
                  <w:r>
                    <w:rPr>
                      <w:rFonts w:hint="eastAsia" w:eastAsiaTheme="minorEastAsia"/>
                      <w:szCs w:val="21"/>
                    </w:rPr>
                    <w:t>114</w:t>
                  </w:r>
                </w:p>
              </w:tc>
              <w:tc>
                <w:tcPr>
                  <w:tcW w:w="235" w:type="pct"/>
                  <w:vAlign w:val="center"/>
                </w:tcPr>
                <w:p w14:paraId="488AADFE">
                  <w:pPr>
                    <w:jc w:val="center"/>
                    <w:rPr>
                      <w:rFonts w:eastAsiaTheme="minorEastAsia"/>
                      <w:szCs w:val="21"/>
                    </w:rPr>
                  </w:pPr>
                  <w:r>
                    <w:rPr>
                      <w:rFonts w:hint="eastAsia" w:eastAsiaTheme="minorEastAsia"/>
                      <w:szCs w:val="21"/>
                    </w:rPr>
                    <w:t>25</w:t>
                  </w:r>
                </w:p>
              </w:tc>
              <w:tc>
                <w:tcPr>
                  <w:tcW w:w="288" w:type="pct"/>
                  <w:vAlign w:val="center"/>
                </w:tcPr>
                <w:p w14:paraId="72EB5106">
                  <w:pPr>
                    <w:jc w:val="center"/>
                    <w:rPr>
                      <w:rFonts w:eastAsiaTheme="minorEastAsia"/>
                      <w:szCs w:val="21"/>
                    </w:rPr>
                  </w:pPr>
                  <w:r>
                    <w:rPr>
                      <w:rFonts w:hint="eastAsia" w:eastAsiaTheme="minorEastAsia"/>
                      <w:szCs w:val="21"/>
                    </w:rPr>
                    <w:t>51.7</w:t>
                  </w:r>
                </w:p>
              </w:tc>
              <w:tc>
                <w:tcPr>
                  <w:tcW w:w="281" w:type="pct"/>
                  <w:vAlign w:val="center"/>
                </w:tcPr>
                <w:p w14:paraId="073D1FC9">
                  <w:pPr>
                    <w:jc w:val="center"/>
                    <w:rPr>
                      <w:rFonts w:eastAsiaTheme="minorEastAsia"/>
                      <w:szCs w:val="21"/>
                    </w:rPr>
                  </w:pPr>
                  <w:r>
                    <w:rPr>
                      <w:rFonts w:hint="eastAsia" w:eastAsiaTheme="minorEastAsia"/>
                      <w:szCs w:val="21"/>
                    </w:rPr>
                    <w:t>50.8</w:t>
                  </w:r>
                </w:p>
              </w:tc>
              <w:tc>
                <w:tcPr>
                  <w:tcW w:w="330" w:type="pct"/>
                  <w:vAlign w:val="center"/>
                </w:tcPr>
                <w:p w14:paraId="2428A521">
                  <w:pPr>
                    <w:jc w:val="center"/>
                    <w:rPr>
                      <w:rFonts w:eastAsiaTheme="minorEastAsia"/>
                      <w:szCs w:val="21"/>
                    </w:rPr>
                  </w:pPr>
                  <w:r>
                    <w:rPr>
                      <w:rFonts w:hint="eastAsia" w:eastAsiaTheme="minorEastAsia"/>
                      <w:szCs w:val="21"/>
                    </w:rPr>
                    <w:t>38.9</w:t>
                  </w:r>
                </w:p>
              </w:tc>
              <w:tc>
                <w:tcPr>
                  <w:tcW w:w="285" w:type="pct"/>
                  <w:vAlign w:val="center"/>
                </w:tcPr>
                <w:p w14:paraId="61659167">
                  <w:pPr>
                    <w:jc w:val="center"/>
                    <w:rPr>
                      <w:rFonts w:eastAsiaTheme="minorEastAsia"/>
                      <w:szCs w:val="21"/>
                    </w:rPr>
                  </w:pPr>
                  <w:r>
                    <w:rPr>
                      <w:rFonts w:hint="eastAsia" w:eastAsiaTheme="minorEastAsia"/>
                      <w:szCs w:val="21"/>
                    </w:rPr>
                    <w:t>52.0</w:t>
                  </w:r>
                </w:p>
              </w:tc>
              <w:tc>
                <w:tcPr>
                  <w:tcW w:w="225" w:type="pct"/>
                  <w:vAlign w:val="center"/>
                </w:tcPr>
                <w:p w14:paraId="480A4B69">
                  <w:pPr>
                    <w:jc w:val="center"/>
                    <w:rPr>
                      <w:rFonts w:eastAsiaTheme="minorEastAsia"/>
                      <w:szCs w:val="21"/>
                    </w:rPr>
                  </w:pPr>
                  <w:r>
                    <w:rPr>
                      <w:rFonts w:hint="eastAsia" w:hAnsiTheme="minorEastAsia" w:eastAsiaTheme="minorEastAsia"/>
                      <w:bCs/>
                      <w:kern w:val="0"/>
                      <w:szCs w:val="21"/>
                    </w:rPr>
                    <w:t>20h</w:t>
                  </w:r>
                </w:p>
              </w:tc>
            </w:tr>
            <w:tr w14:paraId="5AE8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60EB038A">
                  <w:pPr>
                    <w:jc w:val="center"/>
                    <w:rPr>
                      <w:rFonts w:eastAsiaTheme="minorEastAsia"/>
                      <w:szCs w:val="21"/>
                    </w:rPr>
                  </w:pPr>
                  <w:r>
                    <w:rPr>
                      <w:rFonts w:hint="eastAsia" w:eastAsiaTheme="minorEastAsia"/>
                      <w:szCs w:val="21"/>
                    </w:rPr>
                    <w:t>9</w:t>
                  </w:r>
                </w:p>
              </w:tc>
              <w:tc>
                <w:tcPr>
                  <w:tcW w:w="216" w:type="pct"/>
                  <w:vMerge w:val="continue"/>
                  <w:vAlign w:val="center"/>
                </w:tcPr>
                <w:p w14:paraId="6C5C45AD">
                  <w:pPr>
                    <w:jc w:val="center"/>
                    <w:rPr>
                      <w:rFonts w:eastAsiaTheme="minorEastAsia"/>
                      <w:szCs w:val="21"/>
                    </w:rPr>
                  </w:pPr>
                </w:p>
              </w:tc>
              <w:tc>
                <w:tcPr>
                  <w:tcW w:w="371" w:type="pct"/>
                  <w:vAlign w:val="center"/>
                </w:tcPr>
                <w:p w14:paraId="45E1380F">
                  <w:pPr>
                    <w:jc w:val="center"/>
                    <w:rPr>
                      <w:rFonts w:hAnsiTheme="minorEastAsia" w:eastAsiaTheme="minorEastAsia"/>
                      <w:szCs w:val="21"/>
                    </w:rPr>
                  </w:pPr>
                  <w:r>
                    <w:rPr>
                      <w:rFonts w:hAnsiTheme="minorEastAsia" w:eastAsiaTheme="minorEastAsia"/>
                      <w:szCs w:val="21"/>
                    </w:rPr>
                    <w:t>裱纸机</w:t>
                  </w:r>
                </w:p>
              </w:tc>
              <w:tc>
                <w:tcPr>
                  <w:tcW w:w="281" w:type="pct"/>
                  <w:vAlign w:val="center"/>
                </w:tcPr>
                <w:p w14:paraId="4EBAC981">
                  <w:pPr>
                    <w:jc w:val="center"/>
                    <w:rPr>
                      <w:rFonts w:eastAsiaTheme="minorEastAsia"/>
                      <w:szCs w:val="21"/>
                    </w:rPr>
                  </w:pPr>
                  <w:r>
                    <w:rPr>
                      <w:rFonts w:hint="eastAsia" w:eastAsiaTheme="minorEastAsia"/>
                      <w:szCs w:val="21"/>
                    </w:rPr>
                    <w:t>1</w:t>
                  </w:r>
                </w:p>
              </w:tc>
              <w:tc>
                <w:tcPr>
                  <w:tcW w:w="464" w:type="pct"/>
                  <w:vAlign w:val="center"/>
                </w:tcPr>
                <w:p w14:paraId="3ABE541E">
                  <w:pPr>
                    <w:jc w:val="center"/>
                    <w:rPr>
                      <w:rFonts w:eastAsiaTheme="minorEastAsia"/>
                      <w:szCs w:val="21"/>
                    </w:rPr>
                  </w:pPr>
                  <w:r>
                    <w:rPr>
                      <w:rFonts w:hint="eastAsia" w:eastAsiaTheme="minorEastAsia"/>
                      <w:szCs w:val="21"/>
                    </w:rPr>
                    <w:t>80/1</w:t>
                  </w:r>
                </w:p>
              </w:tc>
              <w:tc>
                <w:tcPr>
                  <w:tcW w:w="305" w:type="pct"/>
                  <w:vMerge w:val="continue"/>
                </w:tcPr>
                <w:p w14:paraId="5476B6E3">
                  <w:pPr>
                    <w:jc w:val="center"/>
                    <w:rPr>
                      <w:szCs w:val="21"/>
                    </w:rPr>
                  </w:pPr>
                </w:p>
              </w:tc>
              <w:tc>
                <w:tcPr>
                  <w:tcW w:w="283" w:type="pct"/>
                  <w:vAlign w:val="center"/>
                </w:tcPr>
                <w:p w14:paraId="42CBEBA1">
                  <w:pPr>
                    <w:jc w:val="center"/>
                    <w:rPr>
                      <w:rFonts w:eastAsiaTheme="minorEastAsia"/>
                      <w:szCs w:val="21"/>
                    </w:rPr>
                  </w:pPr>
                  <w:r>
                    <w:rPr>
                      <w:rFonts w:hint="eastAsia" w:eastAsiaTheme="minorEastAsia"/>
                      <w:szCs w:val="21"/>
                    </w:rPr>
                    <w:t>-35</w:t>
                  </w:r>
                </w:p>
              </w:tc>
              <w:tc>
                <w:tcPr>
                  <w:tcW w:w="282" w:type="pct"/>
                  <w:vAlign w:val="center"/>
                </w:tcPr>
                <w:p w14:paraId="67D9DA95">
                  <w:pPr>
                    <w:jc w:val="center"/>
                    <w:rPr>
                      <w:rFonts w:eastAsiaTheme="minorEastAsia"/>
                      <w:szCs w:val="21"/>
                    </w:rPr>
                  </w:pPr>
                  <w:r>
                    <w:rPr>
                      <w:rFonts w:hint="eastAsia" w:eastAsiaTheme="minorEastAsia"/>
                      <w:szCs w:val="21"/>
                    </w:rPr>
                    <w:t>-26</w:t>
                  </w:r>
                </w:p>
              </w:tc>
              <w:tc>
                <w:tcPr>
                  <w:tcW w:w="283" w:type="pct"/>
                  <w:vAlign w:val="center"/>
                </w:tcPr>
                <w:p w14:paraId="73B0F643">
                  <w:pPr>
                    <w:jc w:val="center"/>
                    <w:rPr>
                      <w:rFonts w:eastAsiaTheme="minorEastAsia"/>
                      <w:szCs w:val="21"/>
                    </w:rPr>
                  </w:pPr>
                  <w:r>
                    <w:rPr>
                      <w:rFonts w:hint="eastAsia" w:eastAsiaTheme="minorEastAsia"/>
                      <w:szCs w:val="21"/>
                    </w:rPr>
                    <w:t>0</w:t>
                  </w:r>
                </w:p>
              </w:tc>
              <w:tc>
                <w:tcPr>
                  <w:tcW w:w="236" w:type="pct"/>
                  <w:vAlign w:val="center"/>
                </w:tcPr>
                <w:p w14:paraId="24C74101">
                  <w:pPr>
                    <w:jc w:val="center"/>
                    <w:rPr>
                      <w:rFonts w:eastAsiaTheme="minorEastAsia"/>
                      <w:szCs w:val="21"/>
                    </w:rPr>
                  </w:pPr>
                  <w:r>
                    <w:rPr>
                      <w:rFonts w:hint="eastAsia" w:eastAsiaTheme="minorEastAsia"/>
                      <w:szCs w:val="21"/>
                    </w:rPr>
                    <w:t>34</w:t>
                  </w:r>
                </w:p>
              </w:tc>
              <w:tc>
                <w:tcPr>
                  <w:tcW w:w="235" w:type="pct"/>
                  <w:vAlign w:val="center"/>
                </w:tcPr>
                <w:p w14:paraId="08CAE2F6">
                  <w:pPr>
                    <w:jc w:val="center"/>
                    <w:rPr>
                      <w:rFonts w:eastAsiaTheme="minorEastAsia"/>
                      <w:szCs w:val="21"/>
                    </w:rPr>
                  </w:pPr>
                  <w:r>
                    <w:rPr>
                      <w:rFonts w:hint="eastAsia" w:eastAsiaTheme="minorEastAsia"/>
                      <w:szCs w:val="21"/>
                    </w:rPr>
                    <w:t>29</w:t>
                  </w:r>
                </w:p>
              </w:tc>
              <w:tc>
                <w:tcPr>
                  <w:tcW w:w="236" w:type="pct"/>
                  <w:vAlign w:val="center"/>
                </w:tcPr>
                <w:p w14:paraId="3E0F5F04">
                  <w:pPr>
                    <w:jc w:val="center"/>
                    <w:rPr>
                      <w:rFonts w:eastAsiaTheme="minorEastAsia"/>
                      <w:szCs w:val="21"/>
                    </w:rPr>
                  </w:pPr>
                  <w:r>
                    <w:rPr>
                      <w:rFonts w:hint="eastAsia" w:eastAsiaTheme="minorEastAsia"/>
                      <w:szCs w:val="21"/>
                    </w:rPr>
                    <w:t>106</w:t>
                  </w:r>
                </w:p>
              </w:tc>
              <w:tc>
                <w:tcPr>
                  <w:tcW w:w="235" w:type="pct"/>
                  <w:vAlign w:val="center"/>
                </w:tcPr>
                <w:p w14:paraId="5CF126A1">
                  <w:pPr>
                    <w:jc w:val="center"/>
                    <w:rPr>
                      <w:rFonts w:eastAsiaTheme="minorEastAsia"/>
                      <w:szCs w:val="21"/>
                    </w:rPr>
                  </w:pPr>
                  <w:r>
                    <w:rPr>
                      <w:rFonts w:hint="eastAsia" w:eastAsiaTheme="minorEastAsia"/>
                      <w:szCs w:val="21"/>
                    </w:rPr>
                    <w:t>25</w:t>
                  </w:r>
                </w:p>
              </w:tc>
              <w:tc>
                <w:tcPr>
                  <w:tcW w:w="288" w:type="pct"/>
                  <w:vAlign w:val="center"/>
                </w:tcPr>
                <w:p w14:paraId="5D6FBB8B">
                  <w:pPr>
                    <w:jc w:val="center"/>
                    <w:rPr>
                      <w:rFonts w:eastAsiaTheme="minorEastAsia"/>
                      <w:szCs w:val="21"/>
                    </w:rPr>
                  </w:pPr>
                  <w:r>
                    <w:rPr>
                      <w:rFonts w:hint="eastAsia" w:eastAsiaTheme="minorEastAsia"/>
                      <w:szCs w:val="21"/>
                    </w:rPr>
                    <w:t>49.4</w:t>
                  </w:r>
                </w:p>
              </w:tc>
              <w:tc>
                <w:tcPr>
                  <w:tcW w:w="281" w:type="pct"/>
                  <w:vAlign w:val="center"/>
                </w:tcPr>
                <w:p w14:paraId="7B85216C">
                  <w:pPr>
                    <w:jc w:val="center"/>
                    <w:rPr>
                      <w:rFonts w:eastAsiaTheme="minorEastAsia"/>
                      <w:szCs w:val="21"/>
                    </w:rPr>
                  </w:pPr>
                  <w:r>
                    <w:rPr>
                      <w:rFonts w:hint="eastAsia" w:eastAsiaTheme="minorEastAsia"/>
                      <w:szCs w:val="21"/>
                    </w:rPr>
                    <w:t>50.8</w:t>
                  </w:r>
                </w:p>
              </w:tc>
              <w:tc>
                <w:tcPr>
                  <w:tcW w:w="330" w:type="pct"/>
                  <w:vAlign w:val="center"/>
                </w:tcPr>
                <w:p w14:paraId="6A2616AD">
                  <w:pPr>
                    <w:jc w:val="center"/>
                    <w:rPr>
                      <w:rFonts w:eastAsiaTheme="minorEastAsia"/>
                      <w:szCs w:val="21"/>
                    </w:rPr>
                  </w:pPr>
                  <w:r>
                    <w:rPr>
                      <w:rFonts w:hint="eastAsia" w:eastAsiaTheme="minorEastAsia"/>
                      <w:szCs w:val="21"/>
                    </w:rPr>
                    <w:t>39.5</w:t>
                  </w:r>
                </w:p>
              </w:tc>
              <w:tc>
                <w:tcPr>
                  <w:tcW w:w="285" w:type="pct"/>
                  <w:vAlign w:val="center"/>
                </w:tcPr>
                <w:p w14:paraId="646044C5">
                  <w:pPr>
                    <w:jc w:val="center"/>
                    <w:rPr>
                      <w:rFonts w:eastAsiaTheme="minorEastAsia"/>
                      <w:szCs w:val="21"/>
                    </w:rPr>
                  </w:pPr>
                  <w:r>
                    <w:rPr>
                      <w:rFonts w:hint="eastAsia" w:eastAsiaTheme="minorEastAsia"/>
                      <w:szCs w:val="21"/>
                    </w:rPr>
                    <w:t>52.0</w:t>
                  </w:r>
                </w:p>
              </w:tc>
              <w:tc>
                <w:tcPr>
                  <w:tcW w:w="225" w:type="pct"/>
                  <w:vAlign w:val="center"/>
                </w:tcPr>
                <w:p w14:paraId="6BD2D5AB">
                  <w:pPr>
                    <w:jc w:val="center"/>
                    <w:rPr>
                      <w:rFonts w:eastAsiaTheme="minorEastAsia"/>
                      <w:szCs w:val="21"/>
                    </w:rPr>
                  </w:pPr>
                  <w:r>
                    <w:rPr>
                      <w:rFonts w:hint="eastAsia" w:hAnsiTheme="minorEastAsia" w:eastAsiaTheme="minorEastAsia"/>
                      <w:bCs/>
                      <w:kern w:val="0"/>
                      <w:szCs w:val="21"/>
                    </w:rPr>
                    <w:t>20h</w:t>
                  </w:r>
                </w:p>
              </w:tc>
            </w:tr>
            <w:tr w14:paraId="7F44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07D97795">
                  <w:pPr>
                    <w:jc w:val="center"/>
                    <w:rPr>
                      <w:rFonts w:eastAsiaTheme="minorEastAsia"/>
                      <w:szCs w:val="21"/>
                    </w:rPr>
                  </w:pPr>
                  <w:r>
                    <w:rPr>
                      <w:rFonts w:hint="eastAsia" w:eastAsiaTheme="minorEastAsia"/>
                      <w:szCs w:val="21"/>
                    </w:rPr>
                    <w:t>10</w:t>
                  </w:r>
                </w:p>
              </w:tc>
              <w:tc>
                <w:tcPr>
                  <w:tcW w:w="216" w:type="pct"/>
                  <w:vMerge w:val="continue"/>
                  <w:vAlign w:val="center"/>
                </w:tcPr>
                <w:p w14:paraId="6673FE83">
                  <w:pPr>
                    <w:jc w:val="center"/>
                    <w:rPr>
                      <w:rFonts w:eastAsiaTheme="minorEastAsia"/>
                      <w:szCs w:val="21"/>
                    </w:rPr>
                  </w:pPr>
                </w:p>
              </w:tc>
              <w:tc>
                <w:tcPr>
                  <w:tcW w:w="371" w:type="pct"/>
                  <w:vAlign w:val="center"/>
                </w:tcPr>
                <w:p w14:paraId="2A3F6667">
                  <w:pPr>
                    <w:jc w:val="center"/>
                    <w:rPr>
                      <w:rFonts w:hAnsiTheme="minorEastAsia" w:eastAsiaTheme="minorEastAsia"/>
                      <w:szCs w:val="21"/>
                    </w:rPr>
                  </w:pPr>
                  <w:r>
                    <w:rPr>
                      <w:rFonts w:hAnsiTheme="minorEastAsia" w:eastAsiaTheme="minorEastAsia"/>
                      <w:szCs w:val="21"/>
                    </w:rPr>
                    <w:t>裱纸机</w:t>
                  </w:r>
                </w:p>
              </w:tc>
              <w:tc>
                <w:tcPr>
                  <w:tcW w:w="281" w:type="pct"/>
                  <w:vAlign w:val="center"/>
                </w:tcPr>
                <w:p w14:paraId="4EC667C1">
                  <w:pPr>
                    <w:jc w:val="center"/>
                    <w:rPr>
                      <w:rFonts w:eastAsiaTheme="minorEastAsia"/>
                      <w:szCs w:val="21"/>
                    </w:rPr>
                  </w:pPr>
                  <w:r>
                    <w:rPr>
                      <w:rFonts w:hint="eastAsia" w:eastAsiaTheme="minorEastAsia"/>
                      <w:szCs w:val="21"/>
                    </w:rPr>
                    <w:t>1</w:t>
                  </w:r>
                </w:p>
              </w:tc>
              <w:tc>
                <w:tcPr>
                  <w:tcW w:w="464" w:type="pct"/>
                  <w:vAlign w:val="center"/>
                </w:tcPr>
                <w:p w14:paraId="3A56DF24">
                  <w:pPr>
                    <w:jc w:val="center"/>
                    <w:rPr>
                      <w:rFonts w:eastAsiaTheme="minorEastAsia"/>
                      <w:szCs w:val="21"/>
                    </w:rPr>
                  </w:pPr>
                  <w:r>
                    <w:rPr>
                      <w:rFonts w:hint="eastAsia" w:eastAsiaTheme="minorEastAsia"/>
                      <w:szCs w:val="21"/>
                    </w:rPr>
                    <w:t>80/1</w:t>
                  </w:r>
                </w:p>
              </w:tc>
              <w:tc>
                <w:tcPr>
                  <w:tcW w:w="305" w:type="pct"/>
                  <w:vMerge w:val="continue"/>
                </w:tcPr>
                <w:p w14:paraId="06CFB858">
                  <w:pPr>
                    <w:jc w:val="center"/>
                    <w:rPr>
                      <w:szCs w:val="21"/>
                    </w:rPr>
                  </w:pPr>
                </w:p>
              </w:tc>
              <w:tc>
                <w:tcPr>
                  <w:tcW w:w="283" w:type="pct"/>
                  <w:vAlign w:val="center"/>
                </w:tcPr>
                <w:p w14:paraId="65A5AA24">
                  <w:pPr>
                    <w:jc w:val="center"/>
                    <w:rPr>
                      <w:rFonts w:eastAsiaTheme="minorEastAsia"/>
                      <w:szCs w:val="21"/>
                    </w:rPr>
                  </w:pPr>
                  <w:r>
                    <w:rPr>
                      <w:rFonts w:hint="eastAsia" w:eastAsiaTheme="minorEastAsia"/>
                      <w:szCs w:val="21"/>
                    </w:rPr>
                    <w:t>-43</w:t>
                  </w:r>
                </w:p>
              </w:tc>
              <w:tc>
                <w:tcPr>
                  <w:tcW w:w="282" w:type="pct"/>
                  <w:vAlign w:val="center"/>
                </w:tcPr>
                <w:p w14:paraId="3ACA847E">
                  <w:pPr>
                    <w:jc w:val="center"/>
                    <w:rPr>
                      <w:rFonts w:eastAsiaTheme="minorEastAsia"/>
                      <w:szCs w:val="21"/>
                    </w:rPr>
                  </w:pPr>
                  <w:r>
                    <w:rPr>
                      <w:rFonts w:hint="eastAsia" w:eastAsiaTheme="minorEastAsia"/>
                      <w:szCs w:val="21"/>
                    </w:rPr>
                    <w:t>-26</w:t>
                  </w:r>
                </w:p>
              </w:tc>
              <w:tc>
                <w:tcPr>
                  <w:tcW w:w="283" w:type="pct"/>
                  <w:vAlign w:val="center"/>
                </w:tcPr>
                <w:p w14:paraId="68F9C595">
                  <w:pPr>
                    <w:jc w:val="center"/>
                    <w:rPr>
                      <w:rFonts w:eastAsiaTheme="minorEastAsia"/>
                      <w:szCs w:val="21"/>
                    </w:rPr>
                  </w:pPr>
                  <w:r>
                    <w:rPr>
                      <w:rFonts w:hint="eastAsia" w:eastAsiaTheme="minorEastAsia"/>
                      <w:szCs w:val="21"/>
                    </w:rPr>
                    <w:t>0</w:t>
                  </w:r>
                </w:p>
              </w:tc>
              <w:tc>
                <w:tcPr>
                  <w:tcW w:w="236" w:type="pct"/>
                  <w:vAlign w:val="center"/>
                </w:tcPr>
                <w:p w14:paraId="53A56532">
                  <w:pPr>
                    <w:jc w:val="center"/>
                    <w:rPr>
                      <w:rFonts w:eastAsiaTheme="minorEastAsia"/>
                      <w:szCs w:val="21"/>
                    </w:rPr>
                  </w:pPr>
                  <w:r>
                    <w:rPr>
                      <w:rFonts w:hint="eastAsia" w:eastAsiaTheme="minorEastAsia"/>
                      <w:szCs w:val="21"/>
                    </w:rPr>
                    <w:t>42</w:t>
                  </w:r>
                </w:p>
              </w:tc>
              <w:tc>
                <w:tcPr>
                  <w:tcW w:w="235" w:type="pct"/>
                  <w:vAlign w:val="center"/>
                </w:tcPr>
                <w:p w14:paraId="3BDB3ED9">
                  <w:pPr>
                    <w:jc w:val="center"/>
                    <w:rPr>
                      <w:rFonts w:eastAsiaTheme="minorEastAsia"/>
                      <w:szCs w:val="21"/>
                    </w:rPr>
                  </w:pPr>
                  <w:r>
                    <w:rPr>
                      <w:rFonts w:hint="eastAsia" w:eastAsiaTheme="minorEastAsia"/>
                      <w:szCs w:val="21"/>
                    </w:rPr>
                    <w:t>29</w:t>
                  </w:r>
                </w:p>
              </w:tc>
              <w:tc>
                <w:tcPr>
                  <w:tcW w:w="236" w:type="pct"/>
                  <w:vAlign w:val="center"/>
                </w:tcPr>
                <w:p w14:paraId="52C8A04F">
                  <w:pPr>
                    <w:jc w:val="center"/>
                    <w:rPr>
                      <w:rFonts w:eastAsiaTheme="minorEastAsia"/>
                      <w:szCs w:val="21"/>
                    </w:rPr>
                  </w:pPr>
                  <w:r>
                    <w:rPr>
                      <w:rFonts w:hint="eastAsia" w:eastAsiaTheme="minorEastAsia"/>
                      <w:szCs w:val="21"/>
                    </w:rPr>
                    <w:t>98</w:t>
                  </w:r>
                </w:p>
              </w:tc>
              <w:tc>
                <w:tcPr>
                  <w:tcW w:w="235" w:type="pct"/>
                  <w:vAlign w:val="center"/>
                </w:tcPr>
                <w:p w14:paraId="659D0316">
                  <w:pPr>
                    <w:jc w:val="center"/>
                    <w:rPr>
                      <w:rFonts w:eastAsiaTheme="minorEastAsia"/>
                      <w:szCs w:val="21"/>
                    </w:rPr>
                  </w:pPr>
                  <w:r>
                    <w:rPr>
                      <w:rFonts w:hint="eastAsia" w:eastAsiaTheme="minorEastAsia"/>
                      <w:szCs w:val="21"/>
                    </w:rPr>
                    <w:t>25</w:t>
                  </w:r>
                </w:p>
              </w:tc>
              <w:tc>
                <w:tcPr>
                  <w:tcW w:w="288" w:type="pct"/>
                  <w:vAlign w:val="center"/>
                </w:tcPr>
                <w:p w14:paraId="0DC828E5">
                  <w:pPr>
                    <w:jc w:val="center"/>
                    <w:rPr>
                      <w:rFonts w:eastAsiaTheme="minorEastAsia"/>
                      <w:szCs w:val="21"/>
                    </w:rPr>
                  </w:pPr>
                  <w:r>
                    <w:rPr>
                      <w:rFonts w:hint="eastAsia" w:eastAsiaTheme="minorEastAsia"/>
                      <w:szCs w:val="21"/>
                    </w:rPr>
                    <w:t>47.5</w:t>
                  </w:r>
                </w:p>
              </w:tc>
              <w:tc>
                <w:tcPr>
                  <w:tcW w:w="281" w:type="pct"/>
                  <w:vAlign w:val="center"/>
                </w:tcPr>
                <w:p w14:paraId="430ABCA9">
                  <w:pPr>
                    <w:jc w:val="center"/>
                    <w:rPr>
                      <w:rFonts w:eastAsiaTheme="minorEastAsia"/>
                      <w:szCs w:val="21"/>
                    </w:rPr>
                  </w:pPr>
                  <w:r>
                    <w:rPr>
                      <w:rFonts w:hint="eastAsia" w:eastAsiaTheme="minorEastAsia"/>
                      <w:szCs w:val="21"/>
                    </w:rPr>
                    <w:t>50.8</w:t>
                  </w:r>
                </w:p>
              </w:tc>
              <w:tc>
                <w:tcPr>
                  <w:tcW w:w="330" w:type="pct"/>
                  <w:vAlign w:val="center"/>
                </w:tcPr>
                <w:p w14:paraId="2E25EC07">
                  <w:pPr>
                    <w:jc w:val="center"/>
                    <w:rPr>
                      <w:rFonts w:eastAsiaTheme="minorEastAsia"/>
                      <w:szCs w:val="21"/>
                    </w:rPr>
                  </w:pPr>
                  <w:r>
                    <w:rPr>
                      <w:rFonts w:hint="eastAsia" w:eastAsiaTheme="minorEastAsia"/>
                      <w:szCs w:val="21"/>
                    </w:rPr>
                    <w:t>40.2</w:t>
                  </w:r>
                </w:p>
              </w:tc>
              <w:tc>
                <w:tcPr>
                  <w:tcW w:w="285" w:type="pct"/>
                  <w:vAlign w:val="center"/>
                </w:tcPr>
                <w:p w14:paraId="02BBEC42">
                  <w:pPr>
                    <w:jc w:val="center"/>
                    <w:rPr>
                      <w:rFonts w:eastAsiaTheme="minorEastAsia"/>
                      <w:szCs w:val="21"/>
                    </w:rPr>
                  </w:pPr>
                  <w:r>
                    <w:rPr>
                      <w:rFonts w:hint="eastAsia" w:eastAsiaTheme="minorEastAsia"/>
                      <w:szCs w:val="21"/>
                    </w:rPr>
                    <w:t>52.0</w:t>
                  </w:r>
                </w:p>
              </w:tc>
              <w:tc>
                <w:tcPr>
                  <w:tcW w:w="225" w:type="pct"/>
                  <w:vAlign w:val="center"/>
                </w:tcPr>
                <w:p w14:paraId="2B5A128C">
                  <w:pPr>
                    <w:jc w:val="center"/>
                    <w:rPr>
                      <w:rFonts w:eastAsiaTheme="minorEastAsia"/>
                      <w:szCs w:val="21"/>
                    </w:rPr>
                  </w:pPr>
                  <w:r>
                    <w:rPr>
                      <w:rFonts w:hint="eastAsia" w:hAnsiTheme="minorEastAsia" w:eastAsiaTheme="minorEastAsia"/>
                      <w:bCs/>
                      <w:kern w:val="0"/>
                      <w:szCs w:val="21"/>
                    </w:rPr>
                    <w:t>20h</w:t>
                  </w:r>
                </w:p>
              </w:tc>
            </w:tr>
            <w:tr w14:paraId="25F2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7B2A4EC2">
                  <w:pPr>
                    <w:jc w:val="center"/>
                    <w:rPr>
                      <w:rFonts w:eastAsiaTheme="minorEastAsia"/>
                      <w:szCs w:val="21"/>
                    </w:rPr>
                  </w:pPr>
                  <w:r>
                    <w:rPr>
                      <w:rFonts w:hint="eastAsia" w:eastAsiaTheme="minorEastAsia"/>
                      <w:szCs w:val="21"/>
                    </w:rPr>
                    <w:t>11</w:t>
                  </w:r>
                </w:p>
              </w:tc>
              <w:tc>
                <w:tcPr>
                  <w:tcW w:w="216" w:type="pct"/>
                  <w:vMerge w:val="continue"/>
                  <w:vAlign w:val="center"/>
                </w:tcPr>
                <w:p w14:paraId="3794751D">
                  <w:pPr>
                    <w:jc w:val="center"/>
                    <w:rPr>
                      <w:rFonts w:eastAsiaTheme="minorEastAsia"/>
                      <w:szCs w:val="21"/>
                    </w:rPr>
                  </w:pPr>
                </w:p>
              </w:tc>
              <w:tc>
                <w:tcPr>
                  <w:tcW w:w="371" w:type="pct"/>
                  <w:vAlign w:val="center"/>
                </w:tcPr>
                <w:p w14:paraId="00D3F2B6">
                  <w:pPr>
                    <w:jc w:val="center"/>
                    <w:rPr>
                      <w:rFonts w:eastAsiaTheme="minorEastAsia"/>
                      <w:szCs w:val="21"/>
                    </w:rPr>
                  </w:pPr>
                  <w:r>
                    <w:rPr>
                      <w:rFonts w:hAnsiTheme="minorEastAsia" w:eastAsiaTheme="minorEastAsia"/>
                      <w:szCs w:val="21"/>
                    </w:rPr>
                    <w:t>裱坑机</w:t>
                  </w:r>
                </w:p>
              </w:tc>
              <w:tc>
                <w:tcPr>
                  <w:tcW w:w="281" w:type="pct"/>
                  <w:vAlign w:val="center"/>
                </w:tcPr>
                <w:p w14:paraId="06E45CB2">
                  <w:pPr>
                    <w:jc w:val="center"/>
                    <w:rPr>
                      <w:rFonts w:eastAsiaTheme="minorEastAsia"/>
                      <w:szCs w:val="21"/>
                    </w:rPr>
                  </w:pPr>
                  <w:r>
                    <w:rPr>
                      <w:rFonts w:hint="eastAsia" w:eastAsiaTheme="minorEastAsia"/>
                      <w:szCs w:val="21"/>
                    </w:rPr>
                    <w:t>1</w:t>
                  </w:r>
                </w:p>
              </w:tc>
              <w:tc>
                <w:tcPr>
                  <w:tcW w:w="464" w:type="pct"/>
                  <w:vAlign w:val="center"/>
                </w:tcPr>
                <w:p w14:paraId="41C78CC9">
                  <w:pPr>
                    <w:jc w:val="center"/>
                    <w:rPr>
                      <w:rFonts w:eastAsiaTheme="minorEastAsia"/>
                      <w:szCs w:val="21"/>
                    </w:rPr>
                  </w:pPr>
                  <w:r>
                    <w:rPr>
                      <w:rFonts w:hint="eastAsia" w:eastAsiaTheme="minorEastAsia"/>
                      <w:szCs w:val="21"/>
                    </w:rPr>
                    <w:t>80/1</w:t>
                  </w:r>
                </w:p>
              </w:tc>
              <w:tc>
                <w:tcPr>
                  <w:tcW w:w="305" w:type="pct"/>
                  <w:vMerge w:val="continue"/>
                </w:tcPr>
                <w:p w14:paraId="01C434FA">
                  <w:pPr>
                    <w:jc w:val="center"/>
                    <w:rPr>
                      <w:szCs w:val="21"/>
                    </w:rPr>
                  </w:pPr>
                </w:p>
              </w:tc>
              <w:tc>
                <w:tcPr>
                  <w:tcW w:w="283" w:type="pct"/>
                  <w:vAlign w:val="center"/>
                </w:tcPr>
                <w:p w14:paraId="22713D52">
                  <w:pPr>
                    <w:jc w:val="center"/>
                    <w:rPr>
                      <w:rFonts w:eastAsiaTheme="minorEastAsia"/>
                      <w:szCs w:val="21"/>
                    </w:rPr>
                  </w:pPr>
                  <w:r>
                    <w:rPr>
                      <w:rFonts w:hint="eastAsia" w:eastAsiaTheme="minorEastAsia"/>
                      <w:szCs w:val="21"/>
                    </w:rPr>
                    <w:t>-40</w:t>
                  </w:r>
                </w:p>
              </w:tc>
              <w:tc>
                <w:tcPr>
                  <w:tcW w:w="282" w:type="pct"/>
                  <w:vAlign w:val="center"/>
                </w:tcPr>
                <w:p w14:paraId="1D12A53D">
                  <w:pPr>
                    <w:jc w:val="center"/>
                    <w:rPr>
                      <w:rFonts w:eastAsiaTheme="minorEastAsia"/>
                      <w:szCs w:val="21"/>
                    </w:rPr>
                  </w:pPr>
                  <w:r>
                    <w:rPr>
                      <w:rFonts w:hint="eastAsia" w:eastAsiaTheme="minorEastAsia"/>
                      <w:szCs w:val="21"/>
                    </w:rPr>
                    <w:t>-7</w:t>
                  </w:r>
                </w:p>
              </w:tc>
              <w:tc>
                <w:tcPr>
                  <w:tcW w:w="283" w:type="pct"/>
                  <w:vAlign w:val="center"/>
                </w:tcPr>
                <w:p w14:paraId="41469E65">
                  <w:pPr>
                    <w:jc w:val="center"/>
                    <w:rPr>
                      <w:rFonts w:eastAsiaTheme="minorEastAsia"/>
                      <w:szCs w:val="21"/>
                    </w:rPr>
                  </w:pPr>
                  <w:r>
                    <w:rPr>
                      <w:rFonts w:hint="eastAsia" w:eastAsiaTheme="minorEastAsia"/>
                      <w:szCs w:val="21"/>
                    </w:rPr>
                    <w:t>0</w:t>
                  </w:r>
                </w:p>
              </w:tc>
              <w:tc>
                <w:tcPr>
                  <w:tcW w:w="236" w:type="pct"/>
                  <w:vAlign w:val="center"/>
                </w:tcPr>
                <w:p w14:paraId="332A0DAC">
                  <w:pPr>
                    <w:jc w:val="center"/>
                    <w:rPr>
                      <w:rFonts w:eastAsiaTheme="minorEastAsia"/>
                      <w:szCs w:val="21"/>
                    </w:rPr>
                  </w:pPr>
                  <w:r>
                    <w:rPr>
                      <w:rFonts w:hint="eastAsia" w:eastAsiaTheme="minorEastAsia"/>
                      <w:szCs w:val="21"/>
                    </w:rPr>
                    <w:t>39</w:t>
                  </w:r>
                </w:p>
              </w:tc>
              <w:tc>
                <w:tcPr>
                  <w:tcW w:w="235" w:type="pct"/>
                  <w:vAlign w:val="center"/>
                </w:tcPr>
                <w:p w14:paraId="6C67D91F">
                  <w:pPr>
                    <w:jc w:val="center"/>
                    <w:rPr>
                      <w:rFonts w:eastAsiaTheme="minorEastAsia"/>
                      <w:szCs w:val="21"/>
                    </w:rPr>
                  </w:pPr>
                  <w:r>
                    <w:rPr>
                      <w:rFonts w:hint="eastAsia" w:eastAsiaTheme="minorEastAsia"/>
                      <w:szCs w:val="21"/>
                    </w:rPr>
                    <w:t>48</w:t>
                  </w:r>
                </w:p>
              </w:tc>
              <w:tc>
                <w:tcPr>
                  <w:tcW w:w="236" w:type="pct"/>
                  <w:vAlign w:val="center"/>
                </w:tcPr>
                <w:p w14:paraId="6AE5A93C">
                  <w:pPr>
                    <w:jc w:val="center"/>
                    <w:rPr>
                      <w:rFonts w:eastAsiaTheme="minorEastAsia"/>
                      <w:szCs w:val="21"/>
                    </w:rPr>
                  </w:pPr>
                  <w:r>
                    <w:rPr>
                      <w:rFonts w:hint="eastAsia" w:eastAsiaTheme="minorEastAsia"/>
                      <w:szCs w:val="21"/>
                    </w:rPr>
                    <w:t>101</w:t>
                  </w:r>
                </w:p>
              </w:tc>
              <w:tc>
                <w:tcPr>
                  <w:tcW w:w="235" w:type="pct"/>
                  <w:vAlign w:val="center"/>
                </w:tcPr>
                <w:p w14:paraId="017BB9EA">
                  <w:pPr>
                    <w:jc w:val="center"/>
                    <w:rPr>
                      <w:rFonts w:eastAsiaTheme="minorEastAsia"/>
                      <w:szCs w:val="21"/>
                    </w:rPr>
                  </w:pPr>
                  <w:r>
                    <w:rPr>
                      <w:rFonts w:hint="eastAsia" w:eastAsiaTheme="minorEastAsia"/>
                      <w:szCs w:val="21"/>
                    </w:rPr>
                    <w:t>6</w:t>
                  </w:r>
                </w:p>
              </w:tc>
              <w:tc>
                <w:tcPr>
                  <w:tcW w:w="288" w:type="pct"/>
                  <w:vAlign w:val="center"/>
                </w:tcPr>
                <w:p w14:paraId="37E163CC">
                  <w:pPr>
                    <w:jc w:val="center"/>
                    <w:rPr>
                      <w:rFonts w:eastAsiaTheme="minorEastAsia"/>
                      <w:szCs w:val="21"/>
                    </w:rPr>
                  </w:pPr>
                  <w:r>
                    <w:rPr>
                      <w:rFonts w:hint="eastAsia" w:eastAsiaTheme="minorEastAsia"/>
                      <w:szCs w:val="21"/>
                    </w:rPr>
                    <w:t>48.2</w:t>
                  </w:r>
                </w:p>
              </w:tc>
              <w:tc>
                <w:tcPr>
                  <w:tcW w:w="281" w:type="pct"/>
                  <w:vAlign w:val="center"/>
                </w:tcPr>
                <w:p w14:paraId="6C67B7CA">
                  <w:pPr>
                    <w:jc w:val="center"/>
                    <w:rPr>
                      <w:rFonts w:eastAsiaTheme="minorEastAsia"/>
                      <w:szCs w:val="21"/>
                    </w:rPr>
                  </w:pPr>
                  <w:r>
                    <w:rPr>
                      <w:rFonts w:hint="eastAsia" w:eastAsiaTheme="minorEastAsia"/>
                      <w:szCs w:val="21"/>
                    </w:rPr>
                    <w:t>46.4</w:t>
                  </w:r>
                </w:p>
              </w:tc>
              <w:tc>
                <w:tcPr>
                  <w:tcW w:w="330" w:type="pct"/>
                  <w:vAlign w:val="center"/>
                </w:tcPr>
                <w:p w14:paraId="1CE8007A">
                  <w:pPr>
                    <w:jc w:val="center"/>
                    <w:rPr>
                      <w:rFonts w:eastAsiaTheme="minorEastAsia"/>
                      <w:szCs w:val="21"/>
                    </w:rPr>
                  </w:pPr>
                  <w:r>
                    <w:rPr>
                      <w:rFonts w:hint="eastAsia" w:eastAsiaTheme="minorEastAsia"/>
                      <w:szCs w:val="21"/>
                    </w:rPr>
                    <w:t>39.9</w:t>
                  </w:r>
                </w:p>
              </w:tc>
              <w:tc>
                <w:tcPr>
                  <w:tcW w:w="285" w:type="pct"/>
                  <w:vAlign w:val="center"/>
                </w:tcPr>
                <w:p w14:paraId="621589A7">
                  <w:pPr>
                    <w:jc w:val="center"/>
                    <w:rPr>
                      <w:rFonts w:eastAsiaTheme="minorEastAsia"/>
                      <w:szCs w:val="21"/>
                    </w:rPr>
                  </w:pPr>
                  <w:r>
                    <w:rPr>
                      <w:rFonts w:hint="eastAsia" w:eastAsiaTheme="minorEastAsia"/>
                      <w:szCs w:val="21"/>
                    </w:rPr>
                    <w:t>64.4</w:t>
                  </w:r>
                </w:p>
              </w:tc>
              <w:tc>
                <w:tcPr>
                  <w:tcW w:w="225" w:type="pct"/>
                  <w:vAlign w:val="center"/>
                </w:tcPr>
                <w:p w14:paraId="195F5108">
                  <w:pPr>
                    <w:jc w:val="center"/>
                    <w:rPr>
                      <w:rFonts w:eastAsiaTheme="minorEastAsia"/>
                      <w:szCs w:val="21"/>
                    </w:rPr>
                  </w:pPr>
                  <w:r>
                    <w:rPr>
                      <w:rFonts w:hint="eastAsia" w:hAnsiTheme="minorEastAsia" w:eastAsiaTheme="minorEastAsia"/>
                      <w:bCs/>
                      <w:kern w:val="0"/>
                      <w:szCs w:val="21"/>
                    </w:rPr>
                    <w:t>20h</w:t>
                  </w:r>
                </w:p>
              </w:tc>
            </w:tr>
            <w:tr w14:paraId="4E01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30ADE36B">
                  <w:pPr>
                    <w:jc w:val="center"/>
                    <w:rPr>
                      <w:rFonts w:eastAsiaTheme="minorEastAsia"/>
                      <w:szCs w:val="21"/>
                    </w:rPr>
                  </w:pPr>
                  <w:r>
                    <w:rPr>
                      <w:rFonts w:hint="eastAsia" w:eastAsiaTheme="minorEastAsia"/>
                      <w:szCs w:val="21"/>
                    </w:rPr>
                    <w:t>12</w:t>
                  </w:r>
                </w:p>
              </w:tc>
              <w:tc>
                <w:tcPr>
                  <w:tcW w:w="216" w:type="pct"/>
                  <w:vMerge w:val="continue"/>
                  <w:vAlign w:val="center"/>
                </w:tcPr>
                <w:p w14:paraId="3298B1CA">
                  <w:pPr>
                    <w:jc w:val="center"/>
                    <w:rPr>
                      <w:rFonts w:eastAsiaTheme="minorEastAsia"/>
                      <w:szCs w:val="21"/>
                    </w:rPr>
                  </w:pPr>
                </w:p>
              </w:tc>
              <w:tc>
                <w:tcPr>
                  <w:tcW w:w="371" w:type="pct"/>
                  <w:vAlign w:val="center"/>
                </w:tcPr>
                <w:p w14:paraId="6A10EBFA">
                  <w:pPr>
                    <w:jc w:val="center"/>
                    <w:rPr>
                      <w:rFonts w:eastAsiaTheme="minorEastAsia"/>
                      <w:szCs w:val="21"/>
                    </w:rPr>
                  </w:pPr>
                  <w:r>
                    <w:rPr>
                      <w:rFonts w:hAnsiTheme="minorEastAsia" w:eastAsiaTheme="minorEastAsia"/>
                      <w:szCs w:val="21"/>
                    </w:rPr>
                    <w:t>全自动模切机</w:t>
                  </w:r>
                </w:p>
              </w:tc>
              <w:tc>
                <w:tcPr>
                  <w:tcW w:w="281" w:type="pct"/>
                  <w:vAlign w:val="center"/>
                </w:tcPr>
                <w:p w14:paraId="4933FE59">
                  <w:pPr>
                    <w:jc w:val="center"/>
                    <w:rPr>
                      <w:rFonts w:eastAsiaTheme="minorEastAsia"/>
                      <w:szCs w:val="21"/>
                    </w:rPr>
                  </w:pPr>
                  <w:r>
                    <w:rPr>
                      <w:rFonts w:hint="eastAsia" w:eastAsiaTheme="minorEastAsia"/>
                      <w:szCs w:val="21"/>
                    </w:rPr>
                    <w:t>1</w:t>
                  </w:r>
                </w:p>
              </w:tc>
              <w:tc>
                <w:tcPr>
                  <w:tcW w:w="464" w:type="pct"/>
                  <w:vAlign w:val="center"/>
                </w:tcPr>
                <w:p w14:paraId="20EE0E45">
                  <w:pPr>
                    <w:jc w:val="center"/>
                    <w:rPr>
                      <w:rFonts w:eastAsiaTheme="minorEastAsia"/>
                      <w:szCs w:val="21"/>
                    </w:rPr>
                  </w:pPr>
                  <w:r>
                    <w:rPr>
                      <w:rFonts w:hint="eastAsia" w:eastAsiaTheme="minorEastAsia"/>
                      <w:szCs w:val="21"/>
                    </w:rPr>
                    <w:t>85/1</w:t>
                  </w:r>
                </w:p>
              </w:tc>
              <w:tc>
                <w:tcPr>
                  <w:tcW w:w="305" w:type="pct"/>
                  <w:vMerge w:val="continue"/>
                </w:tcPr>
                <w:p w14:paraId="42B7EC36">
                  <w:pPr>
                    <w:jc w:val="center"/>
                    <w:rPr>
                      <w:szCs w:val="21"/>
                    </w:rPr>
                  </w:pPr>
                </w:p>
              </w:tc>
              <w:tc>
                <w:tcPr>
                  <w:tcW w:w="283" w:type="pct"/>
                  <w:vAlign w:val="center"/>
                </w:tcPr>
                <w:p w14:paraId="289798F6">
                  <w:pPr>
                    <w:jc w:val="center"/>
                    <w:rPr>
                      <w:rFonts w:eastAsiaTheme="minorEastAsia"/>
                      <w:szCs w:val="21"/>
                    </w:rPr>
                  </w:pPr>
                  <w:r>
                    <w:rPr>
                      <w:rFonts w:hint="eastAsia" w:eastAsiaTheme="minorEastAsia"/>
                      <w:szCs w:val="21"/>
                    </w:rPr>
                    <w:t>-51</w:t>
                  </w:r>
                </w:p>
              </w:tc>
              <w:tc>
                <w:tcPr>
                  <w:tcW w:w="282" w:type="pct"/>
                  <w:vAlign w:val="center"/>
                </w:tcPr>
                <w:p w14:paraId="3E48773D">
                  <w:pPr>
                    <w:jc w:val="center"/>
                    <w:rPr>
                      <w:rFonts w:eastAsiaTheme="minorEastAsia"/>
                      <w:szCs w:val="21"/>
                    </w:rPr>
                  </w:pPr>
                  <w:r>
                    <w:rPr>
                      <w:rFonts w:hint="eastAsia" w:eastAsiaTheme="minorEastAsia"/>
                      <w:szCs w:val="21"/>
                    </w:rPr>
                    <w:t>-27</w:t>
                  </w:r>
                </w:p>
              </w:tc>
              <w:tc>
                <w:tcPr>
                  <w:tcW w:w="283" w:type="pct"/>
                  <w:vAlign w:val="center"/>
                </w:tcPr>
                <w:p w14:paraId="2E247843">
                  <w:pPr>
                    <w:jc w:val="center"/>
                    <w:rPr>
                      <w:rFonts w:eastAsiaTheme="minorEastAsia"/>
                      <w:szCs w:val="21"/>
                    </w:rPr>
                  </w:pPr>
                  <w:r>
                    <w:rPr>
                      <w:rFonts w:hint="eastAsia" w:eastAsiaTheme="minorEastAsia"/>
                      <w:szCs w:val="21"/>
                    </w:rPr>
                    <w:t>0</w:t>
                  </w:r>
                </w:p>
              </w:tc>
              <w:tc>
                <w:tcPr>
                  <w:tcW w:w="236" w:type="pct"/>
                  <w:vAlign w:val="center"/>
                </w:tcPr>
                <w:p w14:paraId="3A8918AF">
                  <w:pPr>
                    <w:jc w:val="center"/>
                    <w:rPr>
                      <w:rFonts w:eastAsiaTheme="minorEastAsia"/>
                      <w:szCs w:val="21"/>
                    </w:rPr>
                  </w:pPr>
                  <w:r>
                    <w:rPr>
                      <w:rFonts w:hint="eastAsia" w:eastAsiaTheme="minorEastAsia"/>
                      <w:szCs w:val="21"/>
                    </w:rPr>
                    <w:t>49</w:t>
                  </w:r>
                </w:p>
              </w:tc>
              <w:tc>
                <w:tcPr>
                  <w:tcW w:w="235" w:type="pct"/>
                  <w:vAlign w:val="center"/>
                </w:tcPr>
                <w:p w14:paraId="70FAE566">
                  <w:pPr>
                    <w:jc w:val="center"/>
                    <w:rPr>
                      <w:rFonts w:eastAsiaTheme="minorEastAsia"/>
                      <w:szCs w:val="21"/>
                    </w:rPr>
                  </w:pPr>
                  <w:r>
                    <w:rPr>
                      <w:rFonts w:hint="eastAsia" w:eastAsiaTheme="minorEastAsia"/>
                      <w:szCs w:val="21"/>
                    </w:rPr>
                    <w:t>28</w:t>
                  </w:r>
                </w:p>
              </w:tc>
              <w:tc>
                <w:tcPr>
                  <w:tcW w:w="236" w:type="pct"/>
                  <w:vAlign w:val="center"/>
                </w:tcPr>
                <w:p w14:paraId="36993169">
                  <w:pPr>
                    <w:jc w:val="center"/>
                    <w:rPr>
                      <w:rFonts w:eastAsiaTheme="minorEastAsia"/>
                      <w:szCs w:val="21"/>
                    </w:rPr>
                  </w:pPr>
                  <w:r>
                    <w:rPr>
                      <w:rFonts w:hint="eastAsia" w:eastAsiaTheme="minorEastAsia"/>
                      <w:szCs w:val="21"/>
                    </w:rPr>
                    <w:t>91</w:t>
                  </w:r>
                </w:p>
              </w:tc>
              <w:tc>
                <w:tcPr>
                  <w:tcW w:w="235" w:type="pct"/>
                  <w:vAlign w:val="center"/>
                </w:tcPr>
                <w:p w14:paraId="4376D6D8">
                  <w:pPr>
                    <w:jc w:val="center"/>
                    <w:rPr>
                      <w:rFonts w:eastAsiaTheme="minorEastAsia"/>
                      <w:szCs w:val="21"/>
                    </w:rPr>
                  </w:pPr>
                  <w:r>
                    <w:rPr>
                      <w:rFonts w:hint="eastAsia" w:eastAsiaTheme="minorEastAsia"/>
                      <w:szCs w:val="21"/>
                    </w:rPr>
                    <w:t>26</w:t>
                  </w:r>
                </w:p>
              </w:tc>
              <w:tc>
                <w:tcPr>
                  <w:tcW w:w="288" w:type="pct"/>
                  <w:vAlign w:val="center"/>
                </w:tcPr>
                <w:p w14:paraId="10742946">
                  <w:pPr>
                    <w:jc w:val="center"/>
                    <w:rPr>
                      <w:rFonts w:eastAsiaTheme="minorEastAsia"/>
                      <w:szCs w:val="21"/>
                    </w:rPr>
                  </w:pPr>
                  <w:r>
                    <w:rPr>
                      <w:rFonts w:hint="eastAsia" w:eastAsiaTheme="minorEastAsia"/>
                      <w:szCs w:val="21"/>
                    </w:rPr>
                    <w:t>51.2</w:t>
                  </w:r>
                </w:p>
              </w:tc>
              <w:tc>
                <w:tcPr>
                  <w:tcW w:w="281" w:type="pct"/>
                  <w:vAlign w:val="center"/>
                </w:tcPr>
                <w:p w14:paraId="62E1DA62">
                  <w:pPr>
                    <w:jc w:val="center"/>
                    <w:rPr>
                      <w:rFonts w:eastAsiaTheme="minorEastAsia"/>
                      <w:szCs w:val="21"/>
                    </w:rPr>
                  </w:pPr>
                  <w:r>
                    <w:rPr>
                      <w:rFonts w:hint="eastAsia" w:eastAsiaTheme="minorEastAsia"/>
                      <w:szCs w:val="21"/>
                    </w:rPr>
                    <w:t>56.1</w:t>
                  </w:r>
                </w:p>
              </w:tc>
              <w:tc>
                <w:tcPr>
                  <w:tcW w:w="330" w:type="pct"/>
                  <w:vAlign w:val="center"/>
                </w:tcPr>
                <w:p w14:paraId="37B54113">
                  <w:pPr>
                    <w:jc w:val="center"/>
                    <w:rPr>
                      <w:rFonts w:eastAsiaTheme="minorEastAsia"/>
                      <w:szCs w:val="21"/>
                    </w:rPr>
                  </w:pPr>
                  <w:r>
                    <w:rPr>
                      <w:rFonts w:hint="eastAsia" w:eastAsiaTheme="minorEastAsia"/>
                      <w:szCs w:val="21"/>
                    </w:rPr>
                    <w:t>45.8</w:t>
                  </w:r>
                </w:p>
              </w:tc>
              <w:tc>
                <w:tcPr>
                  <w:tcW w:w="285" w:type="pct"/>
                  <w:vAlign w:val="center"/>
                </w:tcPr>
                <w:p w14:paraId="6722988C">
                  <w:pPr>
                    <w:jc w:val="center"/>
                    <w:rPr>
                      <w:rFonts w:eastAsiaTheme="minorEastAsia"/>
                      <w:szCs w:val="21"/>
                    </w:rPr>
                  </w:pPr>
                  <w:r>
                    <w:rPr>
                      <w:rFonts w:hint="eastAsia" w:eastAsiaTheme="minorEastAsia"/>
                      <w:szCs w:val="21"/>
                    </w:rPr>
                    <w:t>56.7</w:t>
                  </w:r>
                </w:p>
              </w:tc>
              <w:tc>
                <w:tcPr>
                  <w:tcW w:w="225" w:type="pct"/>
                  <w:vAlign w:val="center"/>
                </w:tcPr>
                <w:p w14:paraId="0D69C4E2">
                  <w:pPr>
                    <w:jc w:val="center"/>
                    <w:rPr>
                      <w:rFonts w:eastAsiaTheme="minorEastAsia"/>
                      <w:szCs w:val="21"/>
                    </w:rPr>
                  </w:pPr>
                  <w:r>
                    <w:rPr>
                      <w:rFonts w:hint="eastAsia" w:hAnsiTheme="minorEastAsia" w:eastAsiaTheme="minorEastAsia"/>
                      <w:bCs/>
                      <w:kern w:val="0"/>
                      <w:szCs w:val="21"/>
                    </w:rPr>
                    <w:t>20h</w:t>
                  </w:r>
                </w:p>
              </w:tc>
            </w:tr>
            <w:tr w14:paraId="48AB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38F90960">
                  <w:pPr>
                    <w:jc w:val="center"/>
                    <w:rPr>
                      <w:rFonts w:eastAsiaTheme="minorEastAsia"/>
                      <w:szCs w:val="21"/>
                    </w:rPr>
                  </w:pPr>
                  <w:r>
                    <w:rPr>
                      <w:rFonts w:hint="eastAsia" w:eastAsiaTheme="minorEastAsia"/>
                      <w:szCs w:val="21"/>
                    </w:rPr>
                    <w:t>13</w:t>
                  </w:r>
                </w:p>
              </w:tc>
              <w:tc>
                <w:tcPr>
                  <w:tcW w:w="216" w:type="pct"/>
                  <w:vMerge w:val="continue"/>
                  <w:vAlign w:val="center"/>
                </w:tcPr>
                <w:p w14:paraId="164488D9">
                  <w:pPr>
                    <w:jc w:val="center"/>
                    <w:rPr>
                      <w:rFonts w:eastAsiaTheme="minorEastAsia"/>
                      <w:szCs w:val="21"/>
                    </w:rPr>
                  </w:pPr>
                </w:p>
              </w:tc>
              <w:tc>
                <w:tcPr>
                  <w:tcW w:w="371" w:type="pct"/>
                  <w:vAlign w:val="center"/>
                </w:tcPr>
                <w:p w14:paraId="11EE99DB">
                  <w:pPr>
                    <w:jc w:val="center"/>
                    <w:rPr>
                      <w:rFonts w:eastAsiaTheme="minorEastAsia"/>
                      <w:szCs w:val="21"/>
                    </w:rPr>
                  </w:pPr>
                  <w:r>
                    <w:rPr>
                      <w:rFonts w:hAnsiTheme="minorEastAsia" w:eastAsiaTheme="minorEastAsia"/>
                      <w:szCs w:val="21"/>
                    </w:rPr>
                    <w:t>全自动模切机</w:t>
                  </w:r>
                </w:p>
              </w:tc>
              <w:tc>
                <w:tcPr>
                  <w:tcW w:w="281" w:type="pct"/>
                  <w:vAlign w:val="center"/>
                </w:tcPr>
                <w:p w14:paraId="0CC0EE33">
                  <w:pPr>
                    <w:jc w:val="center"/>
                    <w:rPr>
                      <w:rFonts w:eastAsiaTheme="minorEastAsia"/>
                      <w:szCs w:val="21"/>
                    </w:rPr>
                  </w:pPr>
                  <w:r>
                    <w:rPr>
                      <w:rFonts w:hint="eastAsia" w:eastAsiaTheme="minorEastAsia"/>
                      <w:szCs w:val="21"/>
                    </w:rPr>
                    <w:t>1</w:t>
                  </w:r>
                </w:p>
              </w:tc>
              <w:tc>
                <w:tcPr>
                  <w:tcW w:w="464" w:type="pct"/>
                  <w:vAlign w:val="center"/>
                </w:tcPr>
                <w:p w14:paraId="3835F8DA">
                  <w:pPr>
                    <w:jc w:val="center"/>
                    <w:rPr>
                      <w:rFonts w:eastAsiaTheme="minorEastAsia"/>
                      <w:szCs w:val="21"/>
                    </w:rPr>
                  </w:pPr>
                  <w:r>
                    <w:rPr>
                      <w:rFonts w:hint="eastAsia" w:eastAsiaTheme="minorEastAsia"/>
                      <w:szCs w:val="21"/>
                    </w:rPr>
                    <w:t>85/1</w:t>
                  </w:r>
                </w:p>
              </w:tc>
              <w:tc>
                <w:tcPr>
                  <w:tcW w:w="305" w:type="pct"/>
                  <w:vMerge w:val="continue"/>
                </w:tcPr>
                <w:p w14:paraId="2C2DE384">
                  <w:pPr>
                    <w:jc w:val="center"/>
                    <w:rPr>
                      <w:szCs w:val="21"/>
                    </w:rPr>
                  </w:pPr>
                </w:p>
              </w:tc>
              <w:tc>
                <w:tcPr>
                  <w:tcW w:w="283" w:type="pct"/>
                  <w:vAlign w:val="center"/>
                </w:tcPr>
                <w:p w14:paraId="64C9FDD2">
                  <w:pPr>
                    <w:jc w:val="center"/>
                    <w:rPr>
                      <w:rFonts w:eastAsiaTheme="minorEastAsia"/>
                      <w:szCs w:val="21"/>
                    </w:rPr>
                  </w:pPr>
                  <w:r>
                    <w:rPr>
                      <w:rFonts w:hint="eastAsia" w:eastAsiaTheme="minorEastAsia"/>
                      <w:szCs w:val="21"/>
                    </w:rPr>
                    <w:t>-59</w:t>
                  </w:r>
                </w:p>
              </w:tc>
              <w:tc>
                <w:tcPr>
                  <w:tcW w:w="282" w:type="pct"/>
                  <w:vAlign w:val="center"/>
                </w:tcPr>
                <w:p w14:paraId="372CFA75">
                  <w:pPr>
                    <w:jc w:val="center"/>
                    <w:rPr>
                      <w:rFonts w:eastAsiaTheme="minorEastAsia"/>
                      <w:szCs w:val="21"/>
                    </w:rPr>
                  </w:pPr>
                  <w:r>
                    <w:rPr>
                      <w:rFonts w:hint="eastAsia" w:eastAsiaTheme="minorEastAsia"/>
                      <w:szCs w:val="21"/>
                    </w:rPr>
                    <w:t>-27</w:t>
                  </w:r>
                </w:p>
              </w:tc>
              <w:tc>
                <w:tcPr>
                  <w:tcW w:w="283" w:type="pct"/>
                  <w:vAlign w:val="center"/>
                </w:tcPr>
                <w:p w14:paraId="33F57198">
                  <w:pPr>
                    <w:jc w:val="center"/>
                    <w:rPr>
                      <w:rFonts w:eastAsiaTheme="minorEastAsia"/>
                      <w:szCs w:val="21"/>
                    </w:rPr>
                  </w:pPr>
                  <w:r>
                    <w:rPr>
                      <w:rFonts w:hint="eastAsia" w:eastAsiaTheme="minorEastAsia"/>
                      <w:szCs w:val="21"/>
                    </w:rPr>
                    <w:t>0</w:t>
                  </w:r>
                </w:p>
              </w:tc>
              <w:tc>
                <w:tcPr>
                  <w:tcW w:w="236" w:type="pct"/>
                  <w:vAlign w:val="center"/>
                </w:tcPr>
                <w:p w14:paraId="475E656C">
                  <w:pPr>
                    <w:jc w:val="center"/>
                    <w:rPr>
                      <w:rFonts w:eastAsiaTheme="minorEastAsia"/>
                      <w:szCs w:val="21"/>
                    </w:rPr>
                  </w:pPr>
                  <w:r>
                    <w:rPr>
                      <w:rFonts w:hint="eastAsia" w:eastAsiaTheme="minorEastAsia"/>
                      <w:szCs w:val="21"/>
                    </w:rPr>
                    <w:t>57</w:t>
                  </w:r>
                </w:p>
              </w:tc>
              <w:tc>
                <w:tcPr>
                  <w:tcW w:w="235" w:type="pct"/>
                  <w:vAlign w:val="center"/>
                </w:tcPr>
                <w:p w14:paraId="7F63F8CE">
                  <w:pPr>
                    <w:jc w:val="center"/>
                    <w:rPr>
                      <w:rFonts w:eastAsiaTheme="minorEastAsia"/>
                      <w:szCs w:val="21"/>
                    </w:rPr>
                  </w:pPr>
                  <w:r>
                    <w:rPr>
                      <w:rFonts w:hint="eastAsia" w:eastAsiaTheme="minorEastAsia"/>
                      <w:szCs w:val="21"/>
                    </w:rPr>
                    <w:t>28</w:t>
                  </w:r>
                </w:p>
              </w:tc>
              <w:tc>
                <w:tcPr>
                  <w:tcW w:w="236" w:type="pct"/>
                  <w:vAlign w:val="center"/>
                </w:tcPr>
                <w:p w14:paraId="0C586890">
                  <w:pPr>
                    <w:jc w:val="center"/>
                    <w:rPr>
                      <w:rFonts w:eastAsiaTheme="minorEastAsia"/>
                      <w:szCs w:val="21"/>
                    </w:rPr>
                  </w:pPr>
                  <w:r>
                    <w:rPr>
                      <w:rFonts w:hint="eastAsia" w:eastAsiaTheme="minorEastAsia"/>
                      <w:szCs w:val="21"/>
                    </w:rPr>
                    <w:t>83</w:t>
                  </w:r>
                </w:p>
              </w:tc>
              <w:tc>
                <w:tcPr>
                  <w:tcW w:w="235" w:type="pct"/>
                  <w:vAlign w:val="center"/>
                </w:tcPr>
                <w:p w14:paraId="5F8E507A">
                  <w:pPr>
                    <w:jc w:val="center"/>
                    <w:rPr>
                      <w:rFonts w:eastAsiaTheme="minorEastAsia"/>
                      <w:szCs w:val="21"/>
                    </w:rPr>
                  </w:pPr>
                  <w:r>
                    <w:rPr>
                      <w:rFonts w:hint="eastAsia" w:eastAsiaTheme="minorEastAsia"/>
                      <w:szCs w:val="21"/>
                    </w:rPr>
                    <w:t>26</w:t>
                  </w:r>
                </w:p>
              </w:tc>
              <w:tc>
                <w:tcPr>
                  <w:tcW w:w="288" w:type="pct"/>
                  <w:vAlign w:val="center"/>
                </w:tcPr>
                <w:p w14:paraId="728830B9">
                  <w:pPr>
                    <w:jc w:val="center"/>
                    <w:rPr>
                      <w:rFonts w:eastAsiaTheme="minorEastAsia"/>
                      <w:szCs w:val="21"/>
                    </w:rPr>
                  </w:pPr>
                  <w:r>
                    <w:rPr>
                      <w:rFonts w:hint="eastAsia" w:eastAsiaTheme="minorEastAsia"/>
                      <w:szCs w:val="21"/>
                    </w:rPr>
                    <w:t>49.9</w:t>
                  </w:r>
                </w:p>
              </w:tc>
              <w:tc>
                <w:tcPr>
                  <w:tcW w:w="281" w:type="pct"/>
                  <w:vAlign w:val="center"/>
                </w:tcPr>
                <w:p w14:paraId="2ACFBEEA">
                  <w:pPr>
                    <w:jc w:val="center"/>
                    <w:rPr>
                      <w:rFonts w:eastAsiaTheme="minorEastAsia"/>
                      <w:szCs w:val="21"/>
                    </w:rPr>
                  </w:pPr>
                  <w:r>
                    <w:rPr>
                      <w:rFonts w:hint="eastAsia" w:eastAsiaTheme="minorEastAsia"/>
                      <w:szCs w:val="21"/>
                    </w:rPr>
                    <w:t>56.1</w:t>
                  </w:r>
                </w:p>
              </w:tc>
              <w:tc>
                <w:tcPr>
                  <w:tcW w:w="330" w:type="pct"/>
                  <w:vAlign w:val="center"/>
                </w:tcPr>
                <w:p w14:paraId="6A627D57">
                  <w:pPr>
                    <w:jc w:val="center"/>
                    <w:rPr>
                      <w:rFonts w:eastAsiaTheme="minorEastAsia"/>
                      <w:szCs w:val="21"/>
                    </w:rPr>
                  </w:pPr>
                  <w:r>
                    <w:rPr>
                      <w:rFonts w:hint="eastAsia" w:eastAsiaTheme="minorEastAsia"/>
                      <w:szCs w:val="21"/>
                    </w:rPr>
                    <w:t>46.6</w:t>
                  </w:r>
                </w:p>
              </w:tc>
              <w:tc>
                <w:tcPr>
                  <w:tcW w:w="285" w:type="pct"/>
                  <w:vAlign w:val="center"/>
                </w:tcPr>
                <w:p w14:paraId="132AFA64">
                  <w:pPr>
                    <w:jc w:val="center"/>
                    <w:rPr>
                      <w:rFonts w:eastAsiaTheme="minorEastAsia"/>
                      <w:szCs w:val="21"/>
                    </w:rPr>
                  </w:pPr>
                  <w:r>
                    <w:rPr>
                      <w:rFonts w:hint="eastAsia" w:eastAsiaTheme="minorEastAsia"/>
                      <w:szCs w:val="21"/>
                    </w:rPr>
                    <w:t>56.7</w:t>
                  </w:r>
                </w:p>
              </w:tc>
              <w:tc>
                <w:tcPr>
                  <w:tcW w:w="225" w:type="pct"/>
                  <w:vAlign w:val="center"/>
                </w:tcPr>
                <w:p w14:paraId="38896B39">
                  <w:pPr>
                    <w:jc w:val="center"/>
                    <w:rPr>
                      <w:rFonts w:eastAsiaTheme="minorEastAsia"/>
                      <w:szCs w:val="21"/>
                    </w:rPr>
                  </w:pPr>
                  <w:r>
                    <w:rPr>
                      <w:rFonts w:hint="eastAsia" w:hAnsiTheme="minorEastAsia" w:eastAsiaTheme="minorEastAsia"/>
                      <w:bCs/>
                      <w:kern w:val="0"/>
                      <w:szCs w:val="21"/>
                    </w:rPr>
                    <w:t>20h</w:t>
                  </w:r>
                </w:p>
              </w:tc>
            </w:tr>
            <w:tr w14:paraId="5ABD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2B2D6216">
                  <w:pPr>
                    <w:jc w:val="center"/>
                    <w:rPr>
                      <w:rFonts w:eastAsiaTheme="minorEastAsia"/>
                      <w:szCs w:val="21"/>
                    </w:rPr>
                  </w:pPr>
                  <w:r>
                    <w:rPr>
                      <w:rFonts w:hint="eastAsia" w:eastAsiaTheme="minorEastAsia"/>
                      <w:szCs w:val="21"/>
                    </w:rPr>
                    <w:t>14</w:t>
                  </w:r>
                </w:p>
              </w:tc>
              <w:tc>
                <w:tcPr>
                  <w:tcW w:w="216" w:type="pct"/>
                  <w:vMerge w:val="continue"/>
                  <w:vAlign w:val="center"/>
                </w:tcPr>
                <w:p w14:paraId="4013A76B">
                  <w:pPr>
                    <w:jc w:val="center"/>
                    <w:rPr>
                      <w:rFonts w:eastAsiaTheme="minorEastAsia"/>
                      <w:szCs w:val="21"/>
                    </w:rPr>
                  </w:pPr>
                </w:p>
              </w:tc>
              <w:tc>
                <w:tcPr>
                  <w:tcW w:w="371" w:type="pct"/>
                  <w:vAlign w:val="center"/>
                </w:tcPr>
                <w:p w14:paraId="7918A94B">
                  <w:pPr>
                    <w:jc w:val="center"/>
                    <w:rPr>
                      <w:rFonts w:eastAsiaTheme="minorEastAsia"/>
                      <w:szCs w:val="21"/>
                    </w:rPr>
                  </w:pPr>
                  <w:r>
                    <w:rPr>
                      <w:rFonts w:hAnsiTheme="minorEastAsia" w:eastAsiaTheme="minorEastAsia"/>
                      <w:szCs w:val="21"/>
                    </w:rPr>
                    <w:t>全自动模切机</w:t>
                  </w:r>
                </w:p>
              </w:tc>
              <w:tc>
                <w:tcPr>
                  <w:tcW w:w="281" w:type="pct"/>
                  <w:vAlign w:val="center"/>
                </w:tcPr>
                <w:p w14:paraId="149DB8DA">
                  <w:pPr>
                    <w:jc w:val="center"/>
                    <w:rPr>
                      <w:rFonts w:eastAsiaTheme="minorEastAsia"/>
                      <w:szCs w:val="21"/>
                    </w:rPr>
                  </w:pPr>
                  <w:r>
                    <w:rPr>
                      <w:rFonts w:hint="eastAsia" w:eastAsiaTheme="minorEastAsia"/>
                      <w:szCs w:val="21"/>
                    </w:rPr>
                    <w:t>1</w:t>
                  </w:r>
                </w:p>
              </w:tc>
              <w:tc>
                <w:tcPr>
                  <w:tcW w:w="464" w:type="pct"/>
                  <w:vAlign w:val="center"/>
                </w:tcPr>
                <w:p w14:paraId="015EFD3A">
                  <w:pPr>
                    <w:jc w:val="center"/>
                    <w:rPr>
                      <w:rFonts w:eastAsiaTheme="minorEastAsia"/>
                      <w:szCs w:val="21"/>
                    </w:rPr>
                  </w:pPr>
                  <w:r>
                    <w:rPr>
                      <w:rFonts w:hint="eastAsia" w:eastAsiaTheme="minorEastAsia"/>
                      <w:szCs w:val="21"/>
                    </w:rPr>
                    <w:t>85/1</w:t>
                  </w:r>
                </w:p>
              </w:tc>
              <w:tc>
                <w:tcPr>
                  <w:tcW w:w="305" w:type="pct"/>
                  <w:vMerge w:val="continue"/>
                </w:tcPr>
                <w:p w14:paraId="0CA02B27">
                  <w:pPr>
                    <w:jc w:val="center"/>
                    <w:rPr>
                      <w:szCs w:val="21"/>
                    </w:rPr>
                  </w:pPr>
                </w:p>
              </w:tc>
              <w:tc>
                <w:tcPr>
                  <w:tcW w:w="283" w:type="pct"/>
                  <w:vAlign w:val="center"/>
                </w:tcPr>
                <w:p w14:paraId="5CA46951">
                  <w:pPr>
                    <w:jc w:val="center"/>
                    <w:rPr>
                      <w:rFonts w:eastAsiaTheme="minorEastAsia"/>
                      <w:szCs w:val="21"/>
                    </w:rPr>
                  </w:pPr>
                  <w:r>
                    <w:rPr>
                      <w:rFonts w:hint="eastAsia" w:eastAsiaTheme="minorEastAsia"/>
                      <w:szCs w:val="21"/>
                    </w:rPr>
                    <w:t>-67</w:t>
                  </w:r>
                </w:p>
              </w:tc>
              <w:tc>
                <w:tcPr>
                  <w:tcW w:w="282" w:type="pct"/>
                  <w:vAlign w:val="center"/>
                </w:tcPr>
                <w:p w14:paraId="13BB5D29">
                  <w:pPr>
                    <w:jc w:val="center"/>
                    <w:rPr>
                      <w:rFonts w:eastAsiaTheme="minorEastAsia"/>
                      <w:szCs w:val="21"/>
                    </w:rPr>
                  </w:pPr>
                  <w:r>
                    <w:rPr>
                      <w:rFonts w:hint="eastAsia" w:eastAsiaTheme="minorEastAsia"/>
                      <w:szCs w:val="21"/>
                    </w:rPr>
                    <w:t>-27</w:t>
                  </w:r>
                </w:p>
              </w:tc>
              <w:tc>
                <w:tcPr>
                  <w:tcW w:w="283" w:type="pct"/>
                  <w:vAlign w:val="center"/>
                </w:tcPr>
                <w:p w14:paraId="0DAF15A3">
                  <w:pPr>
                    <w:jc w:val="center"/>
                    <w:rPr>
                      <w:rFonts w:eastAsiaTheme="minorEastAsia"/>
                      <w:szCs w:val="21"/>
                    </w:rPr>
                  </w:pPr>
                  <w:r>
                    <w:rPr>
                      <w:rFonts w:hint="eastAsia" w:eastAsiaTheme="minorEastAsia"/>
                      <w:szCs w:val="21"/>
                    </w:rPr>
                    <w:t>0</w:t>
                  </w:r>
                </w:p>
              </w:tc>
              <w:tc>
                <w:tcPr>
                  <w:tcW w:w="236" w:type="pct"/>
                  <w:vAlign w:val="center"/>
                </w:tcPr>
                <w:p w14:paraId="290D581C">
                  <w:pPr>
                    <w:jc w:val="center"/>
                    <w:rPr>
                      <w:rFonts w:eastAsiaTheme="minorEastAsia"/>
                      <w:szCs w:val="21"/>
                    </w:rPr>
                  </w:pPr>
                  <w:r>
                    <w:rPr>
                      <w:rFonts w:hint="eastAsia" w:eastAsiaTheme="minorEastAsia"/>
                      <w:szCs w:val="21"/>
                    </w:rPr>
                    <w:t>65</w:t>
                  </w:r>
                </w:p>
              </w:tc>
              <w:tc>
                <w:tcPr>
                  <w:tcW w:w="235" w:type="pct"/>
                  <w:vAlign w:val="center"/>
                </w:tcPr>
                <w:p w14:paraId="03CDADCD">
                  <w:pPr>
                    <w:jc w:val="center"/>
                    <w:rPr>
                      <w:rFonts w:eastAsiaTheme="minorEastAsia"/>
                      <w:szCs w:val="21"/>
                    </w:rPr>
                  </w:pPr>
                  <w:r>
                    <w:rPr>
                      <w:rFonts w:hint="eastAsia" w:eastAsiaTheme="minorEastAsia"/>
                      <w:szCs w:val="21"/>
                    </w:rPr>
                    <w:t>28</w:t>
                  </w:r>
                </w:p>
              </w:tc>
              <w:tc>
                <w:tcPr>
                  <w:tcW w:w="236" w:type="pct"/>
                  <w:vAlign w:val="center"/>
                </w:tcPr>
                <w:p w14:paraId="044F8D3E">
                  <w:pPr>
                    <w:jc w:val="center"/>
                    <w:rPr>
                      <w:rFonts w:eastAsiaTheme="minorEastAsia"/>
                      <w:szCs w:val="21"/>
                    </w:rPr>
                  </w:pPr>
                  <w:r>
                    <w:rPr>
                      <w:rFonts w:hint="eastAsia" w:eastAsiaTheme="minorEastAsia"/>
                      <w:szCs w:val="21"/>
                    </w:rPr>
                    <w:t>75</w:t>
                  </w:r>
                </w:p>
              </w:tc>
              <w:tc>
                <w:tcPr>
                  <w:tcW w:w="235" w:type="pct"/>
                  <w:vAlign w:val="center"/>
                </w:tcPr>
                <w:p w14:paraId="3DAAF9CC">
                  <w:pPr>
                    <w:jc w:val="center"/>
                    <w:rPr>
                      <w:rFonts w:eastAsiaTheme="minorEastAsia"/>
                      <w:szCs w:val="21"/>
                    </w:rPr>
                  </w:pPr>
                  <w:r>
                    <w:rPr>
                      <w:rFonts w:hint="eastAsia" w:eastAsiaTheme="minorEastAsia"/>
                      <w:szCs w:val="21"/>
                    </w:rPr>
                    <w:t>26</w:t>
                  </w:r>
                </w:p>
              </w:tc>
              <w:tc>
                <w:tcPr>
                  <w:tcW w:w="288" w:type="pct"/>
                  <w:vAlign w:val="center"/>
                </w:tcPr>
                <w:p w14:paraId="2FB1D27A">
                  <w:pPr>
                    <w:jc w:val="center"/>
                    <w:rPr>
                      <w:rFonts w:eastAsiaTheme="minorEastAsia"/>
                      <w:szCs w:val="21"/>
                    </w:rPr>
                  </w:pPr>
                  <w:r>
                    <w:rPr>
                      <w:rFonts w:hint="eastAsia" w:eastAsiaTheme="minorEastAsia"/>
                      <w:szCs w:val="21"/>
                    </w:rPr>
                    <w:t>48.7</w:t>
                  </w:r>
                </w:p>
              </w:tc>
              <w:tc>
                <w:tcPr>
                  <w:tcW w:w="281" w:type="pct"/>
                  <w:vAlign w:val="center"/>
                </w:tcPr>
                <w:p w14:paraId="3D99E601">
                  <w:pPr>
                    <w:jc w:val="center"/>
                    <w:rPr>
                      <w:rFonts w:eastAsiaTheme="minorEastAsia"/>
                      <w:szCs w:val="21"/>
                    </w:rPr>
                  </w:pPr>
                  <w:r>
                    <w:rPr>
                      <w:rFonts w:hint="eastAsia" w:eastAsiaTheme="minorEastAsia"/>
                      <w:szCs w:val="21"/>
                    </w:rPr>
                    <w:t>56.1</w:t>
                  </w:r>
                </w:p>
              </w:tc>
              <w:tc>
                <w:tcPr>
                  <w:tcW w:w="330" w:type="pct"/>
                  <w:vAlign w:val="center"/>
                </w:tcPr>
                <w:p w14:paraId="18DC32E8">
                  <w:pPr>
                    <w:jc w:val="center"/>
                    <w:rPr>
                      <w:rFonts w:eastAsiaTheme="minorEastAsia"/>
                      <w:szCs w:val="21"/>
                    </w:rPr>
                  </w:pPr>
                  <w:r>
                    <w:rPr>
                      <w:rFonts w:hint="eastAsia" w:eastAsiaTheme="minorEastAsia"/>
                      <w:szCs w:val="21"/>
                    </w:rPr>
                    <w:t>47.5</w:t>
                  </w:r>
                </w:p>
              </w:tc>
              <w:tc>
                <w:tcPr>
                  <w:tcW w:w="285" w:type="pct"/>
                  <w:vAlign w:val="center"/>
                </w:tcPr>
                <w:p w14:paraId="20AA5601">
                  <w:pPr>
                    <w:jc w:val="center"/>
                    <w:rPr>
                      <w:rFonts w:eastAsiaTheme="minorEastAsia"/>
                      <w:szCs w:val="21"/>
                    </w:rPr>
                  </w:pPr>
                  <w:r>
                    <w:rPr>
                      <w:rFonts w:hint="eastAsia" w:eastAsiaTheme="minorEastAsia"/>
                      <w:szCs w:val="21"/>
                    </w:rPr>
                    <w:t>56.7</w:t>
                  </w:r>
                </w:p>
              </w:tc>
              <w:tc>
                <w:tcPr>
                  <w:tcW w:w="225" w:type="pct"/>
                  <w:vAlign w:val="center"/>
                </w:tcPr>
                <w:p w14:paraId="071E56F0">
                  <w:pPr>
                    <w:jc w:val="center"/>
                    <w:rPr>
                      <w:rFonts w:eastAsiaTheme="minorEastAsia"/>
                      <w:szCs w:val="21"/>
                    </w:rPr>
                  </w:pPr>
                  <w:r>
                    <w:rPr>
                      <w:rFonts w:hint="eastAsia" w:hAnsiTheme="minorEastAsia" w:eastAsiaTheme="minorEastAsia"/>
                      <w:bCs/>
                      <w:kern w:val="0"/>
                      <w:szCs w:val="21"/>
                    </w:rPr>
                    <w:t>20h</w:t>
                  </w:r>
                </w:p>
              </w:tc>
            </w:tr>
            <w:tr w14:paraId="4907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15D6FC65">
                  <w:pPr>
                    <w:jc w:val="center"/>
                    <w:rPr>
                      <w:rFonts w:eastAsiaTheme="minorEastAsia"/>
                      <w:szCs w:val="21"/>
                    </w:rPr>
                  </w:pPr>
                  <w:r>
                    <w:rPr>
                      <w:rFonts w:hint="eastAsia" w:eastAsiaTheme="minorEastAsia"/>
                      <w:szCs w:val="21"/>
                    </w:rPr>
                    <w:t>15</w:t>
                  </w:r>
                </w:p>
              </w:tc>
              <w:tc>
                <w:tcPr>
                  <w:tcW w:w="216" w:type="pct"/>
                  <w:vMerge w:val="continue"/>
                  <w:vAlign w:val="center"/>
                </w:tcPr>
                <w:p w14:paraId="366246B8">
                  <w:pPr>
                    <w:jc w:val="center"/>
                    <w:rPr>
                      <w:rFonts w:eastAsiaTheme="minorEastAsia"/>
                      <w:szCs w:val="21"/>
                    </w:rPr>
                  </w:pPr>
                </w:p>
              </w:tc>
              <w:tc>
                <w:tcPr>
                  <w:tcW w:w="371" w:type="pct"/>
                  <w:vAlign w:val="center"/>
                </w:tcPr>
                <w:p w14:paraId="6BB9B087">
                  <w:pPr>
                    <w:jc w:val="center"/>
                    <w:rPr>
                      <w:rFonts w:eastAsiaTheme="minorEastAsia"/>
                      <w:szCs w:val="21"/>
                    </w:rPr>
                  </w:pPr>
                  <w:r>
                    <w:rPr>
                      <w:rFonts w:hAnsiTheme="minorEastAsia" w:eastAsiaTheme="minorEastAsia"/>
                      <w:szCs w:val="21"/>
                    </w:rPr>
                    <w:t>全自动糊盒机</w:t>
                  </w:r>
                </w:p>
              </w:tc>
              <w:tc>
                <w:tcPr>
                  <w:tcW w:w="281" w:type="pct"/>
                  <w:vAlign w:val="center"/>
                </w:tcPr>
                <w:p w14:paraId="1B1DDC3E">
                  <w:pPr>
                    <w:jc w:val="center"/>
                    <w:rPr>
                      <w:rFonts w:eastAsiaTheme="minorEastAsia"/>
                      <w:szCs w:val="21"/>
                    </w:rPr>
                  </w:pPr>
                  <w:r>
                    <w:rPr>
                      <w:rFonts w:hint="eastAsia" w:eastAsiaTheme="minorEastAsia"/>
                      <w:szCs w:val="21"/>
                    </w:rPr>
                    <w:t>1</w:t>
                  </w:r>
                </w:p>
              </w:tc>
              <w:tc>
                <w:tcPr>
                  <w:tcW w:w="464" w:type="pct"/>
                  <w:vAlign w:val="center"/>
                </w:tcPr>
                <w:p w14:paraId="4CAC020C">
                  <w:pPr>
                    <w:jc w:val="center"/>
                    <w:rPr>
                      <w:rFonts w:eastAsiaTheme="minorEastAsia"/>
                      <w:szCs w:val="21"/>
                    </w:rPr>
                  </w:pPr>
                  <w:r>
                    <w:rPr>
                      <w:rFonts w:hint="eastAsia" w:eastAsiaTheme="minorEastAsia"/>
                      <w:szCs w:val="21"/>
                    </w:rPr>
                    <w:t>80/1</w:t>
                  </w:r>
                </w:p>
              </w:tc>
              <w:tc>
                <w:tcPr>
                  <w:tcW w:w="305" w:type="pct"/>
                  <w:vMerge w:val="continue"/>
                </w:tcPr>
                <w:p w14:paraId="2B7D396B">
                  <w:pPr>
                    <w:jc w:val="center"/>
                    <w:rPr>
                      <w:szCs w:val="21"/>
                    </w:rPr>
                  </w:pPr>
                </w:p>
              </w:tc>
              <w:tc>
                <w:tcPr>
                  <w:tcW w:w="283" w:type="pct"/>
                  <w:vAlign w:val="center"/>
                </w:tcPr>
                <w:p w14:paraId="4C95CA08">
                  <w:pPr>
                    <w:jc w:val="center"/>
                    <w:rPr>
                      <w:rFonts w:eastAsiaTheme="minorEastAsia"/>
                      <w:szCs w:val="21"/>
                    </w:rPr>
                  </w:pPr>
                  <w:r>
                    <w:rPr>
                      <w:rFonts w:hint="eastAsia" w:eastAsiaTheme="minorEastAsia"/>
                      <w:szCs w:val="21"/>
                    </w:rPr>
                    <w:t>-40</w:t>
                  </w:r>
                </w:p>
              </w:tc>
              <w:tc>
                <w:tcPr>
                  <w:tcW w:w="282" w:type="pct"/>
                  <w:vAlign w:val="center"/>
                </w:tcPr>
                <w:p w14:paraId="562B8530">
                  <w:pPr>
                    <w:jc w:val="center"/>
                    <w:rPr>
                      <w:rFonts w:eastAsiaTheme="minorEastAsia"/>
                      <w:szCs w:val="21"/>
                    </w:rPr>
                  </w:pPr>
                  <w:r>
                    <w:rPr>
                      <w:rFonts w:hint="eastAsia" w:eastAsiaTheme="minorEastAsia"/>
                      <w:szCs w:val="21"/>
                    </w:rPr>
                    <w:t>-10</w:t>
                  </w:r>
                </w:p>
              </w:tc>
              <w:tc>
                <w:tcPr>
                  <w:tcW w:w="283" w:type="pct"/>
                  <w:vAlign w:val="center"/>
                </w:tcPr>
                <w:p w14:paraId="71607580">
                  <w:pPr>
                    <w:jc w:val="center"/>
                    <w:rPr>
                      <w:rFonts w:eastAsiaTheme="minorEastAsia"/>
                      <w:szCs w:val="21"/>
                    </w:rPr>
                  </w:pPr>
                  <w:r>
                    <w:rPr>
                      <w:rFonts w:hint="eastAsia" w:eastAsiaTheme="minorEastAsia"/>
                      <w:szCs w:val="21"/>
                    </w:rPr>
                    <w:t>0</w:t>
                  </w:r>
                </w:p>
              </w:tc>
              <w:tc>
                <w:tcPr>
                  <w:tcW w:w="236" w:type="pct"/>
                  <w:vAlign w:val="center"/>
                </w:tcPr>
                <w:p w14:paraId="18A3548B">
                  <w:pPr>
                    <w:jc w:val="center"/>
                    <w:rPr>
                      <w:rFonts w:eastAsiaTheme="minorEastAsia"/>
                      <w:szCs w:val="21"/>
                    </w:rPr>
                  </w:pPr>
                  <w:r>
                    <w:rPr>
                      <w:rFonts w:hint="eastAsia" w:eastAsiaTheme="minorEastAsia"/>
                      <w:szCs w:val="21"/>
                    </w:rPr>
                    <w:t>38</w:t>
                  </w:r>
                </w:p>
              </w:tc>
              <w:tc>
                <w:tcPr>
                  <w:tcW w:w="235" w:type="pct"/>
                  <w:vAlign w:val="center"/>
                </w:tcPr>
                <w:p w14:paraId="7367287A">
                  <w:pPr>
                    <w:jc w:val="center"/>
                    <w:rPr>
                      <w:rFonts w:eastAsiaTheme="minorEastAsia"/>
                      <w:szCs w:val="21"/>
                    </w:rPr>
                  </w:pPr>
                  <w:r>
                    <w:rPr>
                      <w:rFonts w:hint="eastAsia" w:eastAsiaTheme="minorEastAsia"/>
                      <w:szCs w:val="21"/>
                    </w:rPr>
                    <w:t>34</w:t>
                  </w:r>
                </w:p>
              </w:tc>
              <w:tc>
                <w:tcPr>
                  <w:tcW w:w="236" w:type="pct"/>
                  <w:vAlign w:val="center"/>
                </w:tcPr>
                <w:p w14:paraId="03FD9DE4">
                  <w:pPr>
                    <w:jc w:val="center"/>
                    <w:rPr>
                      <w:rFonts w:eastAsiaTheme="minorEastAsia"/>
                      <w:szCs w:val="21"/>
                    </w:rPr>
                  </w:pPr>
                  <w:r>
                    <w:rPr>
                      <w:rFonts w:hint="eastAsia" w:eastAsiaTheme="minorEastAsia"/>
                      <w:szCs w:val="21"/>
                    </w:rPr>
                    <w:t>102</w:t>
                  </w:r>
                </w:p>
              </w:tc>
              <w:tc>
                <w:tcPr>
                  <w:tcW w:w="235" w:type="pct"/>
                  <w:vAlign w:val="center"/>
                </w:tcPr>
                <w:p w14:paraId="7E7EC76D">
                  <w:pPr>
                    <w:jc w:val="center"/>
                    <w:rPr>
                      <w:rFonts w:eastAsiaTheme="minorEastAsia"/>
                      <w:szCs w:val="21"/>
                    </w:rPr>
                  </w:pPr>
                  <w:r>
                    <w:rPr>
                      <w:rFonts w:hint="eastAsia" w:eastAsiaTheme="minorEastAsia"/>
                      <w:szCs w:val="21"/>
                    </w:rPr>
                    <w:t>10</w:t>
                  </w:r>
                </w:p>
              </w:tc>
              <w:tc>
                <w:tcPr>
                  <w:tcW w:w="288" w:type="pct"/>
                  <w:vAlign w:val="center"/>
                </w:tcPr>
                <w:p w14:paraId="2AA478AA">
                  <w:pPr>
                    <w:jc w:val="center"/>
                    <w:rPr>
                      <w:rFonts w:eastAsiaTheme="minorEastAsia"/>
                      <w:szCs w:val="21"/>
                    </w:rPr>
                  </w:pPr>
                  <w:r>
                    <w:rPr>
                      <w:rFonts w:hint="eastAsia" w:eastAsiaTheme="minorEastAsia"/>
                      <w:szCs w:val="21"/>
                    </w:rPr>
                    <w:t>48.4</w:t>
                  </w:r>
                </w:p>
              </w:tc>
              <w:tc>
                <w:tcPr>
                  <w:tcW w:w="281" w:type="pct"/>
                  <w:vAlign w:val="center"/>
                </w:tcPr>
                <w:p w14:paraId="090F69D0">
                  <w:pPr>
                    <w:jc w:val="center"/>
                    <w:rPr>
                      <w:rFonts w:eastAsiaTheme="minorEastAsia"/>
                      <w:szCs w:val="21"/>
                    </w:rPr>
                  </w:pPr>
                  <w:r>
                    <w:rPr>
                      <w:rFonts w:hint="eastAsia" w:eastAsiaTheme="minorEastAsia"/>
                      <w:szCs w:val="21"/>
                    </w:rPr>
                    <w:t>49.4</w:t>
                  </w:r>
                </w:p>
              </w:tc>
              <w:tc>
                <w:tcPr>
                  <w:tcW w:w="330" w:type="pct"/>
                  <w:vAlign w:val="center"/>
                </w:tcPr>
                <w:p w14:paraId="59F33ABE">
                  <w:pPr>
                    <w:jc w:val="center"/>
                    <w:rPr>
                      <w:rFonts w:eastAsiaTheme="minorEastAsia"/>
                      <w:szCs w:val="21"/>
                    </w:rPr>
                  </w:pPr>
                  <w:r>
                    <w:rPr>
                      <w:rFonts w:hint="eastAsia" w:eastAsiaTheme="minorEastAsia"/>
                      <w:szCs w:val="21"/>
                    </w:rPr>
                    <w:t>39.8</w:t>
                  </w:r>
                </w:p>
              </w:tc>
              <w:tc>
                <w:tcPr>
                  <w:tcW w:w="285" w:type="pct"/>
                  <w:vAlign w:val="center"/>
                </w:tcPr>
                <w:p w14:paraId="0B286D11">
                  <w:pPr>
                    <w:jc w:val="center"/>
                    <w:rPr>
                      <w:rFonts w:eastAsiaTheme="minorEastAsia"/>
                      <w:szCs w:val="21"/>
                    </w:rPr>
                  </w:pPr>
                  <w:r>
                    <w:rPr>
                      <w:rFonts w:hint="eastAsia" w:eastAsiaTheme="minorEastAsia"/>
                      <w:szCs w:val="21"/>
                    </w:rPr>
                    <w:t>60</w:t>
                  </w:r>
                </w:p>
              </w:tc>
              <w:tc>
                <w:tcPr>
                  <w:tcW w:w="225" w:type="pct"/>
                  <w:vAlign w:val="center"/>
                </w:tcPr>
                <w:p w14:paraId="103284C0">
                  <w:pPr>
                    <w:jc w:val="center"/>
                    <w:rPr>
                      <w:rFonts w:eastAsiaTheme="minorEastAsia"/>
                      <w:szCs w:val="21"/>
                    </w:rPr>
                  </w:pPr>
                  <w:r>
                    <w:rPr>
                      <w:rFonts w:hint="eastAsia" w:hAnsiTheme="minorEastAsia" w:eastAsiaTheme="minorEastAsia"/>
                      <w:bCs/>
                      <w:kern w:val="0"/>
                      <w:szCs w:val="21"/>
                    </w:rPr>
                    <w:t>20h</w:t>
                  </w:r>
                </w:p>
              </w:tc>
            </w:tr>
            <w:tr w14:paraId="7806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5E9BAE89">
                  <w:pPr>
                    <w:jc w:val="center"/>
                    <w:rPr>
                      <w:rFonts w:eastAsiaTheme="minorEastAsia"/>
                      <w:szCs w:val="21"/>
                    </w:rPr>
                  </w:pPr>
                  <w:r>
                    <w:rPr>
                      <w:rFonts w:hint="eastAsia" w:eastAsiaTheme="minorEastAsia"/>
                      <w:szCs w:val="21"/>
                    </w:rPr>
                    <w:t>16</w:t>
                  </w:r>
                </w:p>
              </w:tc>
              <w:tc>
                <w:tcPr>
                  <w:tcW w:w="216" w:type="pct"/>
                  <w:vMerge w:val="continue"/>
                  <w:vAlign w:val="center"/>
                </w:tcPr>
                <w:p w14:paraId="01F5D80E">
                  <w:pPr>
                    <w:jc w:val="center"/>
                    <w:rPr>
                      <w:rFonts w:eastAsiaTheme="minorEastAsia"/>
                      <w:szCs w:val="21"/>
                    </w:rPr>
                  </w:pPr>
                </w:p>
              </w:tc>
              <w:tc>
                <w:tcPr>
                  <w:tcW w:w="371" w:type="pct"/>
                  <w:vAlign w:val="center"/>
                </w:tcPr>
                <w:p w14:paraId="4643BF7E">
                  <w:pPr>
                    <w:jc w:val="center"/>
                    <w:rPr>
                      <w:rFonts w:hAnsiTheme="minorEastAsia" w:eastAsiaTheme="minorEastAsia"/>
                      <w:szCs w:val="21"/>
                    </w:rPr>
                  </w:pPr>
                  <w:r>
                    <w:rPr>
                      <w:rFonts w:hAnsiTheme="minorEastAsia" w:eastAsiaTheme="minorEastAsia"/>
                      <w:szCs w:val="21"/>
                    </w:rPr>
                    <w:t>全自动糊盒机</w:t>
                  </w:r>
                </w:p>
              </w:tc>
              <w:tc>
                <w:tcPr>
                  <w:tcW w:w="281" w:type="pct"/>
                  <w:vAlign w:val="center"/>
                </w:tcPr>
                <w:p w14:paraId="3EF70715">
                  <w:pPr>
                    <w:jc w:val="center"/>
                    <w:rPr>
                      <w:rFonts w:eastAsiaTheme="minorEastAsia"/>
                      <w:szCs w:val="21"/>
                    </w:rPr>
                  </w:pPr>
                  <w:r>
                    <w:rPr>
                      <w:rFonts w:hint="eastAsia" w:eastAsiaTheme="minorEastAsia"/>
                      <w:szCs w:val="21"/>
                    </w:rPr>
                    <w:t>1</w:t>
                  </w:r>
                </w:p>
              </w:tc>
              <w:tc>
                <w:tcPr>
                  <w:tcW w:w="464" w:type="pct"/>
                  <w:vAlign w:val="center"/>
                </w:tcPr>
                <w:p w14:paraId="7A99A917">
                  <w:pPr>
                    <w:jc w:val="center"/>
                    <w:rPr>
                      <w:rFonts w:eastAsiaTheme="minorEastAsia"/>
                      <w:szCs w:val="21"/>
                    </w:rPr>
                  </w:pPr>
                  <w:r>
                    <w:rPr>
                      <w:rFonts w:hint="eastAsia" w:eastAsiaTheme="minorEastAsia"/>
                      <w:szCs w:val="21"/>
                    </w:rPr>
                    <w:t>80/1</w:t>
                  </w:r>
                </w:p>
              </w:tc>
              <w:tc>
                <w:tcPr>
                  <w:tcW w:w="305" w:type="pct"/>
                  <w:vMerge w:val="continue"/>
                </w:tcPr>
                <w:p w14:paraId="4DC26805">
                  <w:pPr>
                    <w:jc w:val="center"/>
                    <w:rPr>
                      <w:szCs w:val="21"/>
                    </w:rPr>
                  </w:pPr>
                </w:p>
              </w:tc>
              <w:tc>
                <w:tcPr>
                  <w:tcW w:w="283" w:type="pct"/>
                  <w:vAlign w:val="center"/>
                </w:tcPr>
                <w:p w14:paraId="6DB766A6">
                  <w:pPr>
                    <w:jc w:val="center"/>
                    <w:rPr>
                      <w:rFonts w:eastAsiaTheme="minorEastAsia"/>
                      <w:szCs w:val="21"/>
                    </w:rPr>
                  </w:pPr>
                  <w:r>
                    <w:rPr>
                      <w:rFonts w:hint="eastAsia" w:eastAsiaTheme="minorEastAsia"/>
                      <w:szCs w:val="21"/>
                    </w:rPr>
                    <w:t>-40</w:t>
                  </w:r>
                </w:p>
              </w:tc>
              <w:tc>
                <w:tcPr>
                  <w:tcW w:w="282" w:type="pct"/>
                  <w:vAlign w:val="center"/>
                </w:tcPr>
                <w:p w14:paraId="7930DDB0">
                  <w:pPr>
                    <w:jc w:val="center"/>
                    <w:rPr>
                      <w:rFonts w:eastAsiaTheme="minorEastAsia"/>
                      <w:szCs w:val="21"/>
                    </w:rPr>
                  </w:pPr>
                  <w:r>
                    <w:rPr>
                      <w:rFonts w:hint="eastAsia" w:eastAsiaTheme="minorEastAsia"/>
                      <w:szCs w:val="21"/>
                    </w:rPr>
                    <w:t>-14</w:t>
                  </w:r>
                </w:p>
              </w:tc>
              <w:tc>
                <w:tcPr>
                  <w:tcW w:w="283" w:type="pct"/>
                  <w:vAlign w:val="center"/>
                </w:tcPr>
                <w:p w14:paraId="685351D5">
                  <w:pPr>
                    <w:jc w:val="center"/>
                    <w:rPr>
                      <w:rFonts w:eastAsiaTheme="minorEastAsia"/>
                      <w:szCs w:val="21"/>
                    </w:rPr>
                  </w:pPr>
                  <w:r>
                    <w:rPr>
                      <w:rFonts w:hint="eastAsia" w:eastAsiaTheme="minorEastAsia"/>
                      <w:szCs w:val="21"/>
                    </w:rPr>
                    <w:t>0</w:t>
                  </w:r>
                </w:p>
              </w:tc>
              <w:tc>
                <w:tcPr>
                  <w:tcW w:w="236" w:type="pct"/>
                  <w:vAlign w:val="center"/>
                </w:tcPr>
                <w:p w14:paraId="624EF743">
                  <w:pPr>
                    <w:jc w:val="center"/>
                    <w:rPr>
                      <w:rFonts w:eastAsiaTheme="minorEastAsia"/>
                      <w:szCs w:val="21"/>
                    </w:rPr>
                  </w:pPr>
                  <w:r>
                    <w:rPr>
                      <w:rFonts w:hint="eastAsia" w:eastAsiaTheme="minorEastAsia"/>
                      <w:szCs w:val="21"/>
                    </w:rPr>
                    <w:t>38</w:t>
                  </w:r>
                </w:p>
              </w:tc>
              <w:tc>
                <w:tcPr>
                  <w:tcW w:w="235" w:type="pct"/>
                  <w:vAlign w:val="center"/>
                </w:tcPr>
                <w:p w14:paraId="5B4C5B18">
                  <w:pPr>
                    <w:jc w:val="center"/>
                    <w:rPr>
                      <w:rFonts w:eastAsiaTheme="minorEastAsia"/>
                      <w:szCs w:val="21"/>
                    </w:rPr>
                  </w:pPr>
                  <w:r>
                    <w:rPr>
                      <w:rFonts w:hint="eastAsia" w:eastAsiaTheme="minorEastAsia"/>
                      <w:szCs w:val="21"/>
                    </w:rPr>
                    <w:t>30</w:t>
                  </w:r>
                </w:p>
              </w:tc>
              <w:tc>
                <w:tcPr>
                  <w:tcW w:w="236" w:type="pct"/>
                  <w:vAlign w:val="center"/>
                </w:tcPr>
                <w:p w14:paraId="4CCD82AC">
                  <w:pPr>
                    <w:jc w:val="center"/>
                    <w:rPr>
                      <w:rFonts w:eastAsiaTheme="minorEastAsia"/>
                      <w:szCs w:val="21"/>
                    </w:rPr>
                  </w:pPr>
                  <w:r>
                    <w:rPr>
                      <w:rFonts w:hint="eastAsia" w:eastAsiaTheme="minorEastAsia"/>
                      <w:szCs w:val="21"/>
                    </w:rPr>
                    <w:t>102</w:t>
                  </w:r>
                </w:p>
              </w:tc>
              <w:tc>
                <w:tcPr>
                  <w:tcW w:w="235" w:type="pct"/>
                  <w:vAlign w:val="center"/>
                </w:tcPr>
                <w:p w14:paraId="3FDC6CCB">
                  <w:pPr>
                    <w:jc w:val="center"/>
                    <w:rPr>
                      <w:rFonts w:eastAsiaTheme="minorEastAsia"/>
                      <w:szCs w:val="21"/>
                    </w:rPr>
                  </w:pPr>
                  <w:r>
                    <w:rPr>
                      <w:rFonts w:hint="eastAsia" w:eastAsiaTheme="minorEastAsia"/>
                      <w:szCs w:val="21"/>
                    </w:rPr>
                    <w:t>14</w:t>
                  </w:r>
                </w:p>
              </w:tc>
              <w:tc>
                <w:tcPr>
                  <w:tcW w:w="288" w:type="pct"/>
                  <w:vAlign w:val="center"/>
                </w:tcPr>
                <w:p w14:paraId="0425F202">
                  <w:pPr>
                    <w:jc w:val="center"/>
                    <w:rPr>
                      <w:rFonts w:eastAsiaTheme="minorEastAsia"/>
                      <w:szCs w:val="21"/>
                    </w:rPr>
                  </w:pPr>
                  <w:r>
                    <w:rPr>
                      <w:rFonts w:hint="eastAsia" w:eastAsiaTheme="minorEastAsia"/>
                      <w:szCs w:val="21"/>
                    </w:rPr>
                    <w:t>48.4</w:t>
                  </w:r>
                </w:p>
              </w:tc>
              <w:tc>
                <w:tcPr>
                  <w:tcW w:w="281" w:type="pct"/>
                  <w:vAlign w:val="center"/>
                </w:tcPr>
                <w:p w14:paraId="6412B572">
                  <w:pPr>
                    <w:jc w:val="center"/>
                    <w:rPr>
                      <w:rFonts w:eastAsiaTheme="minorEastAsia"/>
                      <w:szCs w:val="21"/>
                    </w:rPr>
                  </w:pPr>
                  <w:r>
                    <w:rPr>
                      <w:rFonts w:hint="eastAsia" w:eastAsiaTheme="minorEastAsia"/>
                      <w:szCs w:val="21"/>
                    </w:rPr>
                    <w:t>50.5</w:t>
                  </w:r>
                </w:p>
              </w:tc>
              <w:tc>
                <w:tcPr>
                  <w:tcW w:w="330" w:type="pct"/>
                  <w:vAlign w:val="center"/>
                </w:tcPr>
                <w:p w14:paraId="77497278">
                  <w:pPr>
                    <w:jc w:val="center"/>
                    <w:rPr>
                      <w:rFonts w:eastAsiaTheme="minorEastAsia"/>
                      <w:szCs w:val="21"/>
                    </w:rPr>
                  </w:pPr>
                  <w:r>
                    <w:rPr>
                      <w:rFonts w:hint="eastAsia" w:eastAsiaTheme="minorEastAsia"/>
                      <w:szCs w:val="21"/>
                    </w:rPr>
                    <w:t>39.8</w:t>
                  </w:r>
                </w:p>
              </w:tc>
              <w:tc>
                <w:tcPr>
                  <w:tcW w:w="285" w:type="pct"/>
                  <w:vAlign w:val="center"/>
                </w:tcPr>
                <w:p w14:paraId="519116D8">
                  <w:pPr>
                    <w:jc w:val="center"/>
                    <w:rPr>
                      <w:rFonts w:eastAsiaTheme="minorEastAsia"/>
                      <w:szCs w:val="21"/>
                    </w:rPr>
                  </w:pPr>
                  <w:r>
                    <w:rPr>
                      <w:rFonts w:hint="eastAsia" w:eastAsiaTheme="minorEastAsia"/>
                      <w:szCs w:val="21"/>
                    </w:rPr>
                    <w:t>57.1</w:t>
                  </w:r>
                </w:p>
              </w:tc>
              <w:tc>
                <w:tcPr>
                  <w:tcW w:w="225" w:type="pct"/>
                  <w:vAlign w:val="center"/>
                </w:tcPr>
                <w:p w14:paraId="36A0990A">
                  <w:pPr>
                    <w:jc w:val="center"/>
                    <w:rPr>
                      <w:rFonts w:eastAsiaTheme="minorEastAsia"/>
                      <w:szCs w:val="21"/>
                    </w:rPr>
                  </w:pPr>
                  <w:r>
                    <w:rPr>
                      <w:rFonts w:hint="eastAsia" w:hAnsiTheme="minorEastAsia" w:eastAsiaTheme="minorEastAsia"/>
                      <w:bCs/>
                      <w:kern w:val="0"/>
                      <w:szCs w:val="21"/>
                    </w:rPr>
                    <w:t>20h</w:t>
                  </w:r>
                </w:p>
              </w:tc>
            </w:tr>
            <w:tr w14:paraId="32EF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3112CC75">
                  <w:pPr>
                    <w:jc w:val="center"/>
                    <w:rPr>
                      <w:rFonts w:eastAsiaTheme="minorEastAsia"/>
                      <w:szCs w:val="21"/>
                    </w:rPr>
                  </w:pPr>
                  <w:r>
                    <w:rPr>
                      <w:rFonts w:hint="eastAsia" w:eastAsiaTheme="minorEastAsia"/>
                      <w:szCs w:val="21"/>
                    </w:rPr>
                    <w:t>17</w:t>
                  </w:r>
                </w:p>
              </w:tc>
              <w:tc>
                <w:tcPr>
                  <w:tcW w:w="216" w:type="pct"/>
                  <w:vMerge w:val="continue"/>
                  <w:vAlign w:val="center"/>
                </w:tcPr>
                <w:p w14:paraId="5ECC8253">
                  <w:pPr>
                    <w:jc w:val="center"/>
                    <w:rPr>
                      <w:rFonts w:eastAsiaTheme="minorEastAsia"/>
                      <w:szCs w:val="21"/>
                    </w:rPr>
                  </w:pPr>
                </w:p>
              </w:tc>
              <w:tc>
                <w:tcPr>
                  <w:tcW w:w="371" w:type="pct"/>
                  <w:vAlign w:val="center"/>
                </w:tcPr>
                <w:p w14:paraId="581FDF24">
                  <w:pPr>
                    <w:jc w:val="center"/>
                    <w:rPr>
                      <w:rFonts w:hAnsiTheme="minorEastAsia" w:eastAsiaTheme="minorEastAsia"/>
                      <w:szCs w:val="21"/>
                    </w:rPr>
                  </w:pPr>
                  <w:r>
                    <w:rPr>
                      <w:rFonts w:hint="eastAsia" w:hAnsiTheme="minorEastAsia" w:eastAsiaTheme="minorEastAsia"/>
                      <w:szCs w:val="21"/>
                    </w:rPr>
                    <w:t>纸盒打样介稿机</w:t>
                  </w:r>
                </w:p>
              </w:tc>
              <w:tc>
                <w:tcPr>
                  <w:tcW w:w="281" w:type="pct"/>
                  <w:vAlign w:val="center"/>
                </w:tcPr>
                <w:p w14:paraId="1B2525D7">
                  <w:pPr>
                    <w:jc w:val="center"/>
                    <w:rPr>
                      <w:rFonts w:eastAsiaTheme="minorEastAsia"/>
                      <w:szCs w:val="21"/>
                    </w:rPr>
                  </w:pPr>
                  <w:r>
                    <w:rPr>
                      <w:rFonts w:hint="eastAsia" w:eastAsiaTheme="minorEastAsia"/>
                      <w:szCs w:val="21"/>
                    </w:rPr>
                    <w:t>1</w:t>
                  </w:r>
                </w:p>
              </w:tc>
              <w:tc>
                <w:tcPr>
                  <w:tcW w:w="464" w:type="pct"/>
                  <w:vAlign w:val="center"/>
                </w:tcPr>
                <w:p w14:paraId="516492D0">
                  <w:pPr>
                    <w:jc w:val="center"/>
                    <w:rPr>
                      <w:rFonts w:eastAsiaTheme="minorEastAsia"/>
                      <w:szCs w:val="21"/>
                    </w:rPr>
                  </w:pPr>
                  <w:r>
                    <w:rPr>
                      <w:rFonts w:hint="eastAsia" w:eastAsiaTheme="minorEastAsia"/>
                      <w:szCs w:val="21"/>
                    </w:rPr>
                    <w:t>80/1</w:t>
                  </w:r>
                </w:p>
              </w:tc>
              <w:tc>
                <w:tcPr>
                  <w:tcW w:w="305" w:type="pct"/>
                  <w:vMerge w:val="continue"/>
                </w:tcPr>
                <w:p w14:paraId="66E7A1B4">
                  <w:pPr>
                    <w:jc w:val="center"/>
                    <w:rPr>
                      <w:szCs w:val="21"/>
                    </w:rPr>
                  </w:pPr>
                </w:p>
              </w:tc>
              <w:tc>
                <w:tcPr>
                  <w:tcW w:w="283" w:type="pct"/>
                  <w:vAlign w:val="center"/>
                </w:tcPr>
                <w:p w14:paraId="65EDBEF1">
                  <w:pPr>
                    <w:jc w:val="center"/>
                    <w:rPr>
                      <w:rFonts w:eastAsiaTheme="minorEastAsia"/>
                      <w:szCs w:val="21"/>
                    </w:rPr>
                  </w:pPr>
                  <w:r>
                    <w:rPr>
                      <w:rFonts w:hint="eastAsia" w:eastAsiaTheme="minorEastAsia"/>
                      <w:szCs w:val="21"/>
                    </w:rPr>
                    <w:t>-15</w:t>
                  </w:r>
                </w:p>
              </w:tc>
              <w:tc>
                <w:tcPr>
                  <w:tcW w:w="282" w:type="pct"/>
                  <w:vAlign w:val="center"/>
                </w:tcPr>
                <w:p w14:paraId="09C6CD0F">
                  <w:pPr>
                    <w:jc w:val="center"/>
                    <w:rPr>
                      <w:rFonts w:eastAsiaTheme="minorEastAsia"/>
                      <w:szCs w:val="21"/>
                    </w:rPr>
                  </w:pPr>
                  <w:r>
                    <w:rPr>
                      <w:rFonts w:hint="eastAsia" w:eastAsiaTheme="minorEastAsia"/>
                      <w:szCs w:val="21"/>
                    </w:rPr>
                    <w:t>-10</w:t>
                  </w:r>
                </w:p>
              </w:tc>
              <w:tc>
                <w:tcPr>
                  <w:tcW w:w="283" w:type="pct"/>
                  <w:vAlign w:val="center"/>
                </w:tcPr>
                <w:p w14:paraId="32446E74">
                  <w:pPr>
                    <w:jc w:val="center"/>
                    <w:rPr>
                      <w:rFonts w:eastAsiaTheme="minorEastAsia"/>
                      <w:szCs w:val="21"/>
                    </w:rPr>
                  </w:pPr>
                  <w:r>
                    <w:rPr>
                      <w:rFonts w:hint="eastAsia" w:eastAsiaTheme="minorEastAsia"/>
                      <w:szCs w:val="21"/>
                    </w:rPr>
                    <w:t>0</w:t>
                  </w:r>
                </w:p>
              </w:tc>
              <w:tc>
                <w:tcPr>
                  <w:tcW w:w="236" w:type="pct"/>
                  <w:vAlign w:val="center"/>
                </w:tcPr>
                <w:p w14:paraId="63D22911">
                  <w:pPr>
                    <w:jc w:val="center"/>
                    <w:rPr>
                      <w:rFonts w:eastAsiaTheme="minorEastAsia"/>
                      <w:szCs w:val="21"/>
                    </w:rPr>
                  </w:pPr>
                  <w:r>
                    <w:rPr>
                      <w:rFonts w:hint="eastAsia" w:eastAsiaTheme="minorEastAsia"/>
                      <w:szCs w:val="21"/>
                    </w:rPr>
                    <w:t>14</w:t>
                  </w:r>
                </w:p>
              </w:tc>
              <w:tc>
                <w:tcPr>
                  <w:tcW w:w="235" w:type="pct"/>
                  <w:vAlign w:val="center"/>
                </w:tcPr>
                <w:p w14:paraId="3CAA980B">
                  <w:pPr>
                    <w:jc w:val="center"/>
                    <w:rPr>
                      <w:rFonts w:eastAsiaTheme="minorEastAsia"/>
                      <w:szCs w:val="21"/>
                    </w:rPr>
                  </w:pPr>
                  <w:r>
                    <w:rPr>
                      <w:rFonts w:hint="eastAsia" w:eastAsiaTheme="minorEastAsia"/>
                      <w:szCs w:val="21"/>
                    </w:rPr>
                    <w:t>46</w:t>
                  </w:r>
                </w:p>
              </w:tc>
              <w:tc>
                <w:tcPr>
                  <w:tcW w:w="236" w:type="pct"/>
                  <w:vAlign w:val="center"/>
                </w:tcPr>
                <w:p w14:paraId="36DEF90F">
                  <w:pPr>
                    <w:jc w:val="center"/>
                    <w:rPr>
                      <w:rFonts w:eastAsiaTheme="minorEastAsia"/>
                      <w:szCs w:val="21"/>
                    </w:rPr>
                  </w:pPr>
                  <w:r>
                    <w:rPr>
                      <w:rFonts w:hint="eastAsia" w:eastAsiaTheme="minorEastAsia"/>
                      <w:szCs w:val="21"/>
                    </w:rPr>
                    <w:t>126</w:t>
                  </w:r>
                </w:p>
              </w:tc>
              <w:tc>
                <w:tcPr>
                  <w:tcW w:w="235" w:type="pct"/>
                  <w:vAlign w:val="center"/>
                </w:tcPr>
                <w:p w14:paraId="6E8ED365">
                  <w:pPr>
                    <w:jc w:val="center"/>
                    <w:rPr>
                      <w:rFonts w:eastAsiaTheme="minorEastAsia"/>
                      <w:szCs w:val="21"/>
                    </w:rPr>
                  </w:pPr>
                  <w:r>
                    <w:rPr>
                      <w:rFonts w:hint="eastAsia" w:eastAsiaTheme="minorEastAsia"/>
                      <w:szCs w:val="21"/>
                    </w:rPr>
                    <w:t>8</w:t>
                  </w:r>
                </w:p>
              </w:tc>
              <w:tc>
                <w:tcPr>
                  <w:tcW w:w="288" w:type="pct"/>
                  <w:vAlign w:val="center"/>
                </w:tcPr>
                <w:p w14:paraId="0B1A1654">
                  <w:pPr>
                    <w:jc w:val="center"/>
                    <w:rPr>
                      <w:rFonts w:eastAsiaTheme="minorEastAsia"/>
                      <w:szCs w:val="21"/>
                    </w:rPr>
                  </w:pPr>
                  <w:r>
                    <w:rPr>
                      <w:rFonts w:hint="eastAsia" w:eastAsiaTheme="minorEastAsia"/>
                      <w:szCs w:val="21"/>
                    </w:rPr>
                    <w:t>57.1</w:t>
                  </w:r>
                </w:p>
              </w:tc>
              <w:tc>
                <w:tcPr>
                  <w:tcW w:w="281" w:type="pct"/>
                  <w:vAlign w:val="center"/>
                </w:tcPr>
                <w:p w14:paraId="6A85BDC1">
                  <w:pPr>
                    <w:jc w:val="center"/>
                    <w:rPr>
                      <w:rFonts w:eastAsiaTheme="minorEastAsia"/>
                      <w:szCs w:val="21"/>
                    </w:rPr>
                  </w:pPr>
                  <w:r>
                    <w:rPr>
                      <w:rFonts w:hint="eastAsia" w:eastAsiaTheme="minorEastAsia"/>
                      <w:szCs w:val="21"/>
                    </w:rPr>
                    <w:t>46.7</w:t>
                  </w:r>
                </w:p>
              </w:tc>
              <w:tc>
                <w:tcPr>
                  <w:tcW w:w="330" w:type="pct"/>
                  <w:vAlign w:val="center"/>
                </w:tcPr>
                <w:p w14:paraId="100185E0">
                  <w:pPr>
                    <w:jc w:val="center"/>
                    <w:rPr>
                      <w:rFonts w:eastAsiaTheme="minorEastAsia"/>
                      <w:szCs w:val="21"/>
                    </w:rPr>
                  </w:pPr>
                  <w:r>
                    <w:rPr>
                      <w:rFonts w:hint="eastAsia" w:eastAsiaTheme="minorEastAsia"/>
                      <w:szCs w:val="21"/>
                    </w:rPr>
                    <w:t>38.0</w:t>
                  </w:r>
                </w:p>
              </w:tc>
              <w:tc>
                <w:tcPr>
                  <w:tcW w:w="285" w:type="pct"/>
                  <w:vAlign w:val="center"/>
                </w:tcPr>
                <w:p w14:paraId="6BE7E20A">
                  <w:pPr>
                    <w:jc w:val="center"/>
                    <w:rPr>
                      <w:rFonts w:eastAsiaTheme="minorEastAsia"/>
                      <w:szCs w:val="21"/>
                    </w:rPr>
                  </w:pPr>
                  <w:r>
                    <w:rPr>
                      <w:rFonts w:hint="eastAsia" w:eastAsiaTheme="minorEastAsia"/>
                      <w:szCs w:val="21"/>
                    </w:rPr>
                    <w:t>61.9</w:t>
                  </w:r>
                </w:p>
              </w:tc>
              <w:tc>
                <w:tcPr>
                  <w:tcW w:w="225" w:type="pct"/>
                  <w:vAlign w:val="center"/>
                </w:tcPr>
                <w:p w14:paraId="7AC8DAA8">
                  <w:pPr>
                    <w:jc w:val="center"/>
                    <w:rPr>
                      <w:rFonts w:eastAsiaTheme="minorEastAsia"/>
                      <w:szCs w:val="21"/>
                    </w:rPr>
                  </w:pPr>
                  <w:r>
                    <w:rPr>
                      <w:rFonts w:hint="eastAsia" w:hAnsiTheme="minorEastAsia" w:eastAsiaTheme="minorEastAsia"/>
                      <w:bCs/>
                      <w:kern w:val="0"/>
                      <w:szCs w:val="21"/>
                    </w:rPr>
                    <w:t>8h</w:t>
                  </w:r>
                </w:p>
              </w:tc>
            </w:tr>
            <w:tr w14:paraId="0964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7C8553F8">
                  <w:pPr>
                    <w:jc w:val="center"/>
                    <w:rPr>
                      <w:rFonts w:eastAsiaTheme="minorEastAsia"/>
                      <w:szCs w:val="21"/>
                    </w:rPr>
                  </w:pPr>
                  <w:r>
                    <w:rPr>
                      <w:rFonts w:hint="eastAsia" w:eastAsiaTheme="minorEastAsia"/>
                      <w:szCs w:val="21"/>
                    </w:rPr>
                    <w:t>18</w:t>
                  </w:r>
                </w:p>
              </w:tc>
              <w:tc>
                <w:tcPr>
                  <w:tcW w:w="216" w:type="pct"/>
                  <w:vMerge w:val="continue"/>
                  <w:vAlign w:val="center"/>
                </w:tcPr>
                <w:p w14:paraId="62492765">
                  <w:pPr>
                    <w:jc w:val="center"/>
                    <w:rPr>
                      <w:rFonts w:eastAsiaTheme="minorEastAsia"/>
                      <w:szCs w:val="21"/>
                    </w:rPr>
                  </w:pPr>
                </w:p>
              </w:tc>
              <w:tc>
                <w:tcPr>
                  <w:tcW w:w="371" w:type="pct"/>
                  <w:vAlign w:val="center"/>
                </w:tcPr>
                <w:p w14:paraId="42EE1B4F">
                  <w:pPr>
                    <w:jc w:val="center"/>
                    <w:rPr>
                      <w:rFonts w:hAnsiTheme="minorEastAsia" w:eastAsiaTheme="minorEastAsia"/>
                      <w:szCs w:val="21"/>
                    </w:rPr>
                  </w:pPr>
                  <w:r>
                    <w:rPr>
                      <w:rFonts w:hint="eastAsia" w:hAnsiTheme="minorEastAsia" w:eastAsiaTheme="minorEastAsia"/>
                      <w:szCs w:val="21"/>
                    </w:rPr>
                    <w:t>纸盒打样介稿机</w:t>
                  </w:r>
                </w:p>
              </w:tc>
              <w:tc>
                <w:tcPr>
                  <w:tcW w:w="281" w:type="pct"/>
                  <w:vAlign w:val="center"/>
                </w:tcPr>
                <w:p w14:paraId="38A4C66D">
                  <w:pPr>
                    <w:jc w:val="center"/>
                    <w:rPr>
                      <w:rFonts w:eastAsiaTheme="minorEastAsia"/>
                      <w:szCs w:val="21"/>
                    </w:rPr>
                  </w:pPr>
                  <w:r>
                    <w:rPr>
                      <w:rFonts w:hint="eastAsia" w:eastAsiaTheme="minorEastAsia"/>
                      <w:szCs w:val="21"/>
                    </w:rPr>
                    <w:t>1</w:t>
                  </w:r>
                </w:p>
              </w:tc>
              <w:tc>
                <w:tcPr>
                  <w:tcW w:w="464" w:type="pct"/>
                  <w:vAlign w:val="center"/>
                </w:tcPr>
                <w:p w14:paraId="2AD132D6">
                  <w:pPr>
                    <w:jc w:val="center"/>
                    <w:rPr>
                      <w:rFonts w:eastAsiaTheme="minorEastAsia"/>
                      <w:szCs w:val="21"/>
                    </w:rPr>
                  </w:pPr>
                  <w:r>
                    <w:rPr>
                      <w:rFonts w:hint="eastAsia" w:eastAsiaTheme="minorEastAsia"/>
                      <w:szCs w:val="21"/>
                    </w:rPr>
                    <w:t>80/1</w:t>
                  </w:r>
                </w:p>
              </w:tc>
              <w:tc>
                <w:tcPr>
                  <w:tcW w:w="305" w:type="pct"/>
                  <w:vMerge w:val="continue"/>
                </w:tcPr>
                <w:p w14:paraId="7AE3F289">
                  <w:pPr>
                    <w:jc w:val="center"/>
                    <w:rPr>
                      <w:szCs w:val="21"/>
                    </w:rPr>
                  </w:pPr>
                </w:p>
              </w:tc>
              <w:tc>
                <w:tcPr>
                  <w:tcW w:w="283" w:type="pct"/>
                  <w:vAlign w:val="center"/>
                </w:tcPr>
                <w:p w14:paraId="0F0A90CD">
                  <w:pPr>
                    <w:jc w:val="center"/>
                    <w:rPr>
                      <w:rFonts w:eastAsiaTheme="minorEastAsia"/>
                      <w:szCs w:val="21"/>
                    </w:rPr>
                  </w:pPr>
                  <w:r>
                    <w:rPr>
                      <w:rFonts w:hint="eastAsia" w:eastAsiaTheme="minorEastAsia"/>
                      <w:szCs w:val="21"/>
                    </w:rPr>
                    <w:t>-20</w:t>
                  </w:r>
                </w:p>
              </w:tc>
              <w:tc>
                <w:tcPr>
                  <w:tcW w:w="282" w:type="pct"/>
                  <w:vAlign w:val="center"/>
                </w:tcPr>
                <w:p w14:paraId="1DC2FB49">
                  <w:pPr>
                    <w:jc w:val="center"/>
                    <w:rPr>
                      <w:rFonts w:eastAsiaTheme="minorEastAsia"/>
                      <w:szCs w:val="21"/>
                    </w:rPr>
                  </w:pPr>
                  <w:r>
                    <w:rPr>
                      <w:rFonts w:hint="eastAsia" w:eastAsiaTheme="minorEastAsia"/>
                      <w:szCs w:val="21"/>
                    </w:rPr>
                    <w:t>-10</w:t>
                  </w:r>
                </w:p>
              </w:tc>
              <w:tc>
                <w:tcPr>
                  <w:tcW w:w="283" w:type="pct"/>
                  <w:vAlign w:val="center"/>
                </w:tcPr>
                <w:p w14:paraId="41EF378A">
                  <w:pPr>
                    <w:jc w:val="center"/>
                    <w:rPr>
                      <w:rFonts w:eastAsiaTheme="minorEastAsia"/>
                      <w:szCs w:val="21"/>
                    </w:rPr>
                  </w:pPr>
                  <w:r>
                    <w:rPr>
                      <w:rFonts w:hint="eastAsia" w:eastAsiaTheme="minorEastAsia"/>
                      <w:szCs w:val="21"/>
                    </w:rPr>
                    <w:t>0</w:t>
                  </w:r>
                </w:p>
              </w:tc>
              <w:tc>
                <w:tcPr>
                  <w:tcW w:w="236" w:type="pct"/>
                  <w:vAlign w:val="center"/>
                </w:tcPr>
                <w:p w14:paraId="2F1E7A28">
                  <w:pPr>
                    <w:jc w:val="center"/>
                    <w:rPr>
                      <w:rFonts w:eastAsiaTheme="minorEastAsia"/>
                      <w:szCs w:val="21"/>
                    </w:rPr>
                  </w:pPr>
                  <w:r>
                    <w:rPr>
                      <w:rFonts w:hint="eastAsia" w:eastAsiaTheme="minorEastAsia"/>
                      <w:szCs w:val="21"/>
                    </w:rPr>
                    <w:t>19</w:t>
                  </w:r>
                </w:p>
              </w:tc>
              <w:tc>
                <w:tcPr>
                  <w:tcW w:w="235" w:type="pct"/>
                  <w:vAlign w:val="center"/>
                </w:tcPr>
                <w:p w14:paraId="344EDEAD">
                  <w:pPr>
                    <w:jc w:val="center"/>
                    <w:rPr>
                      <w:rFonts w:eastAsiaTheme="minorEastAsia"/>
                      <w:szCs w:val="21"/>
                    </w:rPr>
                  </w:pPr>
                  <w:r>
                    <w:rPr>
                      <w:rFonts w:hint="eastAsia" w:eastAsiaTheme="minorEastAsia"/>
                      <w:szCs w:val="21"/>
                    </w:rPr>
                    <w:t>46</w:t>
                  </w:r>
                </w:p>
              </w:tc>
              <w:tc>
                <w:tcPr>
                  <w:tcW w:w="236" w:type="pct"/>
                  <w:vAlign w:val="center"/>
                </w:tcPr>
                <w:p w14:paraId="6C7404BB">
                  <w:pPr>
                    <w:jc w:val="center"/>
                    <w:rPr>
                      <w:rFonts w:eastAsiaTheme="minorEastAsia"/>
                      <w:szCs w:val="21"/>
                    </w:rPr>
                  </w:pPr>
                  <w:r>
                    <w:rPr>
                      <w:rFonts w:hint="eastAsia" w:eastAsiaTheme="minorEastAsia"/>
                      <w:szCs w:val="21"/>
                    </w:rPr>
                    <w:t>120</w:t>
                  </w:r>
                </w:p>
              </w:tc>
              <w:tc>
                <w:tcPr>
                  <w:tcW w:w="235" w:type="pct"/>
                  <w:vAlign w:val="center"/>
                </w:tcPr>
                <w:p w14:paraId="3475F2B7">
                  <w:pPr>
                    <w:jc w:val="center"/>
                    <w:rPr>
                      <w:rFonts w:eastAsiaTheme="minorEastAsia"/>
                      <w:szCs w:val="21"/>
                    </w:rPr>
                  </w:pPr>
                  <w:r>
                    <w:rPr>
                      <w:rFonts w:hint="eastAsia" w:eastAsiaTheme="minorEastAsia"/>
                      <w:szCs w:val="21"/>
                    </w:rPr>
                    <w:t>8</w:t>
                  </w:r>
                </w:p>
              </w:tc>
              <w:tc>
                <w:tcPr>
                  <w:tcW w:w="288" w:type="pct"/>
                  <w:vAlign w:val="center"/>
                </w:tcPr>
                <w:p w14:paraId="61B52D04">
                  <w:pPr>
                    <w:jc w:val="center"/>
                    <w:rPr>
                      <w:rFonts w:eastAsiaTheme="minorEastAsia"/>
                      <w:szCs w:val="21"/>
                    </w:rPr>
                  </w:pPr>
                  <w:r>
                    <w:rPr>
                      <w:rFonts w:hint="eastAsia" w:eastAsiaTheme="minorEastAsia"/>
                      <w:szCs w:val="21"/>
                    </w:rPr>
                    <w:t>54.4</w:t>
                  </w:r>
                </w:p>
              </w:tc>
              <w:tc>
                <w:tcPr>
                  <w:tcW w:w="281" w:type="pct"/>
                  <w:vAlign w:val="center"/>
                </w:tcPr>
                <w:p w14:paraId="431578CE">
                  <w:pPr>
                    <w:jc w:val="center"/>
                    <w:rPr>
                      <w:rFonts w:eastAsiaTheme="minorEastAsia"/>
                      <w:szCs w:val="21"/>
                    </w:rPr>
                  </w:pPr>
                  <w:r>
                    <w:rPr>
                      <w:rFonts w:hint="eastAsia" w:eastAsiaTheme="minorEastAsia"/>
                      <w:szCs w:val="21"/>
                    </w:rPr>
                    <w:t>46.7</w:t>
                  </w:r>
                </w:p>
              </w:tc>
              <w:tc>
                <w:tcPr>
                  <w:tcW w:w="330" w:type="pct"/>
                  <w:vAlign w:val="center"/>
                </w:tcPr>
                <w:p w14:paraId="6AE05706">
                  <w:pPr>
                    <w:jc w:val="center"/>
                    <w:rPr>
                      <w:rFonts w:eastAsiaTheme="minorEastAsia"/>
                      <w:szCs w:val="21"/>
                    </w:rPr>
                  </w:pPr>
                  <w:r>
                    <w:rPr>
                      <w:rFonts w:hint="eastAsia" w:eastAsiaTheme="minorEastAsia"/>
                      <w:szCs w:val="21"/>
                    </w:rPr>
                    <w:t>38.4</w:t>
                  </w:r>
                </w:p>
              </w:tc>
              <w:tc>
                <w:tcPr>
                  <w:tcW w:w="285" w:type="pct"/>
                  <w:vAlign w:val="center"/>
                </w:tcPr>
                <w:p w14:paraId="155E5905">
                  <w:pPr>
                    <w:jc w:val="center"/>
                    <w:rPr>
                      <w:rFonts w:eastAsiaTheme="minorEastAsia"/>
                      <w:szCs w:val="21"/>
                    </w:rPr>
                  </w:pPr>
                  <w:r>
                    <w:rPr>
                      <w:rFonts w:hint="eastAsia" w:eastAsiaTheme="minorEastAsia"/>
                      <w:szCs w:val="21"/>
                    </w:rPr>
                    <w:t>61.9</w:t>
                  </w:r>
                </w:p>
              </w:tc>
              <w:tc>
                <w:tcPr>
                  <w:tcW w:w="225" w:type="pct"/>
                  <w:vAlign w:val="center"/>
                </w:tcPr>
                <w:p w14:paraId="6136B39A">
                  <w:pPr>
                    <w:jc w:val="center"/>
                    <w:rPr>
                      <w:rFonts w:eastAsiaTheme="minorEastAsia"/>
                      <w:szCs w:val="21"/>
                    </w:rPr>
                  </w:pPr>
                  <w:r>
                    <w:rPr>
                      <w:rFonts w:hint="eastAsia" w:hAnsiTheme="minorEastAsia" w:eastAsiaTheme="minorEastAsia"/>
                      <w:bCs/>
                      <w:kern w:val="0"/>
                      <w:szCs w:val="21"/>
                    </w:rPr>
                    <w:t>8h</w:t>
                  </w:r>
                </w:p>
              </w:tc>
            </w:tr>
            <w:tr w14:paraId="774B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7805C7F2">
                  <w:pPr>
                    <w:jc w:val="center"/>
                    <w:rPr>
                      <w:rFonts w:eastAsiaTheme="minorEastAsia"/>
                      <w:szCs w:val="21"/>
                    </w:rPr>
                  </w:pPr>
                  <w:r>
                    <w:rPr>
                      <w:rFonts w:hint="eastAsia" w:eastAsiaTheme="minorEastAsia"/>
                      <w:szCs w:val="21"/>
                    </w:rPr>
                    <w:t>19</w:t>
                  </w:r>
                </w:p>
              </w:tc>
              <w:tc>
                <w:tcPr>
                  <w:tcW w:w="216" w:type="pct"/>
                  <w:vMerge w:val="continue"/>
                  <w:vAlign w:val="center"/>
                </w:tcPr>
                <w:p w14:paraId="33464550">
                  <w:pPr>
                    <w:jc w:val="center"/>
                    <w:rPr>
                      <w:rFonts w:eastAsiaTheme="minorEastAsia"/>
                      <w:szCs w:val="21"/>
                    </w:rPr>
                  </w:pPr>
                </w:p>
              </w:tc>
              <w:tc>
                <w:tcPr>
                  <w:tcW w:w="371" w:type="pct"/>
                  <w:vAlign w:val="center"/>
                </w:tcPr>
                <w:p w14:paraId="0D1FC49D">
                  <w:pPr>
                    <w:jc w:val="center"/>
                    <w:rPr>
                      <w:rFonts w:hAnsiTheme="minorEastAsia" w:eastAsiaTheme="minorEastAsia"/>
                      <w:szCs w:val="21"/>
                    </w:rPr>
                  </w:pPr>
                  <w:r>
                    <w:rPr>
                      <w:rFonts w:hint="eastAsia" w:hAnsiTheme="minorEastAsia" w:eastAsiaTheme="minorEastAsia"/>
                      <w:szCs w:val="21"/>
                    </w:rPr>
                    <w:t>空压机</w:t>
                  </w:r>
                </w:p>
              </w:tc>
              <w:tc>
                <w:tcPr>
                  <w:tcW w:w="281" w:type="pct"/>
                  <w:vAlign w:val="center"/>
                </w:tcPr>
                <w:p w14:paraId="4CEBF793">
                  <w:pPr>
                    <w:jc w:val="center"/>
                    <w:rPr>
                      <w:rFonts w:eastAsiaTheme="minorEastAsia"/>
                      <w:szCs w:val="21"/>
                    </w:rPr>
                  </w:pPr>
                  <w:r>
                    <w:rPr>
                      <w:rFonts w:hint="eastAsia" w:eastAsiaTheme="minorEastAsia"/>
                      <w:szCs w:val="21"/>
                    </w:rPr>
                    <w:t>1</w:t>
                  </w:r>
                </w:p>
              </w:tc>
              <w:tc>
                <w:tcPr>
                  <w:tcW w:w="464" w:type="pct"/>
                </w:tcPr>
                <w:p w14:paraId="2E8FA96C">
                  <w:pPr>
                    <w:jc w:val="center"/>
                  </w:pPr>
                  <w:r>
                    <w:rPr>
                      <w:rFonts w:hint="eastAsia" w:eastAsiaTheme="minorEastAsia"/>
                      <w:szCs w:val="21"/>
                    </w:rPr>
                    <w:t>85/1</w:t>
                  </w:r>
                </w:p>
              </w:tc>
              <w:tc>
                <w:tcPr>
                  <w:tcW w:w="305" w:type="pct"/>
                  <w:vMerge w:val="continue"/>
                </w:tcPr>
                <w:p w14:paraId="2426DA1B">
                  <w:pPr>
                    <w:jc w:val="center"/>
                    <w:rPr>
                      <w:szCs w:val="21"/>
                    </w:rPr>
                  </w:pPr>
                </w:p>
              </w:tc>
              <w:tc>
                <w:tcPr>
                  <w:tcW w:w="283" w:type="pct"/>
                  <w:vAlign w:val="center"/>
                </w:tcPr>
                <w:p w14:paraId="7143C2EC">
                  <w:pPr>
                    <w:jc w:val="center"/>
                    <w:rPr>
                      <w:rFonts w:eastAsiaTheme="minorEastAsia"/>
                      <w:szCs w:val="21"/>
                    </w:rPr>
                  </w:pPr>
                  <w:r>
                    <w:rPr>
                      <w:rFonts w:hint="eastAsia" w:eastAsiaTheme="minorEastAsia"/>
                      <w:szCs w:val="21"/>
                    </w:rPr>
                    <w:t>-5</w:t>
                  </w:r>
                </w:p>
              </w:tc>
              <w:tc>
                <w:tcPr>
                  <w:tcW w:w="282" w:type="pct"/>
                  <w:vAlign w:val="center"/>
                </w:tcPr>
                <w:p w14:paraId="5F15FD2C">
                  <w:pPr>
                    <w:jc w:val="center"/>
                    <w:rPr>
                      <w:rFonts w:eastAsiaTheme="minorEastAsia"/>
                      <w:szCs w:val="21"/>
                    </w:rPr>
                  </w:pPr>
                  <w:r>
                    <w:rPr>
                      <w:rFonts w:hint="eastAsia" w:eastAsiaTheme="minorEastAsia"/>
                      <w:szCs w:val="21"/>
                    </w:rPr>
                    <w:t>-45</w:t>
                  </w:r>
                </w:p>
              </w:tc>
              <w:tc>
                <w:tcPr>
                  <w:tcW w:w="283" w:type="pct"/>
                  <w:vAlign w:val="center"/>
                </w:tcPr>
                <w:p w14:paraId="30F95596">
                  <w:pPr>
                    <w:jc w:val="center"/>
                    <w:rPr>
                      <w:rFonts w:eastAsiaTheme="minorEastAsia"/>
                      <w:szCs w:val="21"/>
                    </w:rPr>
                  </w:pPr>
                  <w:r>
                    <w:rPr>
                      <w:rFonts w:hint="eastAsia" w:eastAsiaTheme="minorEastAsia"/>
                      <w:szCs w:val="21"/>
                    </w:rPr>
                    <w:t>0</w:t>
                  </w:r>
                </w:p>
              </w:tc>
              <w:tc>
                <w:tcPr>
                  <w:tcW w:w="236" w:type="pct"/>
                  <w:vAlign w:val="center"/>
                </w:tcPr>
                <w:p w14:paraId="25A045BC">
                  <w:pPr>
                    <w:jc w:val="center"/>
                    <w:rPr>
                      <w:rFonts w:eastAsiaTheme="minorEastAsia"/>
                      <w:szCs w:val="21"/>
                    </w:rPr>
                  </w:pPr>
                  <w:r>
                    <w:rPr>
                      <w:rFonts w:hint="eastAsia" w:eastAsiaTheme="minorEastAsia"/>
                      <w:szCs w:val="21"/>
                    </w:rPr>
                    <w:t>5</w:t>
                  </w:r>
                </w:p>
              </w:tc>
              <w:tc>
                <w:tcPr>
                  <w:tcW w:w="235" w:type="pct"/>
                  <w:vAlign w:val="center"/>
                </w:tcPr>
                <w:p w14:paraId="090762E9">
                  <w:pPr>
                    <w:jc w:val="center"/>
                    <w:rPr>
                      <w:rFonts w:eastAsiaTheme="minorEastAsia"/>
                      <w:szCs w:val="21"/>
                    </w:rPr>
                  </w:pPr>
                  <w:r>
                    <w:rPr>
                      <w:rFonts w:hint="eastAsia" w:eastAsiaTheme="minorEastAsia"/>
                      <w:szCs w:val="21"/>
                    </w:rPr>
                    <w:t>9</w:t>
                  </w:r>
                </w:p>
              </w:tc>
              <w:tc>
                <w:tcPr>
                  <w:tcW w:w="236" w:type="pct"/>
                  <w:vAlign w:val="center"/>
                </w:tcPr>
                <w:p w14:paraId="647816FF">
                  <w:pPr>
                    <w:jc w:val="center"/>
                    <w:rPr>
                      <w:rFonts w:eastAsiaTheme="minorEastAsia"/>
                      <w:szCs w:val="21"/>
                    </w:rPr>
                  </w:pPr>
                  <w:r>
                    <w:rPr>
                      <w:rFonts w:hint="eastAsia" w:eastAsiaTheme="minorEastAsia"/>
                      <w:szCs w:val="21"/>
                    </w:rPr>
                    <w:t>135</w:t>
                  </w:r>
                </w:p>
              </w:tc>
              <w:tc>
                <w:tcPr>
                  <w:tcW w:w="235" w:type="pct"/>
                  <w:vAlign w:val="center"/>
                </w:tcPr>
                <w:p w14:paraId="12EFF5DF">
                  <w:pPr>
                    <w:jc w:val="center"/>
                    <w:rPr>
                      <w:rFonts w:eastAsiaTheme="minorEastAsia"/>
                      <w:szCs w:val="21"/>
                    </w:rPr>
                  </w:pPr>
                  <w:r>
                    <w:rPr>
                      <w:rFonts w:hint="eastAsia" w:eastAsiaTheme="minorEastAsia"/>
                      <w:szCs w:val="21"/>
                    </w:rPr>
                    <w:t>45</w:t>
                  </w:r>
                </w:p>
              </w:tc>
              <w:tc>
                <w:tcPr>
                  <w:tcW w:w="288" w:type="pct"/>
                  <w:vAlign w:val="center"/>
                </w:tcPr>
                <w:p w14:paraId="7D2766A9">
                  <w:pPr>
                    <w:jc w:val="center"/>
                    <w:rPr>
                      <w:rFonts w:eastAsiaTheme="minorEastAsia"/>
                      <w:szCs w:val="21"/>
                    </w:rPr>
                  </w:pPr>
                  <w:r>
                    <w:rPr>
                      <w:rFonts w:hint="eastAsia" w:eastAsiaTheme="minorEastAsia"/>
                      <w:szCs w:val="21"/>
                    </w:rPr>
                    <w:t>71.0</w:t>
                  </w:r>
                </w:p>
              </w:tc>
              <w:tc>
                <w:tcPr>
                  <w:tcW w:w="281" w:type="pct"/>
                  <w:vAlign w:val="center"/>
                </w:tcPr>
                <w:p w14:paraId="4504203B">
                  <w:pPr>
                    <w:jc w:val="center"/>
                    <w:rPr>
                      <w:rFonts w:eastAsiaTheme="minorEastAsia"/>
                      <w:szCs w:val="21"/>
                    </w:rPr>
                  </w:pPr>
                  <w:r>
                    <w:rPr>
                      <w:rFonts w:hint="eastAsia" w:eastAsiaTheme="minorEastAsia"/>
                      <w:szCs w:val="21"/>
                    </w:rPr>
                    <w:t>65.9</w:t>
                  </w:r>
                </w:p>
              </w:tc>
              <w:tc>
                <w:tcPr>
                  <w:tcW w:w="330" w:type="pct"/>
                  <w:vAlign w:val="center"/>
                </w:tcPr>
                <w:p w14:paraId="093C5BE1">
                  <w:pPr>
                    <w:jc w:val="center"/>
                    <w:rPr>
                      <w:rFonts w:eastAsiaTheme="minorEastAsia"/>
                      <w:szCs w:val="21"/>
                    </w:rPr>
                  </w:pPr>
                  <w:r>
                    <w:rPr>
                      <w:rFonts w:hint="eastAsia" w:eastAsiaTheme="minorEastAsia"/>
                      <w:szCs w:val="21"/>
                    </w:rPr>
                    <w:t>42.4</w:t>
                  </w:r>
                </w:p>
              </w:tc>
              <w:tc>
                <w:tcPr>
                  <w:tcW w:w="285" w:type="pct"/>
                  <w:vAlign w:val="center"/>
                </w:tcPr>
                <w:p w14:paraId="406878E2">
                  <w:pPr>
                    <w:jc w:val="center"/>
                    <w:rPr>
                      <w:rFonts w:eastAsiaTheme="minorEastAsia"/>
                      <w:szCs w:val="21"/>
                    </w:rPr>
                  </w:pPr>
                  <w:r>
                    <w:rPr>
                      <w:rFonts w:hint="eastAsia" w:eastAsiaTheme="minorEastAsia"/>
                      <w:szCs w:val="21"/>
                    </w:rPr>
                    <w:t>51.9</w:t>
                  </w:r>
                </w:p>
              </w:tc>
              <w:tc>
                <w:tcPr>
                  <w:tcW w:w="225" w:type="pct"/>
                </w:tcPr>
                <w:p w14:paraId="41C85B8B">
                  <w:pPr>
                    <w:jc w:val="center"/>
                  </w:pPr>
                  <w:r>
                    <w:rPr>
                      <w:rFonts w:hint="eastAsia" w:hAnsiTheme="minorEastAsia" w:eastAsiaTheme="minorEastAsia"/>
                      <w:bCs/>
                      <w:kern w:val="0"/>
                      <w:szCs w:val="21"/>
                    </w:rPr>
                    <w:t>20h</w:t>
                  </w:r>
                </w:p>
              </w:tc>
            </w:tr>
            <w:tr w14:paraId="32E1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7D2D573F">
                  <w:pPr>
                    <w:jc w:val="center"/>
                    <w:rPr>
                      <w:rFonts w:eastAsiaTheme="minorEastAsia"/>
                      <w:szCs w:val="21"/>
                    </w:rPr>
                  </w:pPr>
                  <w:r>
                    <w:rPr>
                      <w:rFonts w:hint="eastAsia" w:eastAsiaTheme="minorEastAsia"/>
                      <w:szCs w:val="21"/>
                    </w:rPr>
                    <w:t>20</w:t>
                  </w:r>
                </w:p>
              </w:tc>
              <w:tc>
                <w:tcPr>
                  <w:tcW w:w="216" w:type="pct"/>
                  <w:vMerge w:val="continue"/>
                  <w:vAlign w:val="center"/>
                </w:tcPr>
                <w:p w14:paraId="0D81467C">
                  <w:pPr>
                    <w:jc w:val="center"/>
                    <w:rPr>
                      <w:rFonts w:eastAsiaTheme="minorEastAsia"/>
                      <w:szCs w:val="21"/>
                    </w:rPr>
                  </w:pPr>
                </w:p>
              </w:tc>
              <w:tc>
                <w:tcPr>
                  <w:tcW w:w="371" w:type="pct"/>
                  <w:vAlign w:val="center"/>
                </w:tcPr>
                <w:p w14:paraId="2369CF05">
                  <w:pPr>
                    <w:jc w:val="center"/>
                    <w:rPr>
                      <w:rFonts w:hAnsiTheme="minorEastAsia" w:eastAsiaTheme="minorEastAsia"/>
                      <w:szCs w:val="21"/>
                    </w:rPr>
                  </w:pPr>
                  <w:r>
                    <w:rPr>
                      <w:rFonts w:hint="eastAsia" w:hAnsiTheme="minorEastAsia" w:eastAsiaTheme="minorEastAsia"/>
                      <w:szCs w:val="21"/>
                    </w:rPr>
                    <w:t>空压机</w:t>
                  </w:r>
                </w:p>
              </w:tc>
              <w:tc>
                <w:tcPr>
                  <w:tcW w:w="281" w:type="pct"/>
                  <w:vAlign w:val="center"/>
                </w:tcPr>
                <w:p w14:paraId="14030FDF">
                  <w:pPr>
                    <w:jc w:val="center"/>
                    <w:rPr>
                      <w:rFonts w:eastAsiaTheme="minorEastAsia"/>
                      <w:szCs w:val="21"/>
                    </w:rPr>
                  </w:pPr>
                  <w:r>
                    <w:rPr>
                      <w:rFonts w:hint="eastAsia" w:eastAsiaTheme="minorEastAsia"/>
                      <w:szCs w:val="21"/>
                    </w:rPr>
                    <w:t>1</w:t>
                  </w:r>
                </w:p>
              </w:tc>
              <w:tc>
                <w:tcPr>
                  <w:tcW w:w="464" w:type="pct"/>
                </w:tcPr>
                <w:p w14:paraId="27E5A9B9">
                  <w:pPr>
                    <w:jc w:val="center"/>
                  </w:pPr>
                  <w:r>
                    <w:rPr>
                      <w:rFonts w:hint="eastAsia" w:eastAsiaTheme="minorEastAsia"/>
                      <w:szCs w:val="21"/>
                    </w:rPr>
                    <w:t>85/1</w:t>
                  </w:r>
                </w:p>
              </w:tc>
              <w:tc>
                <w:tcPr>
                  <w:tcW w:w="305" w:type="pct"/>
                  <w:vMerge w:val="continue"/>
                </w:tcPr>
                <w:p w14:paraId="58CF1090">
                  <w:pPr>
                    <w:jc w:val="center"/>
                    <w:rPr>
                      <w:szCs w:val="21"/>
                    </w:rPr>
                  </w:pPr>
                </w:p>
              </w:tc>
              <w:tc>
                <w:tcPr>
                  <w:tcW w:w="283" w:type="pct"/>
                  <w:vAlign w:val="center"/>
                </w:tcPr>
                <w:p w14:paraId="63BF959D">
                  <w:pPr>
                    <w:jc w:val="center"/>
                    <w:rPr>
                      <w:rFonts w:eastAsiaTheme="minorEastAsia"/>
                      <w:szCs w:val="21"/>
                    </w:rPr>
                  </w:pPr>
                  <w:r>
                    <w:rPr>
                      <w:rFonts w:hint="eastAsia" w:eastAsiaTheme="minorEastAsia"/>
                      <w:szCs w:val="21"/>
                    </w:rPr>
                    <w:t>-5</w:t>
                  </w:r>
                </w:p>
              </w:tc>
              <w:tc>
                <w:tcPr>
                  <w:tcW w:w="282" w:type="pct"/>
                  <w:vAlign w:val="center"/>
                </w:tcPr>
                <w:p w14:paraId="6FC62188">
                  <w:pPr>
                    <w:jc w:val="center"/>
                    <w:rPr>
                      <w:rFonts w:eastAsiaTheme="minorEastAsia"/>
                      <w:szCs w:val="21"/>
                    </w:rPr>
                  </w:pPr>
                  <w:r>
                    <w:rPr>
                      <w:rFonts w:hint="eastAsia" w:eastAsiaTheme="minorEastAsia"/>
                      <w:szCs w:val="21"/>
                    </w:rPr>
                    <w:t>-47</w:t>
                  </w:r>
                </w:p>
              </w:tc>
              <w:tc>
                <w:tcPr>
                  <w:tcW w:w="283" w:type="pct"/>
                  <w:vAlign w:val="center"/>
                </w:tcPr>
                <w:p w14:paraId="3435B918">
                  <w:pPr>
                    <w:jc w:val="center"/>
                    <w:rPr>
                      <w:rFonts w:eastAsiaTheme="minorEastAsia"/>
                      <w:szCs w:val="21"/>
                    </w:rPr>
                  </w:pPr>
                  <w:r>
                    <w:rPr>
                      <w:rFonts w:hint="eastAsia" w:eastAsiaTheme="minorEastAsia"/>
                      <w:szCs w:val="21"/>
                    </w:rPr>
                    <w:t>0</w:t>
                  </w:r>
                </w:p>
              </w:tc>
              <w:tc>
                <w:tcPr>
                  <w:tcW w:w="236" w:type="pct"/>
                  <w:vAlign w:val="center"/>
                </w:tcPr>
                <w:p w14:paraId="489384D5">
                  <w:pPr>
                    <w:jc w:val="center"/>
                    <w:rPr>
                      <w:rFonts w:eastAsiaTheme="minorEastAsia"/>
                      <w:szCs w:val="21"/>
                    </w:rPr>
                  </w:pPr>
                  <w:r>
                    <w:rPr>
                      <w:rFonts w:hint="eastAsia" w:eastAsiaTheme="minorEastAsia"/>
                      <w:szCs w:val="21"/>
                    </w:rPr>
                    <w:t>5</w:t>
                  </w:r>
                </w:p>
              </w:tc>
              <w:tc>
                <w:tcPr>
                  <w:tcW w:w="235" w:type="pct"/>
                  <w:vAlign w:val="center"/>
                </w:tcPr>
                <w:p w14:paraId="340335CC">
                  <w:pPr>
                    <w:jc w:val="center"/>
                    <w:rPr>
                      <w:rFonts w:eastAsiaTheme="minorEastAsia"/>
                      <w:szCs w:val="21"/>
                    </w:rPr>
                  </w:pPr>
                  <w:r>
                    <w:rPr>
                      <w:rFonts w:hint="eastAsia" w:eastAsiaTheme="minorEastAsia"/>
                      <w:szCs w:val="21"/>
                    </w:rPr>
                    <w:t>7</w:t>
                  </w:r>
                </w:p>
              </w:tc>
              <w:tc>
                <w:tcPr>
                  <w:tcW w:w="236" w:type="pct"/>
                  <w:vAlign w:val="center"/>
                </w:tcPr>
                <w:p w14:paraId="6180983F">
                  <w:pPr>
                    <w:jc w:val="center"/>
                    <w:rPr>
                      <w:rFonts w:eastAsiaTheme="minorEastAsia"/>
                      <w:szCs w:val="21"/>
                    </w:rPr>
                  </w:pPr>
                  <w:r>
                    <w:rPr>
                      <w:rFonts w:hint="eastAsia" w:eastAsiaTheme="minorEastAsia"/>
                      <w:szCs w:val="21"/>
                    </w:rPr>
                    <w:t>135</w:t>
                  </w:r>
                </w:p>
              </w:tc>
              <w:tc>
                <w:tcPr>
                  <w:tcW w:w="235" w:type="pct"/>
                  <w:vAlign w:val="center"/>
                </w:tcPr>
                <w:p w14:paraId="56E872E7">
                  <w:pPr>
                    <w:jc w:val="center"/>
                    <w:rPr>
                      <w:rFonts w:eastAsiaTheme="minorEastAsia"/>
                      <w:szCs w:val="21"/>
                    </w:rPr>
                  </w:pPr>
                  <w:r>
                    <w:rPr>
                      <w:rFonts w:hint="eastAsia" w:eastAsiaTheme="minorEastAsia"/>
                      <w:szCs w:val="21"/>
                    </w:rPr>
                    <w:t>47</w:t>
                  </w:r>
                </w:p>
              </w:tc>
              <w:tc>
                <w:tcPr>
                  <w:tcW w:w="288" w:type="pct"/>
                </w:tcPr>
                <w:p w14:paraId="1BF37A4D">
                  <w:pPr>
                    <w:jc w:val="center"/>
                  </w:pPr>
                  <w:r>
                    <w:rPr>
                      <w:rFonts w:hint="eastAsia" w:eastAsiaTheme="minorEastAsia"/>
                      <w:szCs w:val="21"/>
                    </w:rPr>
                    <w:t>71.0</w:t>
                  </w:r>
                </w:p>
              </w:tc>
              <w:tc>
                <w:tcPr>
                  <w:tcW w:w="281" w:type="pct"/>
                  <w:vAlign w:val="center"/>
                </w:tcPr>
                <w:p w14:paraId="41F95385">
                  <w:pPr>
                    <w:jc w:val="center"/>
                    <w:rPr>
                      <w:rFonts w:eastAsiaTheme="minorEastAsia"/>
                      <w:szCs w:val="21"/>
                    </w:rPr>
                  </w:pPr>
                  <w:r>
                    <w:rPr>
                      <w:rFonts w:hint="eastAsia" w:eastAsiaTheme="minorEastAsia"/>
                      <w:szCs w:val="21"/>
                    </w:rPr>
                    <w:t>68.1</w:t>
                  </w:r>
                </w:p>
              </w:tc>
              <w:tc>
                <w:tcPr>
                  <w:tcW w:w="330" w:type="pct"/>
                </w:tcPr>
                <w:p w14:paraId="08F8D901">
                  <w:pPr>
                    <w:jc w:val="center"/>
                  </w:pPr>
                  <w:r>
                    <w:rPr>
                      <w:rFonts w:hint="eastAsia" w:eastAsiaTheme="minorEastAsia"/>
                      <w:szCs w:val="21"/>
                    </w:rPr>
                    <w:t>42.4</w:t>
                  </w:r>
                </w:p>
              </w:tc>
              <w:tc>
                <w:tcPr>
                  <w:tcW w:w="285" w:type="pct"/>
                  <w:vAlign w:val="center"/>
                </w:tcPr>
                <w:p w14:paraId="1E9A1C66">
                  <w:pPr>
                    <w:jc w:val="center"/>
                    <w:rPr>
                      <w:rFonts w:eastAsiaTheme="minorEastAsia"/>
                      <w:szCs w:val="21"/>
                    </w:rPr>
                  </w:pPr>
                  <w:r>
                    <w:rPr>
                      <w:rFonts w:hint="eastAsia" w:eastAsiaTheme="minorEastAsia"/>
                      <w:szCs w:val="21"/>
                    </w:rPr>
                    <w:t>51.6</w:t>
                  </w:r>
                </w:p>
              </w:tc>
              <w:tc>
                <w:tcPr>
                  <w:tcW w:w="225" w:type="pct"/>
                </w:tcPr>
                <w:p w14:paraId="5F7599D4">
                  <w:pPr>
                    <w:jc w:val="center"/>
                  </w:pPr>
                  <w:r>
                    <w:rPr>
                      <w:rFonts w:hint="eastAsia" w:hAnsiTheme="minorEastAsia" w:eastAsiaTheme="minorEastAsia"/>
                      <w:bCs/>
                      <w:kern w:val="0"/>
                      <w:szCs w:val="21"/>
                    </w:rPr>
                    <w:t>20h</w:t>
                  </w:r>
                </w:p>
              </w:tc>
            </w:tr>
            <w:tr w14:paraId="3F97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 w:type="pct"/>
                  <w:vAlign w:val="center"/>
                </w:tcPr>
                <w:p w14:paraId="08E9B22B">
                  <w:pPr>
                    <w:jc w:val="center"/>
                    <w:rPr>
                      <w:rFonts w:eastAsiaTheme="minorEastAsia"/>
                      <w:szCs w:val="21"/>
                    </w:rPr>
                  </w:pPr>
                  <w:r>
                    <w:rPr>
                      <w:rFonts w:hint="eastAsia" w:eastAsiaTheme="minorEastAsia"/>
                      <w:szCs w:val="21"/>
                    </w:rPr>
                    <w:t>21</w:t>
                  </w:r>
                </w:p>
              </w:tc>
              <w:tc>
                <w:tcPr>
                  <w:tcW w:w="216" w:type="pct"/>
                  <w:vMerge w:val="continue"/>
                  <w:vAlign w:val="center"/>
                </w:tcPr>
                <w:p w14:paraId="588EA97E">
                  <w:pPr>
                    <w:jc w:val="center"/>
                    <w:rPr>
                      <w:rFonts w:eastAsiaTheme="minorEastAsia"/>
                      <w:szCs w:val="21"/>
                    </w:rPr>
                  </w:pPr>
                </w:p>
              </w:tc>
              <w:tc>
                <w:tcPr>
                  <w:tcW w:w="371" w:type="pct"/>
                  <w:vAlign w:val="center"/>
                </w:tcPr>
                <w:p w14:paraId="1614DC89">
                  <w:pPr>
                    <w:jc w:val="center"/>
                    <w:rPr>
                      <w:rFonts w:hAnsiTheme="minorEastAsia" w:eastAsiaTheme="minorEastAsia"/>
                      <w:szCs w:val="21"/>
                    </w:rPr>
                  </w:pPr>
                  <w:r>
                    <w:rPr>
                      <w:rFonts w:hint="eastAsia" w:hAnsiTheme="minorEastAsia" w:eastAsiaTheme="minorEastAsia"/>
                      <w:szCs w:val="21"/>
                    </w:rPr>
                    <w:t>空压机</w:t>
                  </w:r>
                </w:p>
              </w:tc>
              <w:tc>
                <w:tcPr>
                  <w:tcW w:w="281" w:type="pct"/>
                  <w:vAlign w:val="center"/>
                </w:tcPr>
                <w:p w14:paraId="2E350D29">
                  <w:pPr>
                    <w:jc w:val="center"/>
                    <w:rPr>
                      <w:rFonts w:eastAsiaTheme="minorEastAsia"/>
                      <w:szCs w:val="21"/>
                    </w:rPr>
                  </w:pPr>
                  <w:r>
                    <w:rPr>
                      <w:rFonts w:hint="eastAsia" w:eastAsiaTheme="minorEastAsia"/>
                      <w:szCs w:val="21"/>
                    </w:rPr>
                    <w:t>1</w:t>
                  </w:r>
                </w:p>
              </w:tc>
              <w:tc>
                <w:tcPr>
                  <w:tcW w:w="464" w:type="pct"/>
                </w:tcPr>
                <w:p w14:paraId="729EA0E6">
                  <w:pPr>
                    <w:jc w:val="center"/>
                  </w:pPr>
                  <w:r>
                    <w:rPr>
                      <w:rFonts w:hint="eastAsia" w:eastAsiaTheme="minorEastAsia"/>
                      <w:szCs w:val="21"/>
                    </w:rPr>
                    <w:t>85/1</w:t>
                  </w:r>
                </w:p>
              </w:tc>
              <w:tc>
                <w:tcPr>
                  <w:tcW w:w="305" w:type="pct"/>
                  <w:vMerge w:val="continue"/>
                </w:tcPr>
                <w:p w14:paraId="32A19804">
                  <w:pPr>
                    <w:jc w:val="center"/>
                    <w:rPr>
                      <w:szCs w:val="21"/>
                    </w:rPr>
                  </w:pPr>
                </w:p>
              </w:tc>
              <w:tc>
                <w:tcPr>
                  <w:tcW w:w="283" w:type="pct"/>
                  <w:vAlign w:val="center"/>
                </w:tcPr>
                <w:p w14:paraId="3DBB5DF4">
                  <w:pPr>
                    <w:jc w:val="center"/>
                    <w:rPr>
                      <w:rFonts w:eastAsiaTheme="minorEastAsia"/>
                      <w:szCs w:val="21"/>
                    </w:rPr>
                  </w:pPr>
                  <w:r>
                    <w:rPr>
                      <w:rFonts w:hint="eastAsia" w:eastAsiaTheme="minorEastAsia"/>
                      <w:szCs w:val="21"/>
                    </w:rPr>
                    <w:t>-5</w:t>
                  </w:r>
                </w:p>
              </w:tc>
              <w:tc>
                <w:tcPr>
                  <w:tcW w:w="282" w:type="pct"/>
                  <w:vAlign w:val="center"/>
                </w:tcPr>
                <w:p w14:paraId="0AC189F7">
                  <w:pPr>
                    <w:jc w:val="center"/>
                    <w:rPr>
                      <w:rFonts w:eastAsiaTheme="minorEastAsia"/>
                      <w:szCs w:val="21"/>
                    </w:rPr>
                  </w:pPr>
                  <w:r>
                    <w:rPr>
                      <w:rFonts w:hint="eastAsia" w:eastAsiaTheme="minorEastAsia"/>
                      <w:szCs w:val="21"/>
                    </w:rPr>
                    <w:t>-49</w:t>
                  </w:r>
                </w:p>
              </w:tc>
              <w:tc>
                <w:tcPr>
                  <w:tcW w:w="283" w:type="pct"/>
                  <w:vAlign w:val="center"/>
                </w:tcPr>
                <w:p w14:paraId="36BCA415">
                  <w:pPr>
                    <w:jc w:val="center"/>
                    <w:rPr>
                      <w:rFonts w:eastAsiaTheme="minorEastAsia"/>
                      <w:szCs w:val="21"/>
                    </w:rPr>
                  </w:pPr>
                  <w:r>
                    <w:rPr>
                      <w:rFonts w:hint="eastAsia" w:eastAsiaTheme="minorEastAsia"/>
                      <w:szCs w:val="21"/>
                    </w:rPr>
                    <w:t>0</w:t>
                  </w:r>
                </w:p>
              </w:tc>
              <w:tc>
                <w:tcPr>
                  <w:tcW w:w="236" w:type="pct"/>
                  <w:vAlign w:val="center"/>
                </w:tcPr>
                <w:p w14:paraId="08F6E15A">
                  <w:pPr>
                    <w:jc w:val="center"/>
                    <w:rPr>
                      <w:rFonts w:eastAsiaTheme="minorEastAsia"/>
                      <w:szCs w:val="21"/>
                    </w:rPr>
                  </w:pPr>
                  <w:r>
                    <w:rPr>
                      <w:rFonts w:hint="eastAsia" w:eastAsiaTheme="minorEastAsia"/>
                      <w:szCs w:val="21"/>
                    </w:rPr>
                    <w:t>5</w:t>
                  </w:r>
                </w:p>
              </w:tc>
              <w:tc>
                <w:tcPr>
                  <w:tcW w:w="235" w:type="pct"/>
                  <w:vAlign w:val="center"/>
                </w:tcPr>
                <w:p w14:paraId="14826080">
                  <w:pPr>
                    <w:jc w:val="center"/>
                    <w:rPr>
                      <w:rFonts w:eastAsiaTheme="minorEastAsia"/>
                      <w:szCs w:val="21"/>
                    </w:rPr>
                  </w:pPr>
                  <w:r>
                    <w:rPr>
                      <w:rFonts w:hint="eastAsia" w:eastAsiaTheme="minorEastAsia"/>
                      <w:szCs w:val="21"/>
                    </w:rPr>
                    <w:t>5</w:t>
                  </w:r>
                </w:p>
              </w:tc>
              <w:tc>
                <w:tcPr>
                  <w:tcW w:w="236" w:type="pct"/>
                  <w:vAlign w:val="center"/>
                </w:tcPr>
                <w:p w14:paraId="46AD016E">
                  <w:pPr>
                    <w:jc w:val="center"/>
                    <w:rPr>
                      <w:rFonts w:eastAsiaTheme="minorEastAsia"/>
                      <w:szCs w:val="21"/>
                    </w:rPr>
                  </w:pPr>
                  <w:r>
                    <w:rPr>
                      <w:rFonts w:hint="eastAsia" w:eastAsiaTheme="minorEastAsia"/>
                      <w:szCs w:val="21"/>
                    </w:rPr>
                    <w:t>135</w:t>
                  </w:r>
                </w:p>
              </w:tc>
              <w:tc>
                <w:tcPr>
                  <w:tcW w:w="235" w:type="pct"/>
                  <w:vAlign w:val="center"/>
                </w:tcPr>
                <w:p w14:paraId="4E372D7C">
                  <w:pPr>
                    <w:jc w:val="center"/>
                    <w:rPr>
                      <w:rFonts w:eastAsiaTheme="minorEastAsia"/>
                      <w:szCs w:val="21"/>
                    </w:rPr>
                  </w:pPr>
                  <w:r>
                    <w:rPr>
                      <w:rFonts w:hint="eastAsia" w:eastAsiaTheme="minorEastAsia"/>
                      <w:szCs w:val="21"/>
                    </w:rPr>
                    <w:t>49</w:t>
                  </w:r>
                </w:p>
              </w:tc>
              <w:tc>
                <w:tcPr>
                  <w:tcW w:w="288" w:type="pct"/>
                </w:tcPr>
                <w:p w14:paraId="3B377C75">
                  <w:pPr>
                    <w:jc w:val="center"/>
                  </w:pPr>
                  <w:r>
                    <w:rPr>
                      <w:rFonts w:hint="eastAsia" w:eastAsiaTheme="minorEastAsia"/>
                      <w:szCs w:val="21"/>
                    </w:rPr>
                    <w:t>71.0</w:t>
                  </w:r>
                </w:p>
              </w:tc>
              <w:tc>
                <w:tcPr>
                  <w:tcW w:w="281" w:type="pct"/>
                  <w:vAlign w:val="center"/>
                </w:tcPr>
                <w:p w14:paraId="7C7D5ADA">
                  <w:pPr>
                    <w:jc w:val="center"/>
                    <w:rPr>
                      <w:rFonts w:eastAsiaTheme="minorEastAsia"/>
                      <w:szCs w:val="21"/>
                    </w:rPr>
                  </w:pPr>
                  <w:r>
                    <w:rPr>
                      <w:rFonts w:hint="eastAsia" w:eastAsiaTheme="minorEastAsia"/>
                      <w:szCs w:val="21"/>
                    </w:rPr>
                    <w:t>71.0</w:t>
                  </w:r>
                </w:p>
              </w:tc>
              <w:tc>
                <w:tcPr>
                  <w:tcW w:w="330" w:type="pct"/>
                </w:tcPr>
                <w:p w14:paraId="0D1C5289">
                  <w:pPr>
                    <w:jc w:val="center"/>
                  </w:pPr>
                  <w:r>
                    <w:rPr>
                      <w:rFonts w:hint="eastAsia" w:eastAsiaTheme="minorEastAsia"/>
                      <w:szCs w:val="21"/>
                    </w:rPr>
                    <w:t>42.4</w:t>
                  </w:r>
                </w:p>
              </w:tc>
              <w:tc>
                <w:tcPr>
                  <w:tcW w:w="285" w:type="pct"/>
                  <w:vAlign w:val="center"/>
                </w:tcPr>
                <w:p w14:paraId="37008371">
                  <w:pPr>
                    <w:jc w:val="center"/>
                    <w:rPr>
                      <w:rFonts w:eastAsiaTheme="minorEastAsia"/>
                      <w:szCs w:val="21"/>
                    </w:rPr>
                  </w:pPr>
                  <w:r>
                    <w:rPr>
                      <w:rFonts w:hint="eastAsia" w:eastAsiaTheme="minorEastAsia"/>
                      <w:szCs w:val="21"/>
                    </w:rPr>
                    <w:t>51.2</w:t>
                  </w:r>
                </w:p>
              </w:tc>
              <w:tc>
                <w:tcPr>
                  <w:tcW w:w="225" w:type="pct"/>
                </w:tcPr>
                <w:p w14:paraId="3946D080">
                  <w:pPr>
                    <w:jc w:val="center"/>
                  </w:pPr>
                  <w:r>
                    <w:rPr>
                      <w:rFonts w:hint="eastAsia" w:hAnsiTheme="minorEastAsia" w:eastAsiaTheme="minorEastAsia"/>
                      <w:bCs/>
                      <w:kern w:val="0"/>
                      <w:szCs w:val="21"/>
                    </w:rPr>
                    <w:t>20h</w:t>
                  </w:r>
                </w:p>
              </w:tc>
            </w:tr>
          </w:tbl>
          <w:p w14:paraId="072ACC40">
            <w:pPr>
              <w:pStyle w:val="20"/>
              <w:spacing w:before="0" w:beforeAutospacing="0" w:after="0" w:afterAutospacing="0" w:line="480" w:lineRule="exact"/>
              <w:ind w:firstLine="480" w:firstLineChars="200"/>
              <w:outlineLvl w:val="0"/>
              <w:rPr>
                <w:rFonts w:ascii="Times New Roman" w:hAnsiTheme="minorEastAsia" w:eastAsiaTheme="minorEastAsia"/>
              </w:rPr>
            </w:pPr>
            <w:r>
              <w:rPr>
                <w:rFonts w:ascii="Times New Roman" w:hAnsiTheme="minorEastAsia" w:eastAsiaTheme="minorEastAsia"/>
              </w:rPr>
              <w:t>分别按</w:t>
            </w:r>
            <w:r>
              <w:rPr>
                <w:rFonts w:ascii="Times New Roman" w:hAnsi="Times New Roman" w:eastAsiaTheme="minorEastAsia"/>
              </w:rPr>
              <w:t>B.3</w:t>
            </w:r>
            <w:r>
              <w:rPr>
                <w:rFonts w:ascii="Times New Roman" w:hAnsiTheme="minorEastAsia" w:eastAsiaTheme="minorEastAsia"/>
              </w:rPr>
              <w:t>式、</w:t>
            </w:r>
            <w:r>
              <w:rPr>
                <w:rFonts w:ascii="Times New Roman" w:hAnsi="Times New Roman" w:eastAsiaTheme="minorEastAsia"/>
              </w:rPr>
              <w:t>B.4</w:t>
            </w:r>
            <w:r>
              <w:rPr>
                <w:rFonts w:ascii="Times New Roman" w:hAnsiTheme="minorEastAsia" w:eastAsiaTheme="minorEastAsia"/>
              </w:rPr>
              <w:t>式将室内声源声压换算成等效室外声源见表</w:t>
            </w:r>
            <w:r>
              <w:rPr>
                <w:rFonts w:hint="eastAsia" w:ascii="Times New Roman" w:hAnsi="Times New Roman" w:eastAsiaTheme="minorEastAsia"/>
              </w:rPr>
              <w:t>4.2-16</w:t>
            </w:r>
            <w:r>
              <w:rPr>
                <w:rFonts w:ascii="Times New Roman" w:hAnsiTheme="minorEastAsia" w:eastAsiaTheme="minorEastAsia"/>
              </w:rPr>
              <w:t>。</w:t>
            </w:r>
          </w:p>
          <w:p w14:paraId="75725015">
            <w:pPr>
              <w:pStyle w:val="20"/>
              <w:spacing w:before="0" w:beforeAutospacing="0" w:after="0" w:afterAutospacing="0" w:line="480" w:lineRule="exact"/>
              <w:jc w:val="center"/>
              <w:outlineLvl w:val="0"/>
              <w:rPr>
                <w:rFonts w:ascii="Times New Roman" w:hAnsiTheme="minorEastAsia" w:eastAsiaTheme="minorEastAsia"/>
                <w:b/>
                <w:sz w:val="21"/>
                <w:szCs w:val="21"/>
              </w:rPr>
            </w:pPr>
            <w:r>
              <w:rPr>
                <w:rFonts w:hint="eastAsia" w:ascii="Times New Roman" w:hAnsiTheme="minorEastAsia" w:eastAsiaTheme="minorEastAsia"/>
                <w:b/>
                <w:sz w:val="21"/>
                <w:szCs w:val="21"/>
              </w:rPr>
              <w:t>表4.2-16  等效室外声源计算</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75"/>
              <w:gridCol w:w="2275"/>
              <w:gridCol w:w="2275"/>
              <w:gridCol w:w="2276"/>
              <w:gridCol w:w="2276"/>
            </w:tblGrid>
            <w:tr w14:paraId="699A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vMerge w:val="restart"/>
                  <w:vAlign w:val="center"/>
                </w:tcPr>
                <w:p w14:paraId="5B12A817">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建筑物名称</w:t>
                  </w:r>
                </w:p>
              </w:tc>
              <w:tc>
                <w:tcPr>
                  <w:tcW w:w="2275" w:type="dxa"/>
                  <w:vMerge w:val="restart"/>
                  <w:vAlign w:val="center"/>
                </w:tcPr>
                <w:p w14:paraId="21AD8676">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室内边界</w:t>
                  </w:r>
                </w:p>
              </w:tc>
              <w:tc>
                <w:tcPr>
                  <w:tcW w:w="2275" w:type="dxa"/>
                  <w:vMerge w:val="restart"/>
                  <w:vAlign w:val="center"/>
                </w:tcPr>
                <w:p w14:paraId="28735C26">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室内边界声压级汇总（</w:t>
                  </w:r>
                  <w:r>
                    <w:rPr>
                      <w:rFonts w:ascii="Times New Roman" w:hAnsi="Times New Roman" w:eastAsiaTheme="minorEastAsia"/>
                      <w:sz w:val="21"/>
                      <w:szCs w:val="21"/>
                    </w:rPr>
                    <w:t>dB(A)</w:t>
                  </w:r>
                  <w:r>
                    <w:rPr>
                      <w:rFonts w:ascii="Times New Roman" w:hAnsiTheme="minorEastAsia" w:eastAsiaTheme="minorEastAsia"/>
                      <w:snapToGrid w:val="0"/>
                      <w:sz w:val="21"/>
                      <w:szCs w:val="21"/>
                    </w:rPr>
                    <w:t>）</w:t>
                  </w:r>
                </w:p>
              </w:tc>
              <w:tc>
                <w:tcPr>
                  <w:tcW w:w="2275" w:type="dxa"/>
                  <w:vMerge w:val="restart"/>
                  <w:vAlign w:val="center"/>
                </w:tcPr>
                <w:p w14:paraId="13048698">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建筑物插入损失</w:t>
                  </w:r>
                </w:p>
                <w:p w14:paraId="75097814">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z w:val="21"/>
                      <w:szCs w:val="21"/>
                    </w:rPr>
                    <w:t>（</w:t>
                  </w:r>
                  <w:r>
                    <w:rPr>
                      <w:rFonts w:ascii="Times New Roman" w:hAnsi="Times New Roman" w:eastAsiaTheme="minorEastAsia"/>
                      <w:sz w:val="21"/>
                      <w:szCs w:val="21"/>
                    </w:rPr>
                    <w:t>dB(A)</w:t>
                  </w:r>
                  <w:r>
                    <w:rPr>
                      <w:rFonts w:ascii="Times New Roman" w:hAnsiTheme="minorEastAsia" w:eastAsiaTheme="minorEastAsia"/>
                      <w:sz w:val="21"/>
                      <w:szCs w:val="21"/>
                    </w:rPr>
                    <w:t>）</w:t>
                  </w:r>
                </w:p>
              </w:tc>
              <w:tc>
                <w:tcPr>
                  <w:tcW w:w="4552" w:type="dxa"/>
                  <w:gridSpan w:val="2"/>
                  <w:vAlign w:val="center"/>
                </w:tcPr>
                <w:p w14:paraId="1AD597D2">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建筑物外噪声</w:t>
                  </w:r>
                </w:p>
              </w:tc>
            </w:tr>
            <w:tr w14:paraId="3D47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vMerge w:val="continue"/>
                  <w:vAlign w:val="center"/>
                </w:tcPr>
                <w:p w14:paraId="388640FB">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5" w:type="dxa"/>
                  <w:vMerge w:val="continue"/>
                  <w:vAlign w:val="center"/>
                </w:tcPr>
                <w:p w14:paraId="39ADEBE9">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5" w:type="dxa"/>
                  <w:vMerge w:val="continue"/>
                  <w:vAlign w:val="center"/>
                </w:tcPr>
                <w:p w14:paraId="5E85E7BE">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5" w:type="dxa"/>
                  <w:vMerge w:val="continue"/>
                  <w:vAlign w:val="center"/>
                </w:tcPr>
                <w:p w14:paraId="5BFE5FA2">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6" w:type="dxa"/>
                  <w:vAlign w:val="center"/>
                </w:tcPr>
                <w:p w14:paraId="3CC7C733">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声压级（</w:t>
                  </w:r>
                  <w:r>
                    <w:rPr>
                      <w:rFonts w:ascii="Times New Roman" w:hAnsi="Times New Roman" w:eastAsiaTheme="minorEastAsia"/>
                      <w:sz w:val="21"/>
                      <w:szCs w:val="21"/>
                    </w:rPr>
                    <w:t>dB(A)</w:t>
                  </w:r>
                  <w:r>
                    <w:rPr>
                      <w:rFonts w:ascii="Times New Roman" w:hAnsiTheme="minorEastAsia" w:eastAsiaTheme="minorEastAsia"/>
                      <w:snapToGrid w:val="0"/>
                      <w:sz w:val="21"/>
                      <w:szCs w:val="21"/>
                    </w:rPr>
                    <w:t>）</w:t>
                  </w:r>
                </w:p>
              </w:tc>
              <w:tc>
                <w:tcPr>
                  <w:tcW w:w="2276" w:type="dxa"/>
                  <w:vAlign w:val="center"/>
                </w:tcPr>
                <w:p w14:paraId="4518CE0F">
                  <w:pPr>
                    <w:pStyle w:val="20"/>
                    <w:spacing w:before="0" w:beforeAutospacing="0" w:after="0" w:afterAutospacing="0"/>
                    <w:jc w:val="center"/>
                    <w:outlineLvl w:val="0"/>
                    <w:rPr>
                      <w:rFonts w:ascii="Times New Roman" w:hAnsi="Times New Roman" w:eastAsiaTheme="minorEastAsia"/>
                      <w:snapToGrid w:val="0"/>
                      <w:sz w:val="21"/>
                      <w:szCs w:val="21"/>
                    </w:rPr>
                  </w:pPr>
                  <w:r>
                    <w:rPr>
                      <w:rFonts w:ascii="Times New Roman" w:hAnsiTheme="minorEastAsia" w:eastAsiaTheme="minorEastAsia"/>
                      <w:snapToGrid w:val="0"/>
                      <w:sz w:val="21"/>
                      <w:szCs w:val="21"/>
                    </w:rPr>
                    <w:t>建筑物外距离</w:t>
                  </w:r>
                </w:p>
              </w:tc>
            </w:tr>
            <w:tr w14:paraId="5C08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vMerge w:val="restart"/>
                  <w:vAlign w:val="center"/>
                </w:tcPr>
                <w:p w14:paraId="5D0B418A">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2#厂房</w:t>
                  </w:r>
                </w:p>
              </w:tc>
              <w:tc>
                <w:tcPr>
                  <w:tcW w:w="2275" w:type="dxa"/>
                  <w:vAlign w:val="center"/>
                </w:tcPr>
                <w:p w14:paraId="25E283F6">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东侧</w:t>
                  </w:r>
                </w:p>
              </w:tc>
              <w:tc>
                <w:tcPr>
                  <w:tcW w:w="2275" w:type="dxa"/>
                  <w:vAlign w:val="center"/>
                </w:tcPr>
                <w:p w14:paraId="6A2EA759">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77.1</w:t>
                  </w:r>
                </w:p>
              </w:tc>
              <w:tc>
                <w:tcPr>
                  <w:tcW w:w="2275" w:type="dxa"/>
                  <w:vMerge w:val="restart"/>
                  <w:vAlign w:val="center"/>
                </w:tcPr>
                <w:p w14:paraId="61F29DF0">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15+6</w:t>
                  </w:r>
                </w:p>
              </w:tc>
              <w:tc>
                <w:tcPr>
                  <w:tcW w:w="2276" w:type="dxa"/>
                  <w:vAlign w:val="center"/>
                </w:tcPr>
                <w:p w14:paraId="7B0D57D8">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56.1</w:t>
                  </w:r>
                </w:p>
              </w:tc>
              <w:tc>
                <w:tcPr>
                  <w:tcW w:w="2276" w:type="dxa"/>
                  <w:vAlign w:val="center"/>
                </w:tcPr>
                <w:p w14:paraId="71E0B45F">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1m</w:t>
                  </w:r>
                </w:p>
              </w:tc>
            </w:tr>
            <w:tr w14:paraId="7760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vMerge w:val="continue"/>
                  <w:vAlign w:val="center"/>
                </w:tcPr>
                <w:p w14:paraId="73B88F28">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5" w:type="dxa"/>
                  <w:vAlign w:val="center"/>
                </w:tcPr>
                <w:p w14:paraId="7ED6AFA1">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南侧</w:t>
                  </w:r>
                </w:p>
              </w:tc>
              <w:tc>
                <w:tcPr>
                  <w:tcW w:w="2275" w:type="dxa"/>
                  <w:vAlign w:val="center"/>
                </w:tcPr>
                <w:p w14:paraId="730D1DB5">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76.7</w:t>
                  </w:r>
                </w:p>
              </w:tc>
              <w:tc>
                <w:tcPr>
                  <w:tcW w:w="2275" w:type="dxa"/>
                  <w:vMerge w:val="continue"/>
                  <w:vAlign w:val="center"/>
                </w:tcPr>
                <w:p w14:paraId="44CAD77D">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6" w:type="dxa"/>
                  <w:vAlign w:val="center"/>
                </w:tcPr>
                <w:p w14:paraId="31750EC8">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55.7</w:t>
                  </w:r>
                </w:p>
              </w:tc>
              <w:tc>
                <w:tcPr>
                  <w:tcW w:w="2276" w:type="dxa"/>
                  <w:vAlign w:val="center"/>
                </w:tcPr>
                <w:p w14:paraId="6C402DE6">
                  <w:pPr>
                    <w:jc w:val="center"/>
                  </w:pPr>
                  <w:r>
                    <w:rPr>
                      <w:rFonts w:hint="eastAsia" w:eastAsiaTheme="minorEastAsia"/>
                      <w:snapToGrid w:val="0"/>
                      <w:szCs w:val="21"/>
                    </w:rPr>
                    <w:t>1m</w:t>
                  </w:r>
                </w:p>
              </w:tc>
            </w:tr>
            <w:tr w14:paraId="36EF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vMerge w:val="continue"/>
                  <w:vAlign w:val="center"/>
                </w:tcPr>
                <w:p w14:paraId="44BAE68D">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5" w:type="dxa"/>
                  <w:vAlign w:val="center"/>
                </w:tcPr>
                <w:p w14:paraId="071AC2EA">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西侧</w:t>
                  </w:r>
                </w:p>
              </w:tc>
              <w:tc>
                <w:tcPr>
                  <w:tcW w:w="2275" w:type="dxa"/>
                  <w:vAlign w:val="center"/>
                </w:tcPr>
                <w:p w14:paraId="25DA101A">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56.2</w:t>
                  </w:r>
                </w:p>
              </w:tc>
              <w:tc>
                <w:tcPr>
                  <w:tcW w:w="2275" w:type="dxa"/>
                  <w:vMerge w:val="continue"/>
                  <w:vAlign w:val="center"/>
                </w:tcPr>
                <w:p w14:paraId="085B6F99">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6" w:type="dxa"/>
                  <w:vAlign w:val="center"/>
                </w:tcPr>
                <w:p w14:paraId="6956DBD6">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35.2</w:t>
                  </w:r>
                </w:p>
              </w:tc>
              <w:tc>
                <w:tcPr>
                  <w:tcW w:w="2276" w:type="dxa"/>
                  <w:vAlign w:val="center"/>
                </w:tcPr>
                <w:p w14:paraId="4D1AF550">
                  <w:pPr>
                    <w:jc w:val="center"/>
                  </w:pPr>
                  <w:r>
                    <w:rPr>
                      <w:rFonts w:hint="eastAsia" w:eastAsiaTheme="minorEastAsia"/>
                      <w:snapToGrid w:val="0"/>
                      <w:szCs w:val="21"/>
                    </w:rPr>
                    <w:t>1m</w:t>
                  </w:r>
                </w:p>
              </w:tc>
            </w:tr>
            <w:tr w14:paraId="09FE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vMerge w:val="continue"/>
                  <w:vAlign w:val="center"/>
                </w:tcPr>
                <w:p w14:paraId="4665F19C">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5" w:type="dxa"/>
                  <w:vAlign w:val="center"/>
                </w:tcPr>
                <w:p w14:paraId="47693939">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北侧</w:t>
                  </w:r>
                </w:p>
              </w:tc>
              <w:tc>
                <w:tcPr>
                  <w:tcW w:w="2275" w:type="dxa"/>
                  <w:vAlign w:val="center"/>
                </w:tcPr>
                <w:p w14:paraId="47C18B5F">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75.6</w:t>
                  </w:r>
                </w:p>
              </w:tc>
              <w:tc>
                <w:tcPr>
                  <w:tcW w:w="2275" w:type="dxa"/>
                  <w:vMerge w:val="continue"/>
                  <w:vAlign w:val="center"/>
                </w:tcPr>
                <w:p w14:paraId="0E6720EE">
                  <w:pPr>
                    <w:pStyle w:val="20"/>
                    <w:spacing w:before="0" w:beforeAutospacing="0" w:after="0" w:afterAutospacing="0"/>
                    <w:jc w:val="center"/>
                    <w:outlineLvl w:val="0"/>
                    <w:rPr>
                      <w:rFonts w:ascii="Times New Roman" w:hAnsi="Times New Roman" w:eastAsiaTheme="minorEastAsia"/>
                      <w:snapToGrid w:val="0"/>
                      <w:sz w:val="21"/>
                      <w:szCs w:val="21"/>
                    </w:rPr>
                  </w:pPr>
                </w:p>
              </w:tc>
              <w:tc>
                <w:tcPr>
                  <w:tcW w:w="2276" w:type="dxa"/>
                  <w:vAlign w:val="center"/>
                </w:tcPr>
                <w:p w14:paraId="1B8C7439">
                  <w:pPr>
                    <w:pStyle w:val="20"/>
                    <w:spacing w:before="0" w:beforeAutospacing="0" w:after="0" w:afterAutospacing="0"/>
                    <w:jc w:val="center"/>
                    <w:outlineLvl w:val="0"/>
                    <w:rPr>
                      <w:rFonts w:ascii="Times New Roman" w:hAnsi="Times New Roman" w:eastAsiaTheme="minorEastAsia"/>
                      <w:snapToGrid w:val="0"/>
                      <w:sz w:val="21"/>
                      <w:szCs w:val="21"/>
                    </w:rPr>
                  </w:pPr>
                  <w:r>
                    <w:rPr>
                      <w:rFonts w:hint="eastAsia" w:ascii="Times New Roman" w:hAnsi="Times New Roman" w:eastAsiaTheme="minorEastAsia"/>
                      <w:snapToGrid w:val="0"/>
                      <w:sz w:val="21"/>
                      <w:szCs w:val="21"/>
                    </w:rPr>
                    <w:t>54.6</w:t>
                  </w:r>
                </w:p>
              </w:tc>
              <w:tc>
                <w:tcPr>
                  <w:tcW w:w="2276" w:type="dxa"/>
                  <w:vAlign w:val="center"/>
                </w:tcPr>
                <w:p w14:paraId="34B06E25">
                  <w:pPr>
                    <w:jc w:val="center"/>
                  </w:pPr>
                  <w:r>
                    <w:rPr>
                      <w:rFonts w:hint="eastAsia" w:eastAsiaTheme="minorEastAsia"/>
                      <w:snapToGrid w:val="0"/>
                      <w:szCs w:val="21"/>
                    </w:rPr>
                    <w:t>1m</w:t>
                  </w:r>
                </w:p>
              </w:tc>
            </w:tr>
          </w:tbl>
          <w:p w14:paraId="745A5CB7">
            <w:pPr>
              <w:spacing w:line="460" w:lineRule="exact"/>
              <w:ind w:firstLine="422" w:firstLineChars="200"/>
              <w:jc w:val="center"/>
              <w:rPr>
                <w:b/>
                <w:szCs w:val="21"/>
              </w:rPr>
            </w:pPr>
          </w:p>
          <w:p w14:paraId="66B62D03">
            <w:pPr>
              <w:spacing w:line="460" w:lineRule="exact"/>
              <w:ind w:firstLine="422" w:firstLineChars="200"/>
              <w:jc w:val="center"/>
              <w:rPr>
                <w:b/>
                <w:szCs w:val="21"/>
              </w:rPr>
            </w:pPr>
          </w:p>
          <w:p w14:paraId="0B8F1F90">
            <w:pPr>
              <w:overflowPunct w:val="0"/>
              <w:jc w:val="center"/>
              <w:rPr>
                <w:sz w:val="24"/>
              </w:rPr>
            </w:pPr>
          </w:p>
        </w:tc>
      </w:tr>
    </w:tbl>
    <w:p w14:paraId="189046EF">
      <w:pPr>
        <w:adjustRightInd w:val="0"/>
        <w:snapToGrid w:val="0"/>
        <w:spacing w:line="360" w:lineRule="auto"/>
        <w:rPr>
          <w:rFonts w:ascii="宋体" w:cs="宋体"/>
          <w:b/>
          <w:kern w:val="0"/>
          <w:sz w:val="28"/>
          <w:szCs w:val="28"/>
        </w:rPr>
      </w:pPr>
    </w:p>
    <w:p w14:paraId="21DDF2EF">
      <w:pPr>
        <w:adjustRightInd w:val="0"/>
        <w:snapToGrid w:val="0"/>
        <w:spacing w:line="360" w:lineRule="auto"/>
        <w:rPr>
          <w:rFonts w:ascii="宋体" w:cs="宋体"/>
          <w:b/>
          <w:kern w:val="0"/>
          <w:sz w:val="28"/>
          <w:szCs w:val="28"/>
        </w:rPr>
        <w:sectPr>
          <w:pgSz w:w="16840" w:h="11907" w:orient="landscape"/>
          <w:pgMar w:top="1418" w:right="1418" w:bottom="1418" w:left="1418" w:header="851" w:footer="851" w:gutter="0"/>
          <w:cols w:space="720" w:num="1"/>
          <w:docGrid w:linePitch="312" w:charSpace="0"/>
        </w:sect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8594"/>
      </w:tblGrid>
      <w:tr w14:paraId="49983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386" w:type="dxa"/>
            <w:tcMar>
              <w:left w:w="28" w:type="dxa"/>
              <w:right w:w="28" w:type="dxa"/>
            </w:tcMar>
            <w:vAlign w:val="center"/>
          </w:tcPr>
          <w:p w14:paraId="6EF66271">
            <w:pPr>
              <w:adjustRightInd w:val="0"/>
              <w:snapToGrid w:val="0"/>
              <w:jc w:val="center"/>
              <w:rPr>
                <w:rFonts w:ascii="宋体" w:hAnsi="宋体" w:cs="宋体"/>
                <w:bCs/>
                <w:sz w:val="24"/>
              </w:rPr>
            </w:pPr>
          </w:p>
          <w:p w14:paraId="6D731D58">
            <w:pPr>
              <w:adjustRightInd w:val="0"/>
              <w:snapToGrid w:val="0"/>
              <w:jc w:val="center"/>
              <w:rPr>
                <w:rFonts w:ascii="宋体" w:hAnsi="宋体" w:cs="宋体"/>
                <w:bCs/>
                <w:sz w:val="24"/>
              </w:rPr>
            </w:pPr>
            <w:r>
              <w:rPr>
                <w:rFonts w:hint="eastAsia" w:ascii="宋体" w:hAnsi="宋体" w:cs="宋体"/>
                <w:bCs/>
                <w:sz w:val="24"/>
              </w:rPr>
              <w:t>期环</w:t>
            </w:r>
          </w:p>
          <w:p w14:paraId="01822662">
            <w:pPr>
              <w:adjustRightInd w:val="0"/>
              <w:snapToGrid w:val="0"/>
              <w:jc w:val="center"/>
              <w:rPr>
                <w:rFonts w:ascii="宋体" w:hAnsi="宋体" w:cs="宋体"/>
                <w:bCs/>
                <w:sz w:val="24"/>
              </w:rPr>
            </w:pPr>
            <w:r>
              <w:rPr>
                <w:rFonts w:hint="eastAsia" w:ascii="宋体" w:hAnsi="宋体" w:cs="宋体"/>
                <w:bCs/>
                <w:sz w:val="24"/>
              </w:rPr>
              <w:t>境影</w:t>
            </w:r>
          </w:p>
          <w:p w14:paraId="5EDD9214">
            <w:pPr>
              <w:adjustRightInd w:val="0"/>
              <w:snapToGrid w:val="0"/>
              <w:jc w:val="center"/>
              <w:rPr>
                <w:rFonts w:ascii="宋体" w:hAnsi="宋体" w:cs="宋体"/>
                <w:bCs/>
                <w:sz w:val="24"/>
              </w:rPr>
            </w:pPr>
            <w:r>
              <w:rPr>
                <w:rFonts w:hint="eastAsia" w:ascii="宋体" w:hAnsi="宋体" w:cs="宋体"/>
                <w:bCs/>
                <w:sz w:val="24"/>
              </w:rPr>
              <w:t>响和</w:t>
            </w:r>
          </w:p>
          <w:p w14:paraId="548B2477">
            <w:pPr>
              <w:adjustRightInd w:val="0"/>
              <w:snapToGrid w:val="0"/>
              <w:jc w:val="center"/>
              <w:rPr>
                <w:rFonts w:ascii="宋体" w:hAnsi="宋体" w:cs="宋体"/>
                <w:bCs/>
                <w:sz w:val="24"/>
              </w:rPr>
            </w:pPr>
            <w:r>
              <w:rPr>
                <w:rFonts w:hint="eastAsia" w:ascii="宋体" w:hAnsi="宋体" w:cs="宋体"/>
                <w:bCs/>
                <w:sz w:val="24"/>
              </w:rPr>
              <w:t>保护</w:t>
            </w:r>
          </w:p>
          <w:p w14:paraId="7B8B3FF5">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8594" w:type="dxa"/>
            <w:vAlign w:val="center"/>
          </w:tcPr>
          <w:p w14:paraId="33C4ECCD">
            <w:pPr>
              <w:autoSpaceDE w:val="0"/>
              <w:autoSpaceDN w:val="0"/>
              <w:adjustRightInd w:val="0"/>
              <w:spacing w:line="480" w:lineRule="exact"/>
              <w:ind w:firstLine="482" w:firstLineChars="200"/>
              <w:jc w:val="left"/>
              <w:rPr>
                <w:rFonts w:eastAsiaTheme="minorEastAsia"/>
                <w:b/>
                <w:kern w:val="0"/>
                <w:sz w:val="24"/>
              </w:rPr>
            </w:pPr>
            <w:r>
              <w:rPr>
                <w:rFonts w:hint="eastAsia" w:eastAsiaTheme="minorEastAsia"/>
                <w:b/>
                <w:bCs/>
                <w:kern w:val="0"/>
                <w:sz w:val="24"/>
              </w:rPr>
              <w:t xml:space="preserve">4.2.3.2 </w:t>
            </w:r>
            <w:r>
              <w:rPr>
                <w:rFonts w:hAnsiTheme="minorEastAsia" w:eastAsiaTheme="minorEastAsia"/>
                <w:b/>
                <w:kern w:val="0"/>
                <w:sz w:val="24"/>
              </w:rPr>
              <w:t>预测模式</w:t>
            </w:r>
          </w:p>
          <w:p w14:paraId="75BCA0B3">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厂界噪声影响预测采用《环境影响评价技术导则声环境》（</w:t>
            </w:r>
            <w:r>
              <w:rPr>
                <w:rFonts w:eastAsiaTheme="minorEastAsia"/>
                <w:kern w:val="0"/>
                <w:sz w:val="24"/>
              </w:rPr>
              <w:t>HJ2.4-2021</w:t>
            </w:r>
            <w:r>
              <w:rPr>
                <w:rFonts w:hAnsiTheme="minorEastAsia" w:eastAsiaTheme="minorEastAsia"/>
                <w:kern w:val="0"/>
                <w:sz w:val="24"/>
              </w:rPr>
              <w:t>）附录</w:t>
            </w:r>
            <w:r>
              <w:rPr>
                <w:rFonts w:eastAsiaTheme="minorEastAsia"/>
                <w:kern w:val="0"/>
                <w:sz w:val="24"/>
              </w:rPr>
              <w:t xml:space="preserve">A </w:t>
            </w:r>
            <w:r>
              <w:rPr>
                <w:rFonts w:hAnsiTheme="minorEastAsia" w:eastAsiaTheme="minorEastAsia"/>
                <w:kern w:val="0"/>
                <w:sz w:val="24"/>
              </w:rPr>
              <w:t>和</w:t>
            </w:r>
            <w:r>
              <w:rPr>
                <w:rFonts w:eastAsiaTheme="minorEastAsia"/>
                <w:kern w:val="0"/>
                <w:sz w:val="24"/>
              </w:rPr>
              <w:t xml:space="preserve">B </w:t>
            </w:r>
            <w:r>
              <w:rPr>
                <w:rFonts w:hAnsiTheme="minorEastAsia" w:eastAsiaTheme="minorEastAsia"/>
                <w:kern w:val="0"/>
                <w:sz w:val="24"/>
              </w:rPr>
              <w:t>中推荐的公式，公式如下：</w:t>
            </w:r>
          </w:p>
          <w:p w14:paraId="13DC6B5C">
            <w:pPr>
              <w:autoSpaceDE w:val="0"/>
              <w:autoSpaceDN w:val="0"/>
              <w:adjustRightInd w:val="0"/>
              <w:spacing w:line="480" w:lineRule="exact"/>
              <w:ind w:firstLine="482" w:firstLineChars="200"/>
              <w:jc w:val="left"/>
              <w:rPr>
                <w:rFonts w:eastAsiaTheme="minorEastAsia"/>
                <w:b/>
                <w:kern w:val="0"/>
                <w:sz w:val="24"/>
              </w:rPr>
            </w:pPr>
            <w:r>
              <w:rPr>
                <w:rFonts w:hint="eastAsia" w:hAnsiTheme="minorEastAsia" w:eastAsiaTheme="minorEastAsia"/>
                <w:b/>
                <w:kern w:val="0"/>
                <w:sz w:val="24"/>
              </w:rPr>
              <w:t>（1）</w:t>
            </w:r>
            <w:r>
              <w:rPr>
                <w:rFonts w:hAnsiTheme="minorEastAsia" w:eastAsiaTheme="minorEastAsia"/>
                <w:b/>
                <w:kern w:val="0"/>
                <w:sz w:val="24"/>
              </w:rPr>
              <w:t>室内声源等效室外声源声功率级计算方法</w:t>
            </w:r>
          </w:p>
          <w:p w14:paraId="15DDB7F3">
            <w:pPr>
              <w:autoSpaceDE w:val="0"/>
              <w:autoSpaceDN w:val="0"/>
              <w:adjustRightInd w:val="0"/>
              <w:spacing w:line="480" w:lineRule="exact"/>
              <w:ind w:firstLine="480" w:firstLineChars="200"/>
              <w:jc w:val="left"/>
              <w:rPr>
                <w:rFonts w:hAnsiTheme="minorEastAsia" w:eastAsiaTheme="minorEastAsia"/>
                <w:kern w:val="0"/>
                <w:sz w:val="24"/>
              </w:rPr>
            </w:pPr>
            <w:r>
              <w:rPr>
                <w:rFonts w:eastAsiaTheme="minorEastAsia"/>
                <w:kern w:val="0"/>
                <w:sz w:val="24"/>
              </w:rPr>
              <w:t>A</w:t>
            </w:r>
            <w:r>
              <w:rPr>
                <w:rFonts w:hAnsiTheme="minorEastAsia" w:eastAsiaTheme="minorEastAsia"/>
                <w:kern w:val="0"/>
                <w:sz w:val="24"/>
              </w:rPr>
              <w:t>、某一室内声源靠近围护结构处的倍频带声压级或</w:t>
            </w:r>
            <w:r>
              <w:rPr>
                <w:rFonts w:eastAsiaTheme="minorEastAsia"/>
                <w:kern w:val="0"/>
                <w:sz w:val="24"/>
              </w:rPr>
              <w:t xml:space="preserve">A </w:t>
            </w:r>
            <w:r>
              <w:rPr>
                <w:rFonts w:hAnsiTheme="minorEastAsia" w:eastAsiaTheme="minorEastAsia"/>
                <w:kern w:val="0"/>
                <w:sz w:val="24"/>
              </w:rPr>
              <w:t>声级</w:t>
            </w:r>
          </w:p>
          <w:p w14:paraId="20FFB3D9">
            <w:pPr>
              <w:autoSpaceDE w:val="0"/>
              <w:autoSpaceDN w:val="0"/>
              <w:adjustRightInd w:val="0"/>
              <w:spacing w:line="480" w:lineRule="exact"/>
              <w:ind w:firstLine="480" w:firstLineChars="200"/>
              <w:jc w:val="left"/>
              <w:rPr>
                <w:rFonts w:eastAsiaTheme="minorEastAsia"/>
                <w:kern w:val="0"/>
                <w:sz w:val="24"/>
              </w:rPr>
            </w:pPr>
          </w:p>
          <w:p w14:paraId="08FDA104">
            <w:pPr>
              <w:autoSpaceDE w:val="0"/>
              <w:autoSpaceDN w:val="0"/>
              <w:adjustRightInd w:val="0"/>
              <w:spacing w:line="360" w:lineRule="auto"/>
              <w:jc w:val="center"/>
              <w:rPr>
                <w:rFonts w:eastAsiaTheme="minorEastAsia"/>
                <w:kern w:val="0"/>
                <w:sz w:val="24"/>
              </w:rPr>
            </w:pPr>
            <m:oMath>
              <m:sSub>
                <m:sSubPr>
                  <m:ctrlPr>
                    <w:rPr>
                      <w:rFonts w:ascii="Cambria Math" w:hAnsi="Cambria Math" w:eastAsiaTheme="minorEastAsia"/>
                      <w:kern w:val="0"/>
                      <w:sz w:val="30"/>
                      <w:szCs w:val="30"/>
                    </w:rPr>
                  </m:ctrlPr>
                </m:sSubPr>
                <m:e>
                  <m:r>
                    <m:rPr>
                      <m:sty m:val="p"/>
                    </m:rPr>
                    <w:rPr>
                      <w:rFonts w:ascii="Cambria Math" w:hAnsi="Cambria Math" w:eastAsiaTheme="minorEastAsia"/>
                      <w:kern w:val="0"/>
                      <w:sz w:val="30"/>
                      <w:szCs w:val="30"/>
                    </w:rPr>
                    <m:t>L</m:t>
                  </m:r>
                  <m:ctrlPr>
                    <w:rPr>
                      <w:rFonts w:ascii="Cambria Math" w:hAnsi="Cambria Math" w:eastAsiaTheme="minorEastAsia"/>
                      <w:kern w:val="0"/>
                      <w:sz w:val="30"/>
                      <w:szCs w:val="30"/>
                    </w:rPr>
                  </m:ctrlPr>
                </m:e>
                <m:sub>
                  <m:r>
                    <m:rPr>
                      <m:sty m:val="p"/>
                    </m:rPr>
                    <w:rPr>
                      <w:rFonts w:ascii="Cambria Math" w:hAnsi="Cambria Math" w:eastAsiaTheme="minorEastAsia"/>
                      <w:kern w:val="0"/>
                      <w:sz w:val="30"/>
                      <w:szCs w:val="30"/>
                    </w:rPr>
                    <m:t>P1</m:t>
                  </m:r>
                  <m:ctrlPr>
                    <w:rPr>
                      <w:rFonts w:ascii="Cambria Math" w:hAnsi="Cambria Math" w:eastAsiaTheme="minorEastAsia"/>
                      <w:kern w:val="0"/>
                      <w:sz w:val="30"/>
                      <w:szCs w:val="30"/>
                    </w:rPr>
                  </m:ctrlPr>
                </m:sub>
              </m:sSub>
              <m:r>
                <m:rPr>
                  <m:sty m:val="p"/>
                </m:rPr>
                <w:rPr>
                  <w:rFonts w:ascii="Cambria Math" w:hAnsi="Cambria Math" w:eastAsiaTheme="minorEastAsia"/>
                  <w:kern w:val="0"/>
                  <w:sz w:val="30"/>
                  <w:szCs w:val="30"/>
                </w:rPr>
                <m:t>=</m:t>
              </m:r>
              <m:sSub>
                <m:sSubPr>
                  <m:ctrlPr>
                    <w:rPr>
                      <w:rFonts w:ascii="Cambria Math" w:hAnsi="Cambria Math" w:eastAsiaTheme="minorEastAsia"/>
                      <w:kern w:val="0"/>
                      <w:sz w:val="30"/>
                      <w:szCs w:val="30"/>
                    </w:rPr>
                  </m:ctrlPr>
                </m:sSubPr>
                <m:e>
                  <m:r>
                    <m:rPr>
                      <m:sty m:val="p"/>
                    </m:rPr>
                    <w:rPr>
                      <w:rFonts w:ascii="Cambria Math" w:hAnsi="Cambria Math" w:eastAsiaTheme="minorEastAsia"/>
                      <w:kern w:val="0"/>
                      <w:sz w:val="30"/>
                      <w:szCs w:val="30"/>
                    </w:rPr>
                    <m:t>L</m:t>
                  </m:r>
                  <m:ctrlPr>
                    <w:rPr>
                      <w:rFonts w:ascii="Cambria Math" w:hAnsi="Cambria Math" w:eastAsiaTheme="minorEastAsia"/>
                      <w:kern w:val="0"/>
                      <w:sz w:val="30"/>
                      <w:szCs w:val="30"/>
                    </w:rPr>
                  </m:ctrlPr>
                </m:e>
                <m:sub>
                  <m:r>
                    <m:rPr>
                      <m:sty m:val="p"/>
                    </m:rPr>
                    <w:rPr>
                      <w:rFonts w:ascii="Cambria Math" w:hAnsi="Cambria Math" w:eastAsiaTheme="minorEastAsia"/>
                      <w:kern w:val="0"/>
                      <w:sz w:val="30"/>
                      <w:szCs w:val="30"/>
                    </w:rPr>
                    <m:t>w</m:t>
                  </m:r>
                  <m:ctrlPr>
                    <w:rPr>
                      <w:rFonts w:ascii="Cambria Math" w:hAnsi="Cambria Math" w:eastAsiaTheme="minorEastAsia"/>
                      <w:kern w:val="0"/>
                      <w:sz w:val="30"/>
                      <w:szCs w:val="30"/>
                    </w:rPr>
                  </m:ctrlPr>
                </m:sub>
              </m:sSub>
              <m:r>
                <m:rPr>
                  <m:sty m:val="p"/>
                </m:rPr>
                <w:rPr>
                  <w:rFonts w:ascii="Cambria Math" w:hAnsi="Cambria Math" w:eastAsiaTheme="minorEastAsia"/>
                  <w:kern w:val="0"/>
                  <w:sz w:val="30"/>
                  <w:szCs w:val="30"/>
                </w:rPr>
                <m:t>+10lg⁡(</m:t>
              </m:r>
              <m:f>
                <m:fPr>
                  <m:ctrlPr>
                    <w:rPr>
                      <w:rFonts w:ascii="Cambria Math" w:hAnsi="Cambria Math" w:eastAsiaTheme="minorEastAsia"/>
                      <w:kern w:val="0"/>
                      <w:sz w:val="30"/>
                      <w:szCs w:val="30"/>
                    </w:rPr>
                  </m:ctrlPr>
                </m:fPr>
                <m:num>
                  <m:r>
                    <m:rPr>
                      <m:sty m:val="p"/>
                    </m:rPr>
                    <w:rPr>
                      <w:rFonts w:ascii="Cambria Math" w:hAnsi="Cambria Math" w:eastAsiaTheme="minorEastAsia"/>
                      <w:kern w:val="0"/>
                      <w:sz w:val="30"/>
                      <w:szCs w:val="30"/>
                    </w:rPr>
                    <m:t>Q</m:t>
                  </m:r>
                  <m:ctrlPr>
                    <w:rPr>
                      <w:rFonts w:ascii="Cambria Math" w:hAnsi="Cambria Math" w:eastAsiaTheme="minorEastAsia"/>
                      <w:kern w:val="0"/>
                      <w:sz w:val="30"/>
                      <w:szCs w:val="30"/>
                    </w:rPr>
                  </m:ctrlPr>
                </m:num>
                <m:den>
                  <m:sSup>
                    <m:sSupPr>
                      <m:ctrlPr>
                        <w:rPr>
                          <w:rFonts w:ascii="Cambria Math" w:hAnsi="Cambria Math" w:eastAsiaTheme="minorEastAsia"/>
                          <w:kern w:val="0"/>
                          <w:sz w:val="30"/>
                          <w:szCs w:val="30"/>
                        </w:rPr>
                      </m:ctrlPr>
                    </m:sSupPr>
                    <m:e>
                      <m:r>
                        <m:rPr>
                          <m:sty m:val="p"/>
                        </m:rPr>
                        <w:rPr>
                          <w:rFonts w:ascii="Cambria Math" w:hAnsi="Cambria Math" w:eastAsiaTheme="minorEastAsia"/>
                          <w:kern w:val="0"/>
                          <w:sz w:val="30"/>
                          <w:szCs w:val="30"/>
                        </w:rPr>
                        <m:t>4πγ</m:t>
                      </m:r>
                      <m:ctrlPr>
                        <w:rPr>
                          <w:rFonts w:ascii="Cambria Math" w:hAnsi="Cambria Math" w:eastAsiaTheme="minorEastAsia"/>
                          <w:kern w:val="0"/>
                          <w:sz w:val="30"/>
                          <w:szCs w:val="30"/>
                        </w:rPr>
                      </m:ctrlPr>
                    </m:e>
                    <m:sup>
                      <m:r>
                        <m:rPr>
                          <m:sty m:val="p"/>
                        </m:rPr>
                        <w:rPr>
                          <w:rFonts w:ascii="Cambria Math" w:hAnsi="Cambria Math" w:eastAsiaTheme="minorEastAsia"/>
                          <w:kern w:val="0"/>
                          <w:sz w:val="30"/>
                          <w:szCs w:val="30"/>
                        </w:rPr>
                        <m:t>2</m:t>
                      </m:r>
                      <m:ctrlPr>
                        <w:rPr>
                          <w:rFonts w:ascii="Cambria Math" w:hAnsi="Cambria Math" w:eastAsiaTheme="minorEastAsia"/>
                          <w:kern w:val="0"/>
                          <w:sz w:val="30"/>
                          <w:szCs w:val="30"/>
                        </w:rPr>
                      </m:ctrlPr>
                    </m:sup>
                  </m:sSup>
                  <m:ctrlPr>
                    <w:rPr>
                      <w:rFonts w:ascii="Cambria Math" w:hAnsi="Cambria Math" w:eastAsiaTheme="minorEastAsia"/>
                      <w:kern w:val="0"/>
                      <w:sz w:val="30"/>
                      <w:szCs w:val="30"/>
                    </w:rPr>
                  </m:ctrlPr>
                </m:den>
              </m:f>
              <m:r>
                <m:rPr>
                  <m:sty m:val="p"/>
                </m:rPr>
                <w:rPr>
                  <w:rFonts w:ascii="Cambria Math" w:hAnsi="Cambria Math" w:eastAsiaTheme="minorEastAsia"/>
                  <w:kern w:val="0"/>
                  <w:sz w:val="30"/>
                  <w:szCs w:val="30"/>
                </w:rPr>
                <m:t>+</m:t>
              </m:r>
              <m:f>
                <m:fPr>
                  <m:ctrlPr>
                    <w:rPr>
                      <w:rFonts w:ascii="Cambria Math" w:hAnsi="Cambria Math" w:eastAsiaTheme="minorEastAsia"/>
                      <w:kern w:val="0"/>
                      <w:sz w:val="30"/>
                      <w:szCs w:val="30"/>
                    </w:rPr>
                  </m:ctrlPr>
                </m:fPr>
                <m:num>
                  <m:r>
                    <m:rPr>
                      <m:sty m:val="p"/>
                    </m:rPr>
                    <w:rPr>
                      <w:rFonts w:ascii="Cambria Math" w:hAnsi="Cambria Math" w:eastAsiaTheme="minorEastAsia"/>
                      <w:kern w:val="0"/>
                      <w:sz w:val="30"/>
                      <w:szCs w:val="30"/>
                    </w:rPr>
                    <m:t>4</m:t>
                  </m:r>
                  <m:ctrlPr>
                    <w:rPr>
                      <w:rFonts w:ascii="Cambria Math" w:hAnsi="Cambria Math" w:eastAsiaTheme="minorEastAsia"/>
                      <w:kern w:val="0"/>
                      <w:sz w:val="30"/>
                      <w:szCs w:val="30"/>
                    </w:rPr>
                  </m:ctrlPr>
                </m:num>
                <m:den>
                  <m:r>
                    <m:rPr>
                      <m:sty m:val="p"/>
                    </m:rPr>
                    <w:rPr>
                      <w:rFonts w:ascii="Cambria Math" w:hAnsi="Cambria Math" w:eastAsiaTheme="minorEastAsia"/>
                      <w:kern w:val="0"/>
                      <w:sz w:val="30"/>
                      <w:szCs w:val="30"/>
                    </w:rPr>
                    <m:t>r</m:t>
                  </m:r>
                  <m:ctrlPr>
                    <w:rPr>
                      <w:rFonts w:ascii="Cambria Math" w:hAnsi="Cambria Math" w:eastAsiaTheme="minorEastAsia"/>
                      <w:kern w:val="0"/>
                      <w:sz w:val="30"/>
                      <w:szCs w:val="30"/>
                    </w:rPr>
                  </m:ctrlPr>
                </m:den>
              </m:f>
            </m:oMath>
            <w:r>
              <w:rPr>
                <w:rFonts w:hint="eastAsia" w:eastAsiaTheme="minorEastAsia"/>
                <w:kern w:val="0"/>
                <w:sz w:val="24"/>
              </w:rPr>
              <w:t>)</w:t>
            </w:r>
          </w:p>
          <w:p w14:paraId="08D9D32C">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式中：</w:t>
            </w:r>
            <m:oMath>
              <m:sSub>
                <m:sSubPr>
                  <m:ctrlPr>
                    <w:rPr>
                      <w:rFonts w:ascii="Cambria Math" w:hAnsi="Cambria Math" w:eastAsiaTheme="minorEastAsia"/>
                      <w:kern w:val="0"/>
                      <w:sz w:val="24"/>
                    </w:rPr>
                  </m:ctrlPr>
                </m:sSubPr>
                <m:e>
                  <m:r>
                    <m:rPr>
                      <m:sty m:val="p"/>
                    </m:rPr>
                    <w:rPr>
                      <w:rFonts w:ascii="Cambria Math" w:eastAsiaTheme="minorEastAsia"/>
                      <w:kern w:val="0"/>
                      <w:sz w:val="24"/>
                    </w:rPr>
                    <m:t>L</m:t>
                  </m:r>
                  <m:ctrlPr>
                    <w:rPr>
                      <w:rFonts w:ascii="Cambria Math" w:hAnsi="Cambria Math" w:eastAsiaTheme="minorEastAsia"/>
                      <w:kern w:val="0"/>
                      <w:sz w:val="24"/>
                    </w:rPr>
                  </m:ctrlPr>
                </m:e>
                <m:sub>
                  <m:r>
                    <m:rPr>
                      <m:sty m:val="p"/>
                    </m:rPr>
                    <w:rPr>
                      <w:rFonts w:ascii="Cambria Math" w:eastAsiaTheme="minorEastAsia"/>
                      <w:kern w:val="0"/>
                      <w:sz w:val="24"/>
                    </w:rPr>
                    <m:t>P1</m:t>
                  </m:r>
                  <m:ctrlPr>
                    <w:rPr>
                      <w:rFonts w:ascii="Cambria Math" w:hAnsi="Cambria Math" w:eastAsiaTheme="minorEastAsia"/>
                      <w:kern w:val="0"/>
                      <w:sz w:val="24"/>
                    </w:rPr>
                  </m:ctrlPr>
                </m:sub>
              </m:sSub>
            </m:oMath>
            <w:r>
              <w:rPr>
                <w:rFonts w:eastAsiaTheme="minorEastAsia"/>
                <w:kern w:val="0"/>
                <w:sz w:val="24"/>
              </w:rPr>
              <w:t>——</w:t>
            </w:r>
            <w:r>
              <w:rPr>
                <w:rFonts w:hAnsiTheme="minorEastAsia" w:eastAsiaTheme="minorEastAsia"/>
                <w:kern w:val="0"/>
                <w:sz w:val="24"/>
              </w:rPr>
              <w:t>靠近开口处（或窗户）室内某倍频带的声压级或</w:t>
            </w:r>
            <w:r>
              <w:rPr>
                <w:rFonts w:eastAsiaTheme="minorEastAsia"/>
                <w:kern w:val="0"/>
                <w:sz w:val="24"/>
              </w:rPr>
              <w:t xml:space="preserve">A </w:t>
            </w:r>
            <w:r>
              <w:rPr>
                <w:rFonts w:hAnsiTheme="minorEastAsia" w:eastAsiaTheme="minorEastAsia"/>
                <w:kern w:val="0"/>
                <w:sz w:val="24"/>
              </w:rPr>
              <w:t>声级，</w:t>
            </w:r>
            <w:r>
              <w:rPr>
                <w:rFonts w:eastAsiaTheme="minorEastAsia"/>
                <w:kern w:val="0"/>
                <w:sz w:val="24"/>
              </w:rPr>
              <w:t>dB</w:t>
            </w:r>
            <w:r>
              <w:rPr>
                <w:rFonts w:hAnsiTheme="minorEastAsia" w:eastAsiaTheme="minorEastAsia"/>
                <w:kern w:val="0"/>
                <w:sz w:val="24"/>
              </w:rPr>
              <w:t>；</w:t>
            </w:r>
          </w:p>
          <w:p w14:paraId="7B133F3C">
            <w:pPr>
              <w:autoSpaceDE w:val="0"/>
              <w:autoSpaceDN w:val="0"/>
              <w:adjustRightInd w:val="0"/>
              <w:spacing w:line="480" w:lineRule="exact"/>
              <w:ind w:firstLine="480" w:firstLineChars="200"/>
              <w:jc w:val="left"/>
              <w:rPr>
                <w:rFonts w:eastAsiaTheme="minorEastAsia"/>
                <w:kern w:val="0"/>
                <w:sz w:val="24"/>
              </w:rPr>
            </w:pPr>
            <m:oMath>
              <m:sSub>
                <m:sSubPr>
                  <m:ctrlPr>
                    <w:rPr>
                      <w:rFonts w:ascii="Cambria Math" w:hAnsi="Cambria Math" w:eastAsiaTheme="minorEastAsia"/>
                      <w:kern w:val="0"/>
                      <w:sz w:val="24"/>
                    </w:rPr>
                  </m:ctrlPr>
                </m:sSubPr>
                <m:e>
                  <m:r>
                    <m:rPr>
                      <m:sty m:val="p"/>
                    </m:rPr>
                    <w:rPr>
                      <w:rFonts w:ascii="Cambria Math" w:eastAsiaTheme="minorEastAsia"/>
                      <w:kern w:val="0"/>
                      <w:sz w:val="24"/>
                    </w:rPr>
                    <m:t xml:space="preserve">             L</m:t>
                  </m:r>
                  <m:ctrlPr>
                    <w:rPr>
                      <w:rFonts w:ascii="Cambria Math" w:hAnsi="Cambria Math" w:eastAsiaTheme="minorEastAsia"/>
                      <w:kern w:val="0"/>
                      <w:sz w:val="24"/>
                    </w:rPr>
                  </m:ctrlPr>
                </m:e>
                <m:sub>
                  <m:r>
                    <m:rPr>
                      <m:sty m:val="p"/>
                    </m:rPr>
                    <w:rPr>
                      <w:rFonts w:ascii="Cambria Math" w:eastAsiaTheme="minorEastAsia"/>
                      <w:kern w:val="0"/>
                      <w:sz w:val="24"/>
                    </w:rPr>
                    <m:t>W</m:t>
                  </m:r>
                  <m:ctrlPr>
                    <w:rPr>
                      <w:rFonts w:ascii="Cambria Math" w:hAnsi="Cambria Math" w:eastAsiaTheme="minorEastAsia"/>
                      <w:kern w:val="0"/>
                      <w:sz w:val="24"/>
                    </w:rPr>
                  </m:ctrlPr>
                </m:sub>
              </m:sSub>
            </m:oMath>
            <w:r>
              <w:rPr>
                <w:rFonts w:eastAsiaTheme="minorEastAsia"/>
                <w:kern w:val="0"/>
                <w:sz w:val="24"/>
              </w:rPr>
              <w:t>——</w:t>
            </w:r>
            <w:r>
              <w:rPr>
                <w:rFonts w:hAnsiTheme="minorEastAsia" w:eastAsiaTheme="minorEastAsia"/>
                <w:kern w:val="0"/>
                <w:sz w:val="24"/>
              </w:rPr>
              <w:t>点声源声功率级（</w:t>
            </w:r>
            <w:r>
              <w:rPr>
                <w:rFonts w:eastAsiaTheme="minorEastAsia"/>
                <w:kern w:val="0"/>
                <w:sz w:val="24"/>
              </w:rPr>
              <w:t xml:space="preserve">A </w:t>
            </w:r>
            <w:r>
              <w:rPr>
                <w:rFonts w:hAnsiTheme="minorEastAsia" w:eastAsiaTheme="minorEastAsia"/>
                <w:kern w:val="0"/>
                <w:sz w:val="24"/>
              </w:rPr>
              <w:t>计权或倍频带），</w:t>
            </w:r>
            <w:r>
              <w:rPr>
                <w:rFonts w:eastAsiaTheme="minorEastAsia"/>
                <w:kern w:val="0"/>
                <w:sz w:val="24"/>
              </w:rPr>
              <w:t>dB</w:t>
            </w:r>
            <w:r>
              <w:rPr>
                <w:rFonts w:hAnsiTheme="minorEastAsia" w:eastAsiaTheme="minorEastAsia"/>
                <w:kern w:val="0"/>
                <w:sz w:val="24"/>
              </w:rPr>
              <w:t>；</w:t>
            </w:r>
          </w:p>
          <w:p w14:paraId="5261FAF5">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 xml:space="preserve"> </w:t>
            </w:r>
            <w:r>
              <w:rPr>
                <w:rFonts w:hint="eastAsia" w:eastAsiaTheme="minorEastAsia"/>
                <w:kern w:val="0"/>
                <w:sz w:val="24"/>
              </w:rPr>
              <w:t xml:space="preserve">    </w:t>
            </w:r>
            <w:r>
              <w:rPr>
                <w:rFonts w:eastAsiaTheme="minorEastAsia"/>
                <w:kern w:val="0"/>
                <w:sz w:val="24"/>
              </w:rPr>
              <w:t xml:space="preserve"> Q——</w:t>
            </w:r>
            <w:r>
              <w:rPr>
                <w:rFonts w:hAnsiTheme="minorEastAsia" w:eastAsiaTheme="minorEastAsia"/>
                <w:kern w:val="0"/>
                <w:sz w:val="24"/>
              </w:rPr>
              <w:t>指向性因数：通常对无指向性声源，当声源放在房间中心时，</w:t>
            </w:r>
            <w:r>
              <w:rPr>
                <w:rFonts w:eastAsiaTheme="minorEastAsia"/>
                <w:kern w:val="0"/>
                <w:sz w:val="24"/>
              </w:rPr>
              <w:t>Q=1</w:t>
            </w:r>
            <w:r>
              <w:rPr>
                <w:rFonts w:hAnsiTheme="minorEastAsia" w:eastAsiaTheme="minorEastAsia"/>
                <w:kern w:val="0"/>
                <w:sz w:val="24"/>
              </w:rPr>
              <w:t>；当放在一面墙的中心时，</w:t>
            </w:r>
            <w:r>
              <w:rPr>
                <w:rFonts w:eastAsiaTheme="minorEastAsia"/>
                <w:kern w:val="0"/>
                <w:sz w:val="24"/>
              </w:rPr>
              <w:t>Q=2</w:t>
            </w:r>
            <w:r>
              <w:rPr>
                <w:rFonts w:hAnsiTheme="minorEastAsia" w:eastAsiaTheme="minorEastAsia"/>
                <w:kern w:val="0"/>
                <w:sz w:val="24"/>
              </w:rPr>
              <w:t>；当放在两面墙夹角处时，</w:t>
            </w:r>
            <w:r>
              <w:rPr>
                <w:rFonts w:eastAsiaTheme="minorEastAsia"/>
                <w:kern w:val="0"/>
                <w:sz w:val="24"/>
              </w:rPr>
              <w:t>Q=4</w:t>
            </w:r>
            <w:r>
              <w:rPr>
                <w:rFonts w:hAnsiTheme="minorEastAsia" w:eastAsiaTheme="minorEastAsia"/>
                <w:kern w:val="0"/>
                <w:sz w:val="24"/>
              </w:rPr>
              <w:t>；当放在三面墙夹角处时，</w:t>
            </w:r>
            <w:r>
              <w:rPr>
                <w:rFonts w:eastAsiaTheme="minorEastAsia"/>
                <w:kern w:val="0"/>
                <w:sz w:val="24"/>
              </w:rPr>
              <w:t>Q=8</w:t>
            </w:r>
            <w:r>
              <w:rPr>
                <w:rFonts w:hAnsiTheme="minorEastAsia" w:eastAsiaTheme="minorEastAsia"/>
                <w:kern w:val="0"/>
                <w:sz w:val="24"/>
              </w:rPr>
              <w:t>；</w:t>
            </w:r>
          </w:p>
          <w:p w14:paraId="4368CDE7">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 xml:space="preserve">   </w:t>
            </w:r>
            <w:r>
              <w:rPr>
                <w:rFonts w:hint="eastAsia" w:eastAsiaTheme="minorEastAsia"/>
                <w:kern w:val="0"/>
                <w:sz w:val="24"/>
              </w:rPr>
              <w:t xml:space="preserve">   </w:t>
            </w:r>
            <w:r>
              <w:rPr>
                <w:rFonts w:eastAsiaTheme="minorEastAsia"/>
                <w:kern w:val="0"/>
                <w:sz w:val="24"/>
              </w:rPr>
              <w:t>R——</w:t>
            </w:r>
            <w:r>
              <w:rPr>
                <w:rFonts w:hAnsiTheme="minorEastAsia" w:eastAsiaTheme="minorEastAsia"/>
                <w:kern w:val="0"/>
                <w:sz w:val="24"/>
              </w:rPr>
              <w:t>房间常数，</w:t>
            </w:r>
            <w:r>
              <w:rPr>
                <w:rFonts w:eastAsiaTheme="minorEastAsia"/>
                <w:kern w:val="0"/>
                <w:sz w:val="24"/>
              </w:rPr>
              <w:t>R=Sα/</w:t>
            </w:r>
            <w:r>
              <w:rPr>
                <w:rFonts w:hAnsiTheme="minorEastAsia" w:eastAsiaTheme="minorEastAsia"/>
                <w:kern w:val="0"/>
                <w:sz w:val="24"/>
              </w:rPr>
              <w:t>（</w:t>
            </w:r>
            <w:r>
              <w:rPr>
                <w:rFonts w:eastAsiaTheme="minorEastAsia"/>
                <w:kern w:val="0"/>
                <w:sz w:val="24"/>
              </w:rPr>
              <w:t>1-α</w:t>
            </w:r>
            <w:r>
              <w:rPr>
                <w:rFonts w:hAnsiTheme="minorEastAsia" w:eastAsiaTheme="minorEastAsia"/>
                <w:kern w:val="0"/>
                <w:sz w:val="24"/>
              </w:rPr>
              <w:t>），</w:t>
            </w:r>
            <w:r>
              <w:rPr>
                <w:rFonts w:eastAsiaTheme="minorEastAsia"/>
                <w:kern w:val="0"/>
                <w:sz w:val="24"/>
              </w:rPr>
              <w:t xml:space="preserve">S </w:t>
            </w:r>
            <w:r>
              <w:rPr>
                <w:rFonts w:hAnsiTheme="minorEastAsia" w:eastAsiaTheme="minorEastAsia"/>
                <w:kern w:val="0"/>
                <w:sz w:val="24"/>
              </w:rPr>
              <w:t>为房间内表面面积，</w:t>
            </w:r>
            <w:r>
              <w:rPr>
                <w:rFonts w:eastAsiaTheme="minorEastAsia"/>
                <w:kern w:val="0"/>
                <w:sz w:val="24"/>
              </w:rPr>
              <w:t>㎡</w:t>
            </w:r>
            <w:r>
              <w:rPr>
                <w:rFonts w:hAnsiTheme="minorEastAsia" w:eastAsiaTheme="minorEastAsia"/>
                <w:kern w:val="0"/>
                <w:sz w:val="24"/>
              </w:rPr>
              <w:t>，</w:t>
            </w:r>
            <w:r>
              <w:rPr>
                <w:rFonts w:eastAsiaTheme="minorEastAsia"/>
                <w:kern w:val="0"/>
                <w:sz w:val="24"/>
              </w:rPr>
              <w:t>α</w:t>
            </w:r>
            <w:r>
              <w:rPr>
                <w:rFonts w:hAnsiTheme="minorEastAsia" w:eastAsiaTheme="minorEastAsia"/>
                <w:kern w:val="0"/>
                <w:sz w:val="24"/>
              </w:rPr>
              <w:t>为平均吸声系数；</w:t>
            </w:r>
          </w:p>
          <w:p w14:paraId="7D76BD65">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 xml:space="preserve">  </w:t>
            </w:r>
            <w:r>
              <w:rPr>
                <w:rFonts w:hint="eastAsia" w:eastAsiaTheme="minorEastAsia"/>
                <w:kern w:val="0"/>
                <w:sz w:val="24"/>
              </w:rPr>
              <w:t xml:space="preserve">    </w:t>
            </w:r>
            <w:r>
              <w:rPr>
                <w:rFonts w:eastAsiaTheme="minorEastAsia"/>
                <w:kern w:val="0"/>
                <w:sz w:val="24"/>
              </w:rPr>
              <w:t xml:space="preserve"> r——</w:t>
            </w:r>
            <w:r>
              <w:rPr>
                <w:rFonts w:hAnsiTheme="minorEastAsia" w:eastAsiaTheme="minorEastAsia"/>
                <w:kern w:val="0"/>
                <w:sz w:val="24"/>
              </w:rPr>
              <w:t>声源到靠近围护结构某点处的距离，</w:t>
            </w:r>
            <w:r>
              <w:rPr>
                <w:rFonts w:eastAsiaTheme="minorEastAsia"/>
                <w:kern w:val="0"/>
                <w:sz w:val="24"/>
              </w:rPr>
              <w:t>m</w:t>
            </w:r>
            <w:r>
              <w:rPr>
                <w:rFonts w:hAnsiTheme="minorEastAsia" w:eastAsiaTheme="minorEastAsia"/>
                <w:kern w:val="0"/>
                <w:sz w:val="24"/>
              </w:rPr>
              <w:t>。</w:t>
            </w:r>
          </w:p>
          <w:p w14:paraId="1B2651AC">
            <w:pPr>
              <w:autoSpaceDE w:val="0"/>
              <w:autoSpaceDN w:val="0"/>
              <w:adjustRightInd w:val="0"/>
              <w:spacing w:line="480" w:lineRule="exact"/>
              <w:ind w:firstLine="480" w:firstLineChars="200"/>
              <w:jc w:val="left"/>
              <w:rPr>
                <w:rFonts w:hAnsiTheme="minorEastAsia" w:eastAsiaTheme="minorEastAsia"/>
                <w:kern w:val="0"/>
                <w:sz w:val="24"/>
              </w:rPr>
            </w:pPr>
            <w:r>
              <w:rPr>
                <w:rFonts w:eastAsiaTheme="minorEastAsia"/>
                <w:kern w:val="0"/>
                <w:sz w:val="24"/>
              </w:rPr>
              <w:t>B</w:t>
            </w:r>
            <w:r>
              <w:rPr>
                <w:rFonts w:hAnsiTheme="minorEastAsia" w:eastAsiaTheme="minorEastAsia"/>
                <w:kern w:val="0"/>
                <w:sz w:val="24"/>
              </w:rPr>
              <w:t>、所有室内声源在围护结构处产生的</w:t>
            </w:r>
            <w:r>
              <w:rPr>
                <w:rFonts w:eastAsiaTheme="minorEastAsia"/>
                <w:kern w:val="0"/>
                <w:sz w:val="24"/>
              </w:rPr>
              <w:t xml:space="preserve">i </w:t>
            </w:r>
            <w:r>
              <w:rPr>
                <w:rFonts w:hAnsiTheme="minorEastAsia" w:eastAsiaTheme="minorEastAsia"/>
                <w:kern w:val="0"/>
                <w:sz w:val="24"/>
              </w:rPr>
              <w:t>倍频带叠加声压级</w:t>
            </w:r>
          </w:p>
          <w:p w14:paraId="1B6A98CC">
            <w:pPr>
              <w:autoSpaceDE w:val="0"/>
              <w:autoSpaceDN w:val="0"/>
              <w:adjustRightInd w:val="0"/>
              <w:spacing w:line="360" w:lineRule="auto"/>
              <w:ind w:firstLine="480" w:firstLineChars="200"/>
              <w:jc w:val="left"/>
              <w:rPr>
                <w:rFonts w:eastAsiaTheme="minorEastAsia"/>
                <w:kern w:val="0"/>
                <w:sz w:val="24"/>
              </w:rPr>
            </w:pPr>
            <w:r>
              <w:rPr>
                <w:rFonts w:eastAsiaTheme="minorEastAsia"/>
                <w:kern w:val="0"/>
                <w:sz w:val="24"/>
              </w:rPr>
              <w:t>  </w:t>
            </w:r>
            <w:r>
              <w:rPr>
                <w:rFonts w:eastAsiaTheme="minorEastAsia"/>
                <w:kern w:val="0"/>
                <w:sz w:val="30"/>
                <w:szCs w:val="30"/>
              </w:rPr>
              <w:t xml:space="preserve"> </w:t>
            </w:r>
            <m:oMath>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pli</m:t>
                  </m:r>
                  <m:ctrlPr>
                    <w:rPr>
                      <w:rFonts w:ascii="Cambria Math" w:hAnsi="Cambria Math" w:eastAsiaTheme="minorEastAsia"/>
                      <w:kern w:val="0"/>
                      <w:sz w:val="28"/>
                      <w:szCs w:val="28"/>
                    </w:rPr>
                  </m:ctrlPr>
                </m:sub>
              </m:sSub>
              <m:d>
                <m:dPr>
                  <m:ctrlPr>
                    <w:rPr>
                      <w:rFonts w:ascii="Cambria Math" w:hAnsi="Cambria Math" w:eastAsiaTheme="minorEastAsia"/>
                      <w:kern w:val="0"/>
                      <w:sz w:val="28"/>
                      <w:szCs w:val="28"/>
                    </w:rPr>
                  </m:ctrlPr>
                </m:dPr>
                <m:e>
                  <m:r>
                    <m:rPr>
                      <m:sty m:val="p"/>
                    </m:rPr>
                    <w:rPr>
                      <w:rFonts w:ascii="Cambria Math" w:hAnsi="Cambria Math" w:eastAsiaTheme="minorEastAsia"/>
                      <w:kern w:val="0"/>
                      <w:sz w:val="28"/>
                      <w:szCs w:val="28"/>
                    </w:rPr>
                    <m:t>T</m:t>
                  </m:r>
                  <m:ctrlPr>
                    <w:rPr>
                      <w:rFonts w:ascii="Cambria Math" w:hAnsi="Cambria Math" w:eastAsiaTheme="minorEastAsia"/>
                      <w:kern w:val="0"/>
                      <w:sz w:val="28"/>
                      <w:szCs w:val="28"/>
                    </w:rPr>
                  </m:ctrlPr>
                </m:e>
              </m:d>
              <m:r>
                <m:rPr>
                  <m:sty m:val="p"/>
                </m:rPr>
                <w:rPr>
                  <w:rFonts w:ascii="Cambria Math" w:hAnsi="Cambria Math" w:eastAsiaTheme="minorEastAsia"/>
                  <w:kern w:val="0"/>
                  <w:sz w:val="28"/>
                  <w:szCs w:val="28"/>
                </w:rPr>
                <m:t>=10lg⁡(</m:t>
              </m:r>
              <m:nary>
                <m:naryPr>
                  <m:chr m:val="∑"/>
                  <m:limLoc m:val="undOvr"/>
                  <m:ctrlPr>
                    <w:rPr>
                      <w:rFonts w:ascii="Cambria Math" w:hAnsi="Cambria Math" w:eastAsiaTheme="minorEastAsia"/>
                      <w:kern w:val="0"/>
                      <w:sz w:val="28"/>
                      <w:szCs w:val="28"/>
                    </w:rPr>
                  </m:ctrlPr>
                </m:naryPr>
                <m:sub>
                  <m:r>
                    <m:rPr>
                      <m:sty m:val="p"/>
                    </m:rPr>
                    <w:rPr>
                      <w:rFonts w:ascii="Cambria Math" w:hAnsi="Cambria Math" w:eastAsiaTheme="minorEastAsia"/>
                      <w:kern w:val="0"/>
                      <w:sz w:val="28"/>
                      <w:szCs w:val="28"/>
                    </w:rPr>
                    <m:t>j=1</m:t>
                  </m:r>
                  <m:ctrlPr>
                    <w:rPr>
                      <w:rFonts w:ascii="Cambria Math" w:hAnsi="Cambria Math" w:eastAsiaTheme="minorEastAsia"/>
                      <w:kern w:val="0"/>
                      <w:sz w:val="28"/>
                      <w:szCs w:val="28"/>
                    </w:rPr>
                  </m:ctrlPr>
                </m:sub>
                <m:sup>
                  <m:r>
                    <m:rPr>
                      <m:sty m:val="p"/>
                    </m:rPr>
                    <w:rPr>
                      <w:rFonts w:ascii="Cambria Math" w:hAnsi="Cambria Math" w:eastAsiaTheme="minorEastAsia"/>
                      <w:kern w:val="0"/>
                      <w:sz w:val="28"/>
                      <w:szCs w:val="28"/>
                    </w:rPr>
                    <m:t>N</m:t>
                  </m:r>
                  <m:ctrlPr>
                    <w:rPr>
                      <w:rFonts w:ascii="Cambria Math" w:hAnsi="Cambria Math" w:eastAsiaTheme="minorEastAsia"/>
                      <w:kern w:val="0"/>
                      <w:sz w:val="28"/>
                      <w:szCs w:val="28"/>
                    </w:rPr>
                  </m:ctrlPr>
                </m:sup>
                <m:e>
                  <m:sSup>
                    <m:sSupPr>
                      <m:ctrlPr>
                        <w:rPr>
                          <w:rFonts w:ascii="Cambria Math" w:hAnsi="Cambria Math" w:eastAsiaTheme="minorEastAsia"/>
                          <w:kern w:val="0"/>
                          <w:sz w:val="28"/>
                          <w:szCs w:val="28"/>
                        </w:rPr>
                      </m:ctrlPr>
                    </m:sSupPr>
                    <m:e>
                      <m:r>
                        <m:rPr>
                          <m:sty m:val="p"/>
                        </m:rPr>
                        <w:rPr>
                          <w:rFonts w:ascii="Cambria Math" w:hAnsi="Cambria Math" w:eastAsiaTheme="minorEastAsia"/>
                          <w:kern w:val="0"/>
                          <w:sz w:val="28"/>
                          <w:szCs w:val="28"/>
                        </w:rPr>
                        <m:t>10</m:t>
                      </m:r>
                      <m:ctrlPr>
                        <w:rPr>
                          <w:rFonts w:ascii="Cambria Math" w:hAnsi="Cambria Math" w:eastAsiaTheme="minorEastAsia"/>
                          <w:kern w:val="0"/>
                          <w:sz w:val="28"/>
                          <w:szCs w:val="28"/>
                        </w:rPr>
                      </m:ctrlPr>
                    </m:e>
                    <m:sup>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0.1L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p1ij</m:t>
                          </m:r>
                          <m:ctrlPr>
                            <w:rPr>
                              <w:rFonts w:ascii="Cambria Math" w:hAnsi="Cambria Math" w:eastAsiaTheme="minorEastAsia"/>
                              <w:kern w:val="0"/>
                              <w:sz w:val="28"/>
                              <w:szCs w:val="28"/>
                            </w:rPr>
                          </m:ctrlPr>
                        </m:sub>
                      </m:sSub>
                      <m:ctrlPr>
                        <w:rPr>
                          <w:rFonts w:ascii="Cambria Math" w:hAnsi="Cambria Math" w:eastAsiaTheme="minorEastAsia"/>
                          <w:kern w:val="0"/>
                          <w:sz w:val="28"/>
                          <w:szCs w:val="28"/>
                        </w:rPr>
                      </m:ctrlPr>
                    </m:sup>
                  </m:sSup>
                  <m:ctrlPr>
                    <w:rPr>
                      <w:rFonts w:ascii="Cambria Math" w:hAnsi="Cambria Math" w:eastAsiaTheme="minorEastAsia"/>
                      <w:kern w:val="0"/>
                      <w:sz w:val="28"/>
                      <w:szCs w:val="28"/>
                    </w:rPr>
                  </m:ctrlPr>
                </m:e>
              </m:nary>
              <m:r>
                <m:rPr>
                  <m:sty m:val="p"/>
                </m:rPr>
                <w:rPr>
                  <w:rFonts w:ascii="Cambria Math" w:hAnsi="Cambria Math" w:eastAsiaTheme="minorEastAsia"/>
                  <w:kern w:val="0"/>
                  <w:sz w:val="28"/>
                  <w:szCs w:val="28"/>
                </w:rPr>
                <m:t>)</m:t>
              </m:r>
            </m:oMath>
          </w:p>
          <w:p w14:paraId="58A165AE">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w:t>
            </w:r>
            <w:r>
              <w:rPr>
                <w:rFonts w:hAnsiTheme="minorEastAsia" w:eastAsiaTheme="minorEastAsia"/>
                <w:kern w:val="0"/>
                <w:sz w:val="24"/>
              </w:rPr>
              <w:t>式中：</w:t>
            </w:r>
            <w:r>
              <w:rPr>
                <w:rFonts w:eastAsiaTheme="minorEastAsia"/>
                <w:kern w:val="0"/>
                <w:sz w:val="24"/>
              </w:rPr>
              <w:t xml:space="preserve">Lp1i </w:t>
            </w:r>
            <w:r>
              <w:rPr>
                <w:rFonts w:hAnsiTheme="minorEastAsia" w:eastAsiaTheme="minorEastAsia"/>
                <w:kern w:val="0"/>
                <w:sz w:val="24"/>
              </w:rPr>
              <w:t>（</w:t>
            </w:r>
            <w:r>
              <w:rPr>
                <w:rFonts w:eastAsiaTheme="minorEastAsia"/>
                <w:kern w:val="0"/>
                <w:sz w:val="24"/>
              </w:rPr>
              <w:t>T</w:t>
            </w:r>
            <w:r>
              <w:rPr>
                <w:rFonts w:hAnsiTheme="minorEastAsia" w:eastAsiaTheme="minorEastAsia"/>
                <w:kern w:val="0"/>
                <w:sz w:val="24"/>
              </w:rPr>
              <w:t>）</w:t>
            </w:r>
            <w:r>
              <w:rPr>
                <w:rFonts w:eastAsiaTheme="minorEastAsia"/>
                <w:kern w:val="0"/>
                <w:sz w:val="24"/>
              </w:rPr>
              <w:t>——</w:t>
            </w:r>
            <w:r>
              <w:rPr>
                <w:rFonts w:hAnsiTheme="minorEastAsia" w:eastAsiaTheme="minorEastAsia"/>
                <w:kern w:val="0"/>
                <w:sz w:val="24"/>
              </w:rPr>
              <w:t>靠近围护结构处室内</w:t>
            </w:r>
            <w:r>
              <w:rPr>
                <w:rFonts w:eastAsiaTheme="minorEastAsia"/>
                <w:kern w:val="0"/>
                <w:sz w:val="24"/>
              </w:rPr>
              <w:t xml:space="preserve">N </w:t>
            </w:r>
            <w:r>
              <w:rPr>
                <w:rFonts w:hAnsiTheme="minorEastAsia" w:eastAsiaTheme="minorEastAsia"/>
                <w:kern w:val="0"/>
                <w:sz w:val="24"/>
              </w:rPr>
              <w:t>个声源</w:t>
            </w:r>
            <w:r>
              <w:rPr>
                <w:rFonts w:eastAsiaTheme="minorEastAsia"/>
                <w:kern w:val="0"/>
                <w:sz w:val="24"/>
              </w:rPr>
              <w:t xml:space="preserve">i </w:t>
            </w:r>
            <w:r>
              <w:rPr>
                <w:rFonts w:hAnsiTheme="minorEastAsia" w:eastAsiaTheme="minorEastAsia"/>
                <w:kern w:val="0"/>
                <w:sz w:val="24"/>
              </w:rPr>
              <w:t>倍频带的叠加声压级，</w:t>
            </w:r>
            <w:r>
              <w:rPr>
                <w:rFonts w:eastAsiaTheme="minorEastAsia"/>
                <w:kern w:val="0"/>
                <w:sz w:val="24"/>
              </w:rPr>
              <w:t>dB</w:t>
            </w:r>
            <w:r>
              <w:rPr>
                <w:rFonts w:hAnsiTheme="minorEastAsia" w:eastAsiaTheme="minorEastAsia"/>
                <w:kern w:val="0"/>
                <w:sz w:val="24"/>
              </w:rPr>
              <w:t>；</w:t>
            </w:r>
          </w:p>
          <w:p w14:paraId="3AACB899">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Lp1ij——</w:t>
            </w:r>
            <w:r>
              <w:rPr>
                <w:rFonts w:hAnsiTheme="minorEastAsia" w:eastAsiaTheme="minorEastAsia"/>
                <w:kern w:val="0"/>
                <w:sz w:val="24"/>
              </w:rPr>
              <w:t>室内</w:t>
            </w:r>
            <w:r>
              <w:rPr>
                <w:rFonts w:eastAsiaTheme="minorEastAsia"/>
                <w:kern w:val="0"/>
                <w:sz w:val="24"/>
              </w:rPr>
              <w:t xml:space="preserve">j </w:t>
            </w:r>
            <w:r>
              <w:rPr>
                <w:rFonts w:hAnsiTheme="minorEastAsia" w:eastAsiaTheme="minorEastAsia"/>
                <w:kern w:val="0"/>
                <w:sz w:val="24"/>
              </w:rPr>
              <w:t>声源</w:t>
            </w:r>
            <w:r>
              <w:rPr>
                <w:rFonts w:eastAsiaTheme="minorEastAsia"/>
                <w:kern w:val="0"/>
                <w:sz w:val="24"/>
              </w:rPr>
              <w:t xml:space="preserve">i </w:t>
            </w:r>
            <w:r>
              <w:rPr>
                <w:rFonts w:hAnsiTheme="minorEastAsia" w:eastAsiaTheme="minorEastAsia"/>
                <w:kern w:val="0"/>
                <w:sz w:val="24"/>
              </w:rPr>
              <w:t>倍频带的声压级，</w:t>
            </w:r>
            <w:r>
              <w:rPr>
                <w:rFonts w:eastAsiaTheme="minorEastAsia"/>
                <w:kern w:val="0"/>
                <w:sz w:val="24"/>
              </w:rPr>
              <w:t>dB</w:t>
            </w:r>
            <w:r>
              <w:rPr>
                <w:rFonts w:hAnsiTheme="minorEastAsia" w:eastAsiaTheme="minorEastAsia"/>
                <w:kern w:val="0"/>
                <w:sz w:val="24"/>
              </w:rPr>
              <w:t>；</w:t>
            </w:r>
          </w:p>
          <w:p w14:paraId="35469B40">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N——</w:t>
            </w:r>
            <w:r>
              <w:rPr>
                <w:rFonts w:hAnsiTheme="minorEastAsia" w:eastAsiaTheme="minorEastAsia"/>
                <w:kern w:val="0"/>
                <w:sz w:val="24"/>
              </w:rPr>
              <w:t>室内声源总数。</w:t>
            </w:r>
          </w:p>
          <w:p w14:paraId="5C8D946A">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C</w:t>
            </w:r>
            <w:r>
              <w:rPr>
                <w:rFonts w:hAnsiTheme="minorEastAsia" w:eastAsiaTheme="minorEastAsia"/>
                <w:kern w:val="0"/>
                <w:sz w:val="24"/>
              </w:rPr>
              <w:t>、按下式计算出靠近室外围护结构处的声压级</w:t>
            </w:r>
          </w:p>
          <w:p w14:paraId="42A36389">
            <w:pPr>
              <w:autoSpaceDE w:val="0"/>
              <w:autoSpaceDN w:val="0"/>
              <w:adjustRightInd w:val="0"/>
              <w:spacing w:line="480" w:lineRule="exact"/>
              <w:ind w:firstLine="560" w:firstLineChars="200"/>
              <w:jc w:val="left"/>
              <w:rPr>
                <w:rFonts w:eastAsiaTheme="minorEastAsia"/>
                <w:kern w:val="0"/>
                <w:sz w:val="24"/>
              </w:rPr>
            </w:pPr>
            <m:oMathPara>
              <m:oMath>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p2i</m:t>
                    </m:r>
                    <m:ctrlPr>
                      <w:rPr>
                        <w:rFonts w:ascii="Cambria Math" w:hAnsi="Cambria Math" w:eastAsiaTheme="minorEastAsia"/>
                        <w:kern w:val="0"/>
                        <w:sz w:val="28"/>
                        <w:szCs w:val="28"/>
                      </w:rPr>
                    </m:ctrlPr>
                  </m:sub>
                </m:sSub>
                <m:d>
                  <m:dPr>
                    <m:ctrlPr>
                      <w:rPr>
                        <w:rFonts w:ascii="Cambria Math" w:hAnsi="Cambria Math" w:eastAsiaTheme="minorEastAsia"/>
                        <w:kern w:val="0"/>
                        <w:sz w:val="28"/>
                        <w:szCs w:val="28"/>
                      </w:rPr>
                    </m:ctrlPr>
                  </m:dPr>
                  <m:e>
                    <m:r>
                      <m:rPr>
                        <m:sty m:val="p"/>
                      </m:rPr>
                      <w:rPr>
                        <w:rFonts w:ascii="Cambria Math" w:hAnsi="Cambria Math" w:eastAsiaTheme="minorEastAsia"/>
                        <w:kern w:val="0"/>
                        <w:sz w:val="28"/>
                        <w:szCs w:val="28"/>
                      </w:rPr>
                      <m:t>T</m:t>
                    </m:r>
                    <m:ctrlPr>
                      <w:rPr>
                        <w:rFonts w:ascii="Cambria Math" w:hAnsi="Cambria Math" w:eastAsiaTheme="minorEastAsia"/>
                        <w:kern w:val="0"/>
                        <w:sz w:val="28"/>
                        <w:szCs w:val="28"/>
                      </w:rPr>
                    </m:ctrlPr>
                  </m:e>
                </m:d>
                <m:r>
                  <m:rPr>
                    <m:sty m:val="p"/>
                  </m:rPr>
                  <w:rPr>
                    <w:rFonts w:ascii="Cambria Math" w:hAnsi="Cambria Math" w:eastAsiaTheme="minorEastAsia"/>
                    <w:kern w:val="0"/>
                    <w:sz w:val="28"/>
                    <w:szCs w:val="28"/>
                  </w:rPr>
                  <m:t>=</m:t>
                </m:r>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pli</m:t>
                    </m:r>
                    <m:ctrlPr>
                      <w:rPr>
                        <w:rFonts w:ascii="Cambria Math" w:hAnsi="Cambria Math" w:eastAsiaTheme="minorEastAsia"/>
                        <w:kern w:val="0"/>
                        <w:sz w:val="28"/>
                        <w:szCs w:val="28"/>
                      </w:rPr>
                    </m:ctrlPr>
                  </m:sub>
                </m:sSub>
                <m:d>
                  <m:dPr>
                    <m:ctrlPr>
                      <w:rPr>
                        <w:rFonts w:ascii="Cambria Math" w:hAnsi="Cambria Math" w:eastAsiaTheme="minorEastAsia"/>
                        <w:kern w:val="0"/>
                        <w:sz w:val="28"/>
                        <w:szCs w:val="28"/>
                      </w:rPr>
                    </m:ctrlPr>
                  </m:dPr>
                  <m:e>
                    <m:r>
                      <m:rPr>
                        <m:sty m:val="p"/>
                      </m:rPr>
                      <w:rPr>
                        <w:rFonts w:ascii="Cambria Math" w:hAnsi="Cambria Math" w:eastAsiaTheme="minorEastAsia"/>
                        <w:kern w:val="0"/>
                        <w:sz w:val="28"/>
                        <w:szCs w:val="28"/>
                      </w:rPr>
                      <m:t>T</m:t>
                    </m:r>
                    <m:ctrlPr>
                      <w:rPr>
                        <w:rFonts w:ascii="Cambria Math" w:hAnsi="Cambria Math" w:eastAsiaTheme="minorEastAsia"/>
                        <w:kern w:val="0"/>
                        <w:sz w:val="28"/>
                        <w:szCs w:val="28"/>
                      </w:rPr>
                    </m:ctrlPr>
                  </m:e>
                </m:d>
                <m:r>
                  <m:rPr>
                    <m:sty m:val="p"/>
                  </m:rPr>
                  <w:rPr>
                    <w:rFonts w:ascii="Cambria Math" w:hAnsi="Cambria Math" w:eastAsiaTheme="minorEastAsia"/>
                    <w:kern w:val="0"/>
                    <w:sz w:val="28"/>
                    <w:szCs w:val="28"/>
                  </w:rPr>
                  <m:t>−(T</m:t>
                </m:r>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i</m:t>
                    </m:r>
                    <m:ctrlPr>
                      <w:rPr>
                        <w:rFonts w:ascii="Cambria Math" w:hAnsi="Cambria Math" w:eastAsiaTheme="minorEastAsia"/>
                        <w:kern w:val="0"/>
                        <w:sz w:val="28"/>
                        <w:szCs w:val="28"/>
                      </w:rPr>
                    </m:ctrlPr>
                  </m:sub>
                </m:sSub>
                <m:r>
                  <m:rPr>
                    <m:sty m:val="p"/>
                  </m:rPr>
                  <w:rPr>
                    <w:rFonts w:ascii="Cambria Math" w:hAnsi="Cambria Math" w:eastAsiaTheme="minorEastAsia"/>
                    <w:kern w:val="0"/>
                    <w:sz w:val="28"/>
                    <w:szCs w:val="28"/>
                  </w:rPr>
                  <m:t>+6)</m:t>
                </m:r>
              </m:oMath>
            </m:oMathPara>
          </w:p>
          <w:p w14:paraId="4FAF1D1C">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式中：</w:t>
            </w:r>
            <w:r>
              <w:rPr>
                <w:rFonts w:eastAsiaTheme="minorEastAsia"/>
                <w:kern w:val="0"/>
                <w:sz w:val="24"/>
              </w:rPr>
              <w:t xml:space="preserve">Lp2i </w:t>
            </w:r>
            <w:r>
              <w:rPr>
                <w:rFonts w:hAnsiTheme="minorEastAsia" w:eastAsiaTheme="minorEastAsia"/>
                <w:kern w:val="0"/>
                <w:sz w:val="24"/>
              </w:rPr>
              <w:t>（</w:t>
            </w:r>
            <w:r>
              <w:rPr>
                <w:rFonts w:eastAsiaTheme="minorEastAsia"/>
                <w:kern w:val="0"/>
                <w:sz w:val="24"/>
              </w:rPr>
              <w:t>T</w:t>
            </w:r>
            <w:r>
              <w:rPr>
                <w:rFonts w:hAnsiTheme="minorEastAsia" w:eastAsiaTheme="minorEastAsia"/>
                <w:kern w:val="0"/>
                <w:sz w:val="24"/>
              </w:rPr>
              <w:t>）</w:t>
            </w:r>
            <w:r>
              <w:rPr>
                <w:rFonts w:eastAsiaTheme="minorEastAsia"/>
                <w:kern w:val="0"/>
                <w:sz w:val="24"/>
              </w:rPr>
              <w:t>——</w:t>
            </w:r>
            <w:r>
              <w:rPr>
                <w:rFonts w:hAnsiTheme="minorEastAsia" w:eastAsiaTheme="minorEastAsia"/>
                <w:kern w:val="0"/>
                <w:sz w:val="24"/>
              </w:rPr>
              <w:t>靠近围护结构处室外</w:t>
            </w:r>
            <w:r>
              <w:rPr>
                <w:rFonts w:eastAsiaTheme="minorEastAsia"/>
                <w:kern w:val="0"/>
                <w:sz w:val="24"/>
              </w:rPr>
              <w:t xml:space="preserve">N </w:t>
            </w:r>
            <w:r>
              <w:rPr>
                <w:rFonts w:hAnsiTheme="minorEastAsia" w:eastAsiaTheme="minorEastAsia"/>
                <w:kern w:val="0"/>
                <w:sz w:val="24"/>
              </w:rPr>
              <w:t>个声源</w:t>
            </w:r>
            <w:r>
              <w:rPr>
                <w:rFonts w:eastAsiaTheme="minorEastAsia"/>
                <w:kern w:val="0"/>
                <w:sz w:val="24"/>
              </w:rPr>
              <w:t xml:space="preserve">i </w:t>
            </w:r>
            <w:r>
              <w:rPr>
                <w:rFonts w:hAnsiTheme="minorEastAsia" w:eastAsiaTheme="minorEastAsia"/>
                <w:kern w:val="0"/>
                <w:sz w:val="24"/>
              </w:rPr>
              <w:t>倍频带的叠加声压级，</w:t>
            </w:r>
            <w:r>
              <w:rPr>
                <w:rFonts w:eastAsiaTheme="minorEastAsia"/>
                <w:kern w:val="0"/>
                <w:sz w:val="24"/>
              </w:rPr>
              <w:t>dB</w:t>
            </w:r>
            <w:r>
              <w:rPr>
                <w:rFonts w:hAnsiTheme="minorEastAsia" w:eastAsiaTheme="minorEastAsia"/>
                <w:kern w:val="0"/>
                <w:sz w:val="24"/>
              </w:rPr>
              <w:t>；</w:t>
            </w:r>
          </w:p>
          <w:p w14:paraId="44C56B44">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 xml:space="preserve">Lp1i </w:t>
            </w:r>
            <w:r>
              <w:rPr>
                <w:rFonts w:hAnsiTheme="minorEastAsia" w:eastAsiaTheme="minorEastAsia"/>
                <w:kern w:val="0"/>
                <w:sz w:val="24"/>
              </w:rPr>
              <w:t>（</w:t>
            </w:r>
            <w:r>
              <w:rPr>
                <w:rFonts w:eastAsiaTheme="minorEastAsia"/>
                <w:kern w:val="0"/>
                <w:sz w:val="24"/>
              </w:rPr>
              <w:t>T</w:t>
            </w:r>
            <w:r>
              <w:rPr>
                <w:rFonts w:hAnsiTheme="minorEastAsia" w:eastAsiaTheme="minorEastAsia"/>
                <w:kern w:val="0"/>
                <w:sz w:val="24"/>
              </w:rPr>
              <w:t>）</w:t>
            </w:r>
            <w:r>
              <w:rPr>
                <w:rFonts w:eastAsiaTheme="minorEastAsia"/>
                <w:kern w:val="0"/>
                <w:sz w:val="24"/>
              </w:rPr>
              <w:t>——</w:t>
            </w:r>
            <w:r>
              <w:rPr>
                <w:rFonts w:hAnsiTheme="minorEastAsia" w:eastAsiaTheme="minorEastAsia"/>
                <w:kern w:val="0"/>
                <w:sz w:val="24"/>
              </w:rPr>
              <w:t>靠近围护结构处室内</w:t>
            </w:r>
            <w:r>
              <w:rPr>
                <w:rFonts w:eastAsiaTheme="minorEastAsia"/>
                <w:kern w:val="0"/>
                <w:sz w:val="24"/>
              </w:rPr>
              <w:t xml:space="preserve">N </w:t>
            </w:r>
            <w:r>
              <w:rPr>
                <w:rFonts w:hAnsiTheme="minorEastAsia" w:eastAsiaTheme="minorEastAsia"/>
                <w:kern w:val="0"/>
                <w:sz w:val="24"/>
              </w:rPr>
              <w:t>个声源</w:t>
            </w:r>
            <w:r>
              <w:rPr>
                <w:rFonts w:eastAsiaTheme="minorEastAsia"/>
                <w:kern w:val="0"/>
                <w:sz w:val="24"/>
              </w:rPr>
              <w:t xml:space="preserve">i </w:t>
            </w:r>
            <w:r>
              <w:rPr>
                <w:rFonts w:hAnsiTheme="minorEastAsia" w:eastAsiaTheme="minorEastAsia"/>
                <w:kern w:val="0"/>
                <w:sz w:val="24"/>
              </w:rPr>
              <w:t>倍频带的叠加声压级，</w:t>
            </w:r>
            <w:r>
              <w:rPr>
                <w:rFonts w:eastAsiaTheme="minorEastAsia"/>
                <w:kern w:val="0"/>
                <w:sz w:val="24"/>
              </w:rPr>
              <w:t>dB</w:t>
            </w:r>
            <w:r>
              <w:rPr>
                <w:rFonts w:hAnsiTheme="minorEastAsia" w:eastAsiaTheme="minorEastAsia"/>
                <w:kern w:val="0"/>
                <w:sz w:val="24"/>
              </w:rPr>
              <w:t>；</w:t>
            </w:r>
          </w:p>
          <w:p w14:paraId="0557DDFB">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TLi——</w:t>
            </w:r>
            <w:r>
              <w:rPr>
                <w:rFonts w:hAnsiTheme="minorEastAsia" w:eastAsiaTheme="minorEastAsia"/>
                <w:kern w:val="0"/>
                <w:sz w:val="24"/>
              </w:rPr>
              <w:t>围护结构</w:t>
            </w:r>
            <w:r>
              <w:rPr>
                <w:rFonts w:eastAsiaTheme="minorEastAsia"/>
                <w:kern w:val="0"/>
                <w:sz w:val="24"/>
              </w:rPr>
              <w:t xml:space="preserve">i </w:t>
            </w:r>
            <w:r>
              <w:rPr>
                <w:rFonts w:hAnsiTheme="minorEastAsia" w:eastAsiaTheme="minorEastAsia"/>
                <w:kern w:val="0"/>
                <w:sz w:val="24"/>
              </w:rPr>
              <w:t>倍频带的隔声量，</w:t>
            </w:r>
            <w:r>
              <w:rPr>
                <w:rFonts w:eastAsiaTheme="minorEastAsia"/>
                <w:kern w:val="0"/>
                <w:sz w:val="24"/>
              </w:rPr>
              <w:t>dB</w:t>
            </w:r>
            <w:r>
              <w:rPr>
                <w:rFonts w:hAnsiTheme="minorEastAsia" w:eastAsiaTheme="minorEastAsia"/>
                <w:kern w:val="0"/>
                <w:sz w:val="24"/>
              </w:rPr>
              <w:t>。</w:t>
            </w:r>
          </w:p>
          <w:p w14:paraId="0A20F819">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D</w:t>
            </w:r>
            <w:r>
              <w:rPr>
                <w:rFonts w:hAnsiTheme="minorEastAsia" w:eastAsiaTheme="minorEastAsia"/>
                <w:kern w:val="0"/>
                <w:sz w:val="24"/>
              </w:rPr>
              <w:t>、按下式将室外声源的声压级和透过面积换算成等效的室外声源，计算出中心位置位于透声面积（</w:t>
            </w:r>
            <w:r>
              <w:rPr>
                <w:rFonts w:eastAsiaTheme="minorEastAsia"/>
                <w:kern w:val="0"/>
                <w:sz w:val="24"/>
              </w:rPr>
              <w:t>S</w:t>
            </w:r>
            <w:r>
              <w:rPr>
                <w:rFonts w:hAnsiTheme="minorEastAsia" w:eastAsiaTheme="minorEastAsia"/>
                <w:kern w:val="0"/>
                <w:sz w:val="24"/>
              </w:rPr>
              <w:t>）处的等效声源的倍频带声功率级</w:t>
            </w:r>
          </w:p>
          <w:p w14:paraId="4BD74098">
            <w:pPr>
              <w:autoSpaceDE w:val="0"/>
              <w:autoSpaceDN w:val="0"/>
              <w:adjustRightInd w:val="0"/>
              <w:spacing w:line="480" w:lineRule="exact"/>
              <w:jc w:val="center"/>
              <w:rPr>
                <w:rFonts w:eastAsiaTheme="minorEastAsia"/>
                <w:kern w:val="0"/>
                <w:sz w:val="30"/>
                <w:szCs w:val="30"/>
              </w:rPr>
            </w:pPr>
            <w:r>
              <w:rPr>
                <w:rFonts w:eastAsiaTheme="minorEastAsia"/>
                <w:kern w:val="0"/>
                <w:sz w:val="30"/>
                <w:szCs w:val="30"/>
              </w:rPr>
              <w:t></w:t>
            </w:r>
            <m:oMath>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w</m:t>
                  </m:r>
                  <m:ctrlPr>
                    <w:rPr>
                      <w:rFonts w:ascii="Cambria Math" w:hAnsi="Cambria Math" w:eastAsiaTheme="minorEastAsia"/>
                      <w:kern w:val="0"/>
                      <w:sz w:val="28"/>
                      <w:szCs w:val="28"/>
                    </w:rPr>
                  </m:ctrlPr>
                </m:sub>
              </m:sSub>
              <m:r>
                <m:rPr>
                  <m:sty m:val="p"/>
                </m:rPr>
                <w:rPr>
                  <w:rFonts w:ascii="Cambria Math" w:hAnsi="Cambria Math" w:eastAsiaTheme="minorEastAsia"/>
                  <w:kern w:val="0"/>
                  <w:sz w:val="28"/>
                  <w:szCs w:val="28"/>
                </w:rPr>
                <m:t>=</m:t>
              </m:r>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p2</m:t>
                  </m:r>
                  <m:ctrlPr>
                    <w:rPr>
                      <w:rFonts w:ascii="Cambria Math" w:hAnsi="Cambria Math" w:eastAsiaTheme="minorEastAsia"/>
                      <w:kern w:val="0"/>
                      <w:sz w:val="28"/>
                      <w:szCs w:val="28"/>
                    </w:rPr>
                  </m:ctrlPr>
                </m:sub>
              </m:sSub>
              <m:d>
                <m:dPr>
                  <m:ctrlPr>
                    <w:rPr>
                      <w:rFonts w:ascii="Cambria Math" w:hAnsi="Cambria Math" w:eastAsiaTheme="minorEastAsia"/>
                      <w:kern w:val="0"/>
                      <w:sz w:val="28"/>
                      <w:szCs w:val="28"/>
                    </w:rPr>
                  </m:ctrlPr>
                </m:dPr>
                <m:e>
                  <m:r>
                    <m:rPr>
                      <m:sty m:val="p"/>
                    </m:rPr>
                    <w:rPr>
                      <w:rFonts w:ascii="Cambria Math" w:hAnsi="Cambria Math" w:eastAsiaTheme="minorEastAsia"/>
                      <w:kern w:val="0"/>
                      <w:sz w:val="28"/>
                      <w:szCs w:val="28"/>
                    </w:rPr>
                    <m:t>T</m:t>
                  </m:r>
                  <m:ctrlPr>
                    <w:rPr>
                      <w:rFonts w:ascii="Cambria Math" w:hAnsi="Cambria Math" w:eastAsiaTheme="minorEastAsia"/>
                      <w:kern w:val="0"/>
                      <w:sz w:val="28"/>
                      <w:szCs w:val="28"/>
                    </w:rPr>
                  </m:ctrlPr>
                </m:e>
              </m:d>
              <m:r>
                <m:rPr>
                  <m:sty m:val="p"/>
                </m:rPr>
                <w:rPr>
                  <w:rFonts w:ascii="Cambria Math" w:hAnsi="Cambria Math" w:eastAsiaTheme="minorEastAsia"/>
                  <w:kern w:val="0"/>
                  <w:sz w:val="28"/>
                  <w:szCs w:val="28"/>
                </w:rPr>
                <m:t>+10lgS</m:t>
              </m:r>
            </m:oMath>
          </w:p>
          <w:p w14:paraId="07A52D4B">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式中：</w:t>
            </w:r>
            <w:r>
              <w:rPr>
                <w:rFonts w:eastAsiaTheme="minorEastAsia"/>
                <w:kern w:val="0"/>
                <w:sz w:val="24"/>
              </w:rPr>
              <w:t>Lw—</w:t>
            </w:r>
            <w:r>
              <w:rPr>
                <w:rFonts w:hAnsiTheme="minorEastAsia" w:eastAsiaTheme="minorEastAsia"/>
                <w:kern w:val="0"/>
                <w:sz w:val="24"/>
              </w:rPr>
              <w:t>中心位置位于透声面积（</w:t>
            </w:r>
            <w:r>
              <w:rPr>
                <w:rFonts w:eastAsiaTheme="minorEastAsia"/>
                <w:kern w:val="0"/>
                <w:sz w:val="24"/>
              </w:rPr>
              <w:t>S</w:t>
            </w:r>
            <w:r>
              <w:rPr>
                <w:rFonts w:hAnsiTheme="minorEastAsia" w:eastAsiaTheme="minorEastAsia"/>
                <w:kern w:val="0"/>
                <w:sz w:val="24"/>
              </w:rPr>
              <w:t>）处的等效声源的倍频带声功率级，</w:t>
            </w:r>
            <w:r>
              <w:rPr>
                <w:rFonts w:eastAsiaTheme="minorEastAsia"/>
                <w:kern w:val="0"/>
                <w:sz w:val="24"/>
              </w:rPr>
              <w:t>dB</w:t>
            </w:r>
            <w:r>
              <w:rPr>
                <w:rFonts w:hAnsiTheme="minorEastAsia" w:eastAsiaTheme="minorEastAsia"/>
                <w:kern w:val="0"/>
                <w:sz w:val="24"/>
              </w:rPr>
              <w:t>；</w:t>
            </w:r>
          </w:p>
          <w:p w14:paraId="0F8205ED">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Lp2</w:t>
            </w:r>
            <w:r>
              <w:rPr>
                <w:rFonts w:hAnsiTheme="minorEastAsia" w:eastAsiaTheme="minorEastAsia"/>
                <w:kern w:val="0"/>
                <w:sz w:val="24"/>
              </w:rPr>
              <w:t>（</w:t>
            </w:r>
            <w:r>
              <w:rPr>
                <w:rFonts w:eastAsiaTheme="minorEastAsia"/>
                <w:kern w:val="0"/>
                <w:sz w:val="24"/>
              </w:rPr>
              <w:t>T</w:t>
            </w:r>
            <w:r>
              <w:rPr>
                <w:rFonts w:hAnsiTheme="minorEastAsia" w:eastAsiaTheme="minorEastAsia"/>
                <w:kern w:val="0"/>
                <w:sz w:val="24"/>
              </w:rPr>
              <w:t>）</w:t>
            </w:r>
            <w:r>
              <w:rPr>
                <w:rFonts w:eastAsiaTheme="minorEastAsia"/>
                <w:kern w:val="0"/>
                <w:sz w:val="24"/>
              </w:rPr>
              <w:t>——</w:t>
            </w:r>
            <w:r>
              <w:rPr>
                <w:rFonts w:hAnsiTheme="minorEastAsia" w:eastAsiaTheme="minorEastAsia"/>
                <w:kern w:val="0"/>
                <w:sz w:val="24"/>
              </w:rPr>
              <w:t>靠近围护结构处室外声源的声压级，</w:t>
            </w:r>
            <w:r>
              <w:rPr>
                <w:rFonts w:eastAsiaTheme="minorEastAsia"/>
                <w:kern w:val="0"/>
                <w:sz w:val="24"/>
              </w:rPr>
              <w:t>dB</w:t>
            </w:r>
            <w:r>
              <w:rPr>
                <w:rFonts w:hAnsiTheme="minorEastAsia" w:eastAsiaTheme="minorEastAsia"/>
                <w:kern w:val="0"/>
                <w:sz w:val="24"/>
              </w:rPr>
              <w:t>；</w:t>
            </w:r>
          </w:p>
          <w:p w14:paraId="26206B0F">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S—</w:t>
            </w:r>
            <w:r>
              <w:rPr>
                <w:rFonts w:hAnsiTheme="minorEastAsia" w:eastAsiaTheme="minorEastAsia"/>
                <w:kern w:val="0"/>
                <w:sz w:val="24"/>
              </w:rPr>
              <w:t>透声面积，</w:t>
            </w:r>
            <w:r>
              <w:rPr>
                <w:rFonts w:eastAsiaTheme="minorEastAsia"/>
                <w:kern w:val="0"/>
                <w:sz w:val="24"/>
              </w:rPr>
              <w:t>m</w:t>
            </w:r>
            <w:r>
              <w:rPr>
                <w:rFonts w:eastAsiaTheme="minorEastAsia"/>
                <w:kern w:val="0"/>
                <w:sz w:val="24"/>
                <w:vertAlign w:val="superscript"/>
              </w:rPr>
              <w:t>2</w:t>
            </w:r>
            <w:r>
              <w:rPr>
                <w:rFonts w:hAnsiTheme="minorEastAsia" w:eastAsiaTheme="minorEastAsia"/>
                <w:kern w:val="0"/>
                <w:sz w:val="24"/>
              </w:rPr>
              <w:t>。</w:t>
            </w:r>
          </w:p>
          <w:p w14:paraId="1F72338F">
            <w:pPr>
              <w:autoSpaceDE w:val="0"/>
              <w:autoSpaceDN w:val="0"/>
              <w:adjustRightInd w:val="0"/>
              <w:spacing w:line="480" w:lineRule="exact"/>
              <w:ind w:firstLine="482" w:firstLineChars="200"/>
              <w:jc w:val="left"/>
              <w:rPr>
                <w:rFonts w:eastAsiaTheme="minorEastAsia"/>
                <w:b/>
                <w:kern w:val="0"/>
                <w:sz w:val="24"/>
              </w:rPr>
            </w:pPr>
            <w:r>
              <w:rPr>
                <w:rFonts w:hint="eastAsia" w:hAnsiTheme="minorEastAsia" w:eastAsiaTheme="minorEastAsia"/>
                <w:b/>
                <w:kern w:val="0"/>
                <w:sz w:val="24"/>
              </w:rPr>
              <w:t>（2）</w:t>
            </w:r>
            <w:r>
              <w:rPr>
                <w:rFonts w:hAnsiTheme="minorEastAsia" w:eastAsiaTheme="minorEastAsia"/>
                <w:b/>
                <w:kern w:val="0"/>
                <w:sz w:val="24"/>
              </w:rPr>
              <w:t>室外声源预测模式</w:t>
            </w:r>
          </w:p>
          <w:p w14:paraId="6ED04EA4">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结合项目平面布置情况和外环境关系，本次噪声预测只考虑几何发散衰减，其室外声源预测方法计算预测点处的</w:t>
            </w:r>
            <w:r>
              <w:rPr>
                <w:rFonts w:eastAsiaTheme="minorEastAsia"/>
                <w:kern w:val="0"/>
                <w:sz w:val="24"/>
              </w:rPr>
              <w:t xml:space="preserve">A </w:t>
            </w:r>
            <w:r>
              <w:rPr>
                <w:rFonts w:hAnsiTheme="minorEastAsia" w:eastAsiaTheme="minorEastAsia"/>
                <w:kern w:val="0"/>
                <w:sz w:val="24"/>
              </w:rPr>
              <w:t>声级如下所示：</w:t>
            </w:r>
          </w:p>
          <w:p w14:paraId="51D9F037">
            <w:pPr>
              <w:autoSpaceDE w:val="0"/>
              <w:autoSpaceDN w:val="0"/>
              <w:adjustRightInd w:val="0"/>
              <w:spacing w:line="480" w:lineRule="exact"/>
              <w:jc w:val="center"/>
              <w:rPr>
                <w:rFonts w:eastAsiaTheme="minorEastAsia"/>
                <w:kern w:val="0"/>
                <w:sz w:val="24"/>
              </w:rPr>
            </w:pPr>
            <w:r>
              <w:rPr>
                <w:rFonts w:eastAsiaTheme="minorEastAsia"/>
                <w:kern w:val="0"/>
                <w:sz w:val="24"/>
              </w:rPr>
              <w:t></w:t>
            </w:r>
            <m:oMath>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A</m:t>
                  </m:r>
                  <m:ctrlPr>
                    <w:rPr>
                      <w:rFonts w:ascii="Cambria Math" w:hAnsi="Cambria Math" w:eastAsiaTheme="minorEastAsia"/>
                      <w:kern w:val="0"/>
                      <w:sz w:val="28"/>
                      <w:szCs w:val="28"/>
                    </w:rPr>
                  </m:ctrlPr>
                </m:sub>
              </m:sSub>
              <m:d>
                <m:dPr>
                  <m:ctrlPr>
                    <w:rPr>
                      <w:rFonts w:ascii="Cambria Math" w:hAnsi="Cambria Math" w:eastAsiaTheme="minorEastAsia"/>
                      <w:kern w:val="0"/>
                      <w:sz w:val="28"/>
                      <w:szCs w:val="28"/>
                    </w:rPr>
                  </m:ctrlPr>
                </m:dPr>
                <m:e>
                  <m:r>
                    <m:rPr>
                      <m:sty m:val="p"/>
                    </m:rPr>
                    <w:rPr>
                      <w:rFonts w:ascii="Cambria Math" w:hAnsi="Cambria Math" w:eastAsiaTheme="minorEastAsia"/>
                      <w:kern w:val="0"/>
                      <w:sz w:val="28"/>
                      <w:szCs w:val="28"/>
                    </w:rPr>
                    <m:t>r</m:t>
                  </m:r>
                  <m:ctrlPr>
                    <w:rPr>
                      <w:rFonts w:ascii="Cambria Math" w:hAnsi="Cambria Math" w:eastAsiaTheme="minorEastAsia"/>
                      <w:kern w:val="0"/>
                      <w:sz w:val="28"/>
                      <w:szCs w:val="28"/>
                    </w:rPr>
                  </m:ctrlPr>
                </m:e>
              </m:d>
              <m:r>
                <m:rPr>
                  <m:sty m:val="p"/>
                </m:rPr>
                <w:rPr>
                  <w:rFonts w:ascii="Cambria Math" w:hAnsi="Cambria Math" w:eastAsiaTheme="minorEastAsia"/>
                  <w:kern w:val="0"/>
                  <w:sz w:val="28"/>
                  <w:szCs w:val="28"/>
                </w:rPr>
                <m:t>=</m:t>
              </m:r>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L</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A</m:t>
                  </m:r>
                  <m:ctrlPr>
                    <w:rPr>
                      <w:rFonts w:ascii="Cambria Math" w:hAnsi="Cambria Math" w:eastAsiaTheme="minorEastAsia"/>
                      <w:kern w:val="0"/>
                      <w:sz w:val="28"/>
                      <w:szCs w:val="28"/>
                    </w:rPr>
                  </m:ctrlPr>
                </m:sub>
              </m:sSub>
              <m:r>
                <m:rPr>
                  <m:sty m:val="p"/>
                </m:rPr>
                <w:rPr>
                  <w:rFonts w:ascii="Cambria Math" w:hAnsi="Cambria Math" w:eastAsiaTheme="minorEastAsia"/>
                  <w:kern w:val="0"/>
                  <w:sz w:val="28"/>
                  <w:szCs w:val="28"/>
                </w:rPr>
                <m:t>(</m:t>
              </m:r>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r</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0)</m:t>
                  </m:r>
                  <m:ctrlPr>
                    <w:rPr>
                      <w:rFonts w:ascii="Cambria Math" w:hAnsi="Cambria Math" w:eastAsiaTheme="minorEastAsia"/>
                      <w:kern w:val="0"/>
                      <w:sz w:val="28"/>
                      <w:szCs w:val="28"/>
                    </w:rPr>
                  </m:ctrlPr>
                </m:sub>
              </m:sSub>
              <m:r>
                <m:rPr>
                  <m:sty m:val="p"/>
                </m:rPr>
                <w:rPr>
                  <w:rFonts w:ascii="Cambria Math" w:hAnsi="Cambria Math" w:eastAsiaTheme="minorEastAsia"/>
                  <w:kern w:val="0"/>
                  <w:sz w:val="28"/>
                  <w:szCs w:val="28"/>
                </w:rPr>
                <m:t>−</m:t>
              </m:r>
              <m:sSub>
                <m:sSubPr>
                  <m:ctrlPr>
                    <w:rPr>
                      <w:rFonts w:ascii="Cambria Math" w:hAnsi="Cambria Math" w:eastAsiaTheme="minorEastAsia"/>
                      <w:kern w:val="0"/>
                      <w:sz w:val="28"/>
                      <w:szCs w:val="28"/>
                    </w:rPr>
                  </m:ctrlPr>
                </m:sSubPr>
                <m:e>
                  <m:r>
                    <m:rPr>
                      <m:sty m:val="p"/>
                    </m:rPr>
                    <w:rPr>
                      <w:rFonts w:ascii="Cambria Math" w:hAnsi="Cambria Math" w:eastAsiaTheme="minorEastAsia"/>
                      <w:kern w:val="0"/>
                      <w:sz w:val="28"/>
                      <w:szCs w:val="28"/>
                    </w:rPr>
                    <m:t>A</m:t>
                  </m:r>
                  <m:ctrlPr>
                    <w:rPr>
                      <w:rFonts w:ascii="Cambria Math" w:hAnsi="Cambria Math" w:eastAsiaTheme="minorEastAsia"/>
                      <w:kern w:val="0"/>
                      <w:sz w:val="28"/>
                      <w:szCs w:val="28"/>
                    </w:rPr>
                  </m:ctrlPr>
                </m:e>
                <m:sub>
                  <m:r>
                    <m:rPr>
                      <m:sty m:val="p"/>
                    </m:rPr>
                    <w:rPr>
                      <w:rFonts w:ascii="Cambria Math" w:hAnsi="Cambria Math" w:eastAsiaTheme="minorEastAsia"/>
                      <w:kern w:val="0"/>
                      <w:sz w:val="28"/>
                      <w:szCs w:val="28"/>
                    </w:rPr>
                    <m:t>div</m:t>
                  </m:r>
                  <m:ctrlPr>
                    <w:rPr>
                      <w:rFonts w:ascii="Cambria Math" w:hAnsi="Cambria Math" w:eastAsiaTheme="minorEastAsia"/>
                      <w:kern w:val="0"/>
                      <w:sz w:val="28"/>
                      <w:szCs w:val="28"/>
                    </w:rPr>
                  </m:ctrlPr>
                </m:sub>
              </m:sSub>
            </m:oMath>
          </w:p>
          <w:p w14:paraId="48EC5523">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式中：</w:t>
            </w:r>
            <m:oMath>
              <m:sSub>
                <m:sSubPr>
                  <m:ctrlPr>
                    <w:rPr>
                      <w:rFonts w:ascii="Cambria Math" w:hAnsi="Cambria Math" w:eastAsiaTheme="minorEastAsia"/>
                      <w:kern w:val="0"/>
                      <w:sz w:val="24"/>
                    </w:rPr>
                  </m:ctrlPr>
                </m:sSubPr>
                <m:e>
                  <m:r>
                    <m:rPr>
                      <m:sty m:val="p"/>
                    </m:rPr>
                    <w:rPr>
                      <w:rFonts w:ascii="Cambria Math" w:hAnsi="Cambria Math" w:eastAsiaTheme="minorEastAsia"/>
                      <w:kern w:val="0"/>
                      <w:sz w:val="24"/>
                    </w:rPr>
                    <m:t>L</m:t>
                  </m:r>
                  <m:ctrlPr>
                    <w:rPr>
                      <w:rFonts w:ascii="Cambria Math" w:hAnsi="Cambria Math" w:eastAsiaTheme="minorEastAsia"/>
                      <w:kern w:val="0"/>
                      <w:sz w:val="24"/>
                    </w:rPr>
                  </m:ctrlPr>
                </m:e>
                <m:sub>
                  <m:r>
                    <m:rPr>
                      <m:sty m:val="p"/>
                    </m:rPr>
                    <w:rPr>
                      <w:rFonts w:ascii="Cambria Math" w:hAnsi="Cambria Math" w:eastAsiaTheme="minorEastAsia"/>
                      <w:kern w:val="0"/>
                      <w:sz w:val="24"/>
                    </w:rPr>
                    <m:t>A</m:t>
                  </m:r>
                  <m:ctrlPr>
                    <w:rPr>
                      <w:rFonts w:ascii="Cambria Math" w:hAnsi="Cambria Math" w:eastAsiaTheme="minorEastAsia"/>
                      <w:kern w:val="0"/>
                      <w:sz w:val="24"/>
                    </w:rPr>
                  </m:ctrlPr>
                </m:sub>
              </m:sSub>
              <m:r>
                <m:rPr>
                  <m:sty m:val="p"/>
                </m:rPr>
                <w:rPr>
                  <w:rFonts w:ascii="Cambria Math" w:hAnsi="Cambria Math" w:eastAsiaTheme="minorEastAsia"/>
                  <w:kern w:val="0"/>
                  <w:sz w:val="24"/>
                </w:rPr>
                <m:t>(r)</m:t>
              </m:r>
            </m:oMath>
            <w:r>
              <w:rPr>
                <w:rFonts w:eastAsiaTheme="minorEastAsia"/>
                <w:i/>
                <w:iCs/>
                <w:kern w:val="0"/>
                <w:sz w:val="24"/>
              </w:rPr>
              <w:t xml:space="preserve"> </w:t>
            </w:r>
            <w:r>
              <w:rPr>
                <w:rFonts w:eastAsiaTheme="minorEastAsia"/>
                <w:kern w:val="0"/>
                <w:sz w:val="24"/>
              </w:rPr>
              <w:t>—</w:t>
            </w:r>
            <w:r>
              <w:rPr>
                <w:rFonts w:hAnsiTheme="minorEastAsia" w:eastAsiaTheme="minorEastAsia"/>
                <w:kern w:val="0"/>
                <w:sz w:val="24"/>
              </w:rPr>
              <w:t>距离声源</w:t>
            </w:r>
            <w:r>
              <w:rPr>
                <w:rFonts w:eastAsiaTheme="minorEastAsia"/>
                <w:kern w:val="0"/>
                <w:sz w:val="24"/>
              </w:rPr>
              <w:t xml:space="preserve">r </w:t>
            </w:r>
            <w:r>
              <w:rPr>
                <w:rFonts w:hAnsiTheme="minorEastAsia" w:eastAsiaTheme="minorEastAsia"/>
                <w:kern w:val="0"/>
                <w:sz w:val="24"/>
              </w:rPr>
              <w:t>处的</w:t>
            </w:r>
            <w:r>
              <w:rPr>
                <w:rFonts w:eastAsiaTheme="minorEastAsia"/>
                <w:kern w:val="0"/>
                <w:sz w:val="24"/>
              </w:rPr>
              <w:t xml:space="preserve">A </w:t>
            </w:r>
            <w:r>
              <w:rPr>
                <w:rFonts w:hAnsiTheme="minorEastAsia" w:eastAsiaTheme="minorEastAsia"/>
                <w:kern w:val="0"/>
                <w:sz w:val="24"/>
              </w:rPr>
              <w:t>声级，</w:t>
            </w:r>
            <w:r>
              <w:rPr>
                <w:rFonts w:eastAsiaTheme="minorEastAsia"/>
                <w:kern w:val="0"/>
                <w:sz w:val="24"/>
              </w:rPr>
              <w:t>dB</w:t>
            </w:r>
            <w:r>
              <w:rPr>
                <w:rFonts w:hAnsiTheme="minorEastAsia" w:eastAsiaTheme="minorEastAsia"/>
                <w:kern w:val="0"/>
                <w:sz w:val="24"/>
              </w:rPr>
              <w:t>（</w:t>
            </w:r>
            <w:r>
              <w:rPr>
                <w:rFonts w:eastAsiaTheme="minorEastAsia"/>
                <w:kern w:val="0"/>
                <w:sz w:val="24"/>
              </w:rPr>
              <w:t>A</w:t>
            </w:r>
            <w:r>
              <w:rPr>
                <w:rFonts w:hAnsiTheme="minorEastAsia" w:eastAsiaTheme="minorEastAsia"/>
                <w:kern w:val="0"/>
                <w:sz w:val="24"/>
              </w:rPr>
              <w:t>）；</w:t>
            </w:r>
          </w:p>
          <w:p w14:paraId="73372254">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 xml:space="preserve">  </w:t>
            </w:r>
            <m:oMath>
              <m:sSub>
                <m:sSubPr>
                  <m:ctrlPr>
                    <w:rPr>
                      <w:rFonts w:ascii="Cambria Math" w:hAnsi="Cambria Math" w:eastAsiaTheme="minorEastAsia"/>
                      <w:kern w:val="0"/>
                      <w:sz w:val="24"/>
                    </w:rPr>
                  </m:ctrlPr>
                </m:sSubPr>
                <m:e>
                  <m:r>
                    <m:rPr>
                      <m:sty m:val="p"/>
                    </m:rPr>
                    <w:rPr>
                      <w:rFonts w:ascii="Cambria Math" w:hAnsi="Cambria Math" w:eastAsiaTheme="minorEastAsia"/>
                      <w:kern w:val="0"/>
                      <w:sz w:val="24"/>
                    </w:rPr>
                    <m:t xml:space="preserve"> L</m:t>
                  </m:r>
                  <m:ctrlPr>
                    <w:rPr>
                      <w:rFonts w:ascii="Cambria Math" w:hAnsi="Cambria Math" w:eastAsiaTheme="minorEastAsia"/>
                      <w:kern w:val="0"/>
                      <w:sz w:val="24"/>
                    </w:rPr>
                  </m:ctrlPr>
                </m:e>
                <m:sub>
                  <m:r>
                    <m:rPr>
                      <m:sty m:val="p"/>
                    </m:rPr>
                    <w:rPr>
                      <w:rFonts w:ascii="Cambria Math" w:hAnsi="Cambria Math" w:eastAsiaTheme="minorEastAsia"/>
                      <w:kern w:val="0"/>
                      <w:sz w:val="24"/>
                    </w:rPr>
                    <m:t>A</m:t>
                  </m:r>
                  <m:ctrlPr>
                    <w:rPr>
                      <w:rFonts w:ascii="Cambria Math" w:hAnsi="Cambria Math" w:eastAsiaTheme="minorEastAsia"/>
                      <w:kern w:val="0"/>
                      <w:sz w:val="24"/>
                    </w:rPr>
                  </m:ctrlPr>
                </m:sub>
              </m:sSub>
              <m:r>
                <m:rPr>
                  <m:sty m:val="p"/>
                </m:rPr>
                <w:rPr>
                  <w:rFonts w:ascii="Cambria Math" w:hAnsi="Cambria Math" w:eastAsiaTheme="minorEastAsia"/>
                  <w:kern w:val="0"/>
                  <w:sz w:val="24"/>
                </w:rPr>
                <m:t>(</m:t>
              </m:r>
              <m:sSub>
                <m:sSubPr>
                  <m:ctrlPr>
                    <w:rPr>
                      <w:rFonts w:ascii="Cambria Math" w:hAnsi="Cambria Math" w:eastAsiaTheme="minorEastAsia"/>
                      <w:kern w:val="0"/>
                      <w:sz w:val="24"/>
                    </w:rPr>
                  </m:ctrlPr>
                </m:sSubPr>
                <m:e>
                  <m:r>
                    <m:rPr>
                      <m:sty m:val="p"/>
                    </m:rPr>
                    <w:rPr>
                      <w:rFonts w:ascii="Cambria Math" w:hAnsi="Cambria Math" w:eastAsiaTheme="minorEastAsia"/>
                      <w:kern w:val="0"/>
                      <w:sz w:val="24"/>
                    </w:rPr>
                    <m:t>r</m:t>
                  </m:r>
                  <m:ctrlPr>
                    <w:rPr>
                      <w:rFonts w:ascii="Cambria Math" w:hAnsi="Cambria Math" w:eastAsiaTheme="minorEastAsia"/>
                      <w:kern w:val="0"/>
                      <w:sz w:val="24"/>
                    </w:rPr>
                  </m:ctrlPr>
                </m:e>
                <m:sub>
                  <m:r>
                    <m:rPr>
                      <m:sty m:val="p"/>
                    </m:rPr>
                    <w:rPr>
                      <w:rFonts w:ascii="Cambria Math" w:hAnsi="Cambria Math" w:eastAsiaTheme="minorEastAsia"/>
                      <w:kern w:val="0"/>
                      <w:sz w:val="24"/>
                    </w:rPr>
                    <m:t>0</m:t>
                  </m:r>
                  <m:ctrlPr>
                    <w:rPr>
                      <w:rFonts w:ascii="Cambria Math" w:hAnsi="Cambria Math" w:eastAsiaTheme="minorEastAsia"/>
                      <w:kern w:val="0"/>
                      <w:sz w:val="24"/>
                    </w:rPr>
                  </m:ctrlPr>
                </m:sub>
              </m:sSub>
              <m:r>
                <m:rPr>
                  <m:sty m:val="p"/>
                </m:rPr>
                <w:rPr>
                  <w:rFonts w:ascii="Cambria Math" w:hAnsi="Cambria Math" w:eastAsiaTheme="minorEastAsia"/>
                  <w:kern w:val="0"/>
                  <w:sz w:val="24"/>
                </w:rPr>
                <m:t>)</m:t>
              </m:r>
            </m:oMath>
            <w:r>
              <w:rPr>
                <w:rFonts w:eastAsiaTheme="minorEastAsia"/>
                <w:i/>
                <w:iCs/>
                <w:kern w:val="0"/>
                <w:sz w:val="24"/>
              </w:rPr>
              <w:t xml:space="preserve"> </w:t>
            </w:r>
            <w:r>
              <w:rPr>
                <w:rFonts w:eastAsiaTheme="minorEastAsia"/>
                <w:kern w:val="0"/>
                <w:sz w:val="24"/>
              </w:rPr>
              <w:t>—</w:t>
            </w:r>
            <w:r>
              <w:rPr>
                <w:rFonts w:hAnsiTheme="minorEastAsia" w:eastAsiaTheme="minorEastAsia"/>
                <w:kern w:val="0"/>
                <w:sz w:val="24"/>
              </w:rPr>
              <w:t>距离声源</w:t>
            </w:r>
            <w:r>
              <w:rPr>
                <w:rFonts w:eastAsiaTheme="minorEastAsia"/>
                <w:kern w:val="0"/>
                <w:sz w:val="24"/>
              </w:rPr>
              <w:t xml:space="preserve">r0 </w:t>
            </w:r>
            <w:r>
              <w:rPr>
                <w:rFonts w:hAnsiTheme="minorEastAsia" w:eastAsiaTheme="minorEastAsia"/>
                <w:kern w:val="0"/>
                <w:sz w:val="24"/>
              </w:rPr>
              <w:t>处的</w:t>
            </w:r>
            <w:r>
              <w:rPr>
                <w:rFonts w:eastAsiaTheme="minorEastAsia"/>
                <w:kern w:val="0"/>
                <w:sz w:val="24"/>
              </w:rPr>
              <w:t xml:space="preserve">A </w:t>
            </w:r>
            <w:r>
              <w:rPr>
                <w:rFonts w:hAnsiTheme="minorEastAsia" w:eastAsiaTheme="minorEastAsia"/>
                <w:kern w:val="0"/>
                <w:sz w:val="24"/>
              </w:rPr>
              <w:t>声级，</w:t>
            </w:r>
            <w:r>
              <w:rPr>
                <w:rFonts w:eastAsiaTheme="minorEastAsia"/>
                <w:kern w:val="0"/>
                <w:sz w:val="24"/>
              </w:rPr>
              <w:t>dB</w:t>
            </w:r>
            <w:r>
              <w:rPr>
                <w:rFonts w:hAnsiTheme="minorEastAsia" w:eastAsiaTheme="minorEastAsia"/>
                <w:kern w:val="0"/>
                <w:sz w:val="24"/>
              </w:rPr>
              <w:t>（</w:t>
            </w:r>
            <w:r>
              <w:rPr>
                <w:rFonts w:eastAsiaTheme="minorEastAsia"/>
                <w:kern w:val="0"/>
                <w:sz w:val="24"/>
              </w:rPr>
              <w:t>A</w:t>
            </w:r>
            <w:r>
              <w:rPr>
                <w:rFonts w:hAnsiTheme="minorEastAsia" w:eastAsiaTheme="minorEastAsia"/>
                <w:kern w:val="0"/>
                <w:sz w:val="24"/>
              </w:rPr>
              <w:t>）；</w:t>
            </w:r>
          </w:p>
          <w:p w14:paraId="406E11C8">
            <w:pPr>
              <w:autoSpaceDE w:val="0"/>
              <w:autoSpaceDN w:val="0"/>
              <w:adjustRightInd w:val="0"/>
              <w:spacing w:line="480" w:lineRule="exact"/>
              <w:ind w:firstLine="480" w:firstLineChars="200"/>
              <w:jc w:val="left"/>
              <w:rPr>
                <w:rFonts w:eastAsiaTheme="minorEastAsia"/>
                <w:kern w:val="0"/>
                <w:sz w:val="24"/>
              </w:rPr>
            </w:pPr>
            <m:oMath>
              <m:sSub>
                <m:sSubPr>
                  <m:ctrlPr>
                    <w:rPr>
                      <w:rFonts w:ascii="Cambria Math" w:hAnsi="Cambria Math" w:eastAsiaTheme="minorEastAsia"/>
                      <w:iCs/>
                      <w:kern w:val="0"/>
                      <w:sz w:val="24"/>
                    </w:rPr>
                  </m:ctrlPr>
                </m:sSubPr>
                <m:e>
                  <m:r>
                    <m:rPr>
                      <m:sty m:val="p"/>
                    </m:rPr>
                    <w:rPr>
                      <w:rFonts w:ascii="Cambria Math" w:hAnsi="Cambria Math" w:eastAsiaTheme="minorEastAsia"/>
                      <w:kern w:val="0"/>
                      <w:sz w:val="24"/>
                    </w:rPr>
                    <m:t xml:space="preserve">             A</m:t>
                  </m:r>
                  <m:ctrlPr>
                    <w:rPr>
                      <w:rFonts w:ascii="Cambria Math" w:hAnsi="Cambria Math" w:eastAsiaTheme="minorEastAsia"/>
                      <w:iCs/>
                      <w:kern w:val="0"/>
                      <w:sz w:val="24"/>
                    </w:rPr>
                  </m:ctrlPr>
                </m:e>
                <m:sub>
                  <m:r>
                    <m:rPr>
                      <m:sty m:val="p"/>
                    </m:rPr>
                    <w:rPr>
                      <w:rFonts w:ascii="Cambria Math" w:hAnsi="Cambria Math" w:eastAsiaTheme="minorEastAsia"/>
                      <w:kern w:val="0"/>
                      <w:sz w:val="24"/>
                    </w:rPr>
                    <m:t>div</m:t>
                  </m:r>
                  <m:ctrlPr>
                    <w:rPr>
                      <w:rFonts w:ascii="Cambria Math" w:hAnsi="Cambria Math" w:eastAsiaTheme="minorEastAsia"/>
                      <w:iCs/>
                      <w:kern w:val="0"/>
                      <w:sz w:val="24"/>
                    </w:rPr>
                  </m:ctrlPr>
                </m:sub>
              </m:sSub>
            </m:oMath>
            <w:r>
              <w:rPr>
                <w:rFonts w:eastAsiaTheme="minorEastAsia"/>
                <w:kern w:val="0"/>
                <w:sz w:val="24"/>
              </w:rPr>
              <w:t>—</w:t>
            </w:r>
            <w:r>
              <w:rPr>
                <w:rFonts w:hAnsiTheme="minorEastAsia" w:eastAsiaTheme="minorEastAsia"/>
                <w:kern w:val="0"/>
                <w:sz w:val="24"/>
              </w:rPr>
              <w:t>几何发散引起的倍频带衰减，</w:t>
            </w:r>
            <w:r>
              <w:rPr>
                <w:rFonts w:eastAsiaTheme="minorEastAsia"/>
                <w:kern w:val="0"/>
                <w:sz w:val="24"/>
              </w:rPr>
              <w:t>dB</w:t>
            </w:r>
            <w:r>
              <w:rPr>
                <w:rFonts w:hAnsiTheme="minorEastAsia" w:eastAsiaTheme="minorEastAsia"/>
                <w:kern w:val="0"/>
                <w:sz w:val="24"/>
              </w:rPr>
              <w:t>，</w:t>
            </w:r>
            <w:r>
              <w:rPr>
                <w:rFonts w:eastAsiaTheme="minorEastAsia"/>
                <w:kern w:val="0"/>
                <w:sz w:val="24"/>
              </w:rPr>
              <w:t>Adiv=20lg</w:t>
            </w:r>
            <w:r>
              <w:rPr>
                <w:rFonts w:hAnsiTheme="minorEastAsia" w:eastAsiaTheme="minorEastAsia"/>
                <w:kern w:val="0"/>
                <w:sz w:val="24"/>
              </w:rPr>
              <w:t>（</w:t>
            </w:r>
            <w:r>
              <w:rPr>
                <w:rFonts w:eastAsiaTheme="minorEastAsia"/>
                <w:kern w:val="0"/>
                <w:sz w:val="24"/>
              </w:rPr>
              <w:t>r/ro</w:t>
            </w:r>
            <w:r>
              <w:rPr>
                <w:rFonts w:hAnsiTheme="minorEastAsia" w:eastAsiaTheme="minorEastAsia"/>
                <w:kern w:val="0"/>
                <w:sz w:val="24"/>
              </w:rPr>
              <w:t>）；</w:t>
            </w:r>
          </w:p>
          <w:p w14:paraId="79011762">
            <w:pPr>
              <w:adjustRightInd w:val="0"/>
              <w:snapToGrid w:val="0"/>
              <w:spacing w:line="480" w:lineRule="exact"/>
              <w:ind w:firstLine="482" w:firstLineChars="200"/>
              <w:jc w:val="left"/>
              <w:rPr>
                <w:rFonts w:hAnsiTheme="minorEastAsia" w:eastAsiaTheme="minorEastAsia"/>
                <w:kern w:val="0"/>
                <w:sz w:val="24"/>
              </w:rPr>
            </w:pPr>
            <w:r>
              <w:rPr>
                <w:rFonts w:hint="eastAsia" w:hAnsiTheme="minorEastAsia" w:eastAsiaTheme="minorEastAsia"/>
                <w:b/>
                <w:kern w:val="0"/>
                <w:sz w:val="24"/>
              </w:rPr>
              <w:t>（3）</w:t>
            </w:r>
            <w:r>
              <w:rPr>
                <w:rFonts w:hAnsiTheme="minorEastAsia" w:eastAsiaTheme="minorEastAsia"/>
                <w:b/>
                <w:kern w:val="0"/>
                <w:sz w:val="24"/>
              </w:rPr>
              <w:t>计算结果</w:t>
            </w:r>
          </w:p>
          <w:p w14:paraId="21E753FE">
            <w:pPr>
              <w:adjustRightInd w:val="0"/>
              <w:snapToGrid w:val="0"/>
              <w:spacing w:line="480" w:lineRule="exact"/>
              <w:ind w:firstLine="480" w:firstLineChars="200"/>
              <w:jc w:val="left"/>
              <w:rPr>
                <w:rFonts w:eastAsiaTheme="minorEastAsia"/>
                <w:sz w:val="24"/>
              </w:rPr>
            </w:pPr>
            <w:r>
              <w:rPr>
                <w:rFonts w:hAnsiTheme="minorEastAsia" w:eastAsiaTheme="minorEastAsia"/>
                <w:kern w:val="0"/>
                <w:sz w:val="24"/>
              </w:rPr>
              <w:t>多个室外声源对预测点的贡献值（</w:t>
            </w:r>
            <w:r>
              <w:rPr>
                <w:rFonts w:eastAsiaTheme="minorEastAsia"/>
                <w:i/>
                <w:iCs/>
                <w:kern w:val="0"/>
                <w:sz w:val="24"/>
              </w:rPr>
              <w:t>L</w:t>
            </w:r>
            <w:r>
              <w:rPr>
                <w:rFonts w:eastAsiaTheme="minorEastAsia"/>
                <w:kern w:val="0"/>
                <w:sz w:val="24"/>
              </w:rPr>
              <w:t>eqg</w:t>
            </w:r>
            <w:r>
              <w:rPr>
                <w:rFonts w:hAnsiTheme="minorEastAsia" w:eastAsiaTheme="minorEastAsia"/>
                <w:kern w:val="0"/>
                <w:sz w:val="24"/>
              </w:rPr>
              <w:t>）</w:t>
            </w:r>
          </w:p>
          <w:p w14:paraId="128B99CF">
            <w:pPr>
              <w:adjustRightInd w:val="0"/>
              <w:snapToGrid w:val="0"/>
              <w:spacing w:line="360" w:lineRule="auto"/>
              <w:jc w:val="center"/>
              <w:rPr>
                <w:sz w:val="24"/>
              </w:rPr>
            </w:pPr>
            <m:oMath>
              <m:sSub>
                <m:sSubPr>
                  <m:ctrlPr>
                    <w:rPr>
                      <w:rFonts w:ascii="Cambria Math" w:hAnsi="Cambria Math"/>
                      <w:sz w:val="28"/>
                      <w:szCs w:val="28"/>
                    </w:rPr>
                  </m:ctrlPr>
                </m:sSubPr>
                <m:e>
                  <m:r>
                    <m:rPr>
                      <m:sty m:val="p"/>
                    </m:rPr>
                    <w:rPr>
                      <w:rFonts w:ascii="Cambria Math" w:hAnsi="Cambria Math"/>
                      <w:sz w:val="28"/>
                      <w:szCs w:val="28"/>
                    </w:rPr>
                    <m:t>L</m:t>
                  </m:r>
                  <m:ctrlPr>
                    <w:rPr>
                      <w:rFonts w:ascii="Cambria Math" w:hAnsi="Cambria Math"/>
                      <w:sz w:val="28"/>
                      <w:szCs w:val="28"/>
                    </w:rPr>
                  </m:ctrlPr>
                </m:e>
                <m:sub>
                  <m:r>
                    <m:rPr>
                      <m:sty m:val="p"/>
                    </m:rPr>
                    <w:rPr>
                      <w:rFonts w:ascii="Cambria Math" w:hAnsi="Cambria Math"/>
                      <w:sz w:val="28"/>
                      <w:szCs w:val="28"/>
                    </w:rPr>
                    <m:t>eqg</m:t>
                  </m:r>
                  <m:ctrlPr>
                    <w:rPr>
                      <w:rFonts w:ascii="Cambria Math" w:hAnsi="Cambria Math"/>
                      <w:sz w:val="28"/>
                      <w:szCs w:val="28"/>
                    </w:rPr>
                  </m:ctrlPr>
                </m:sub>
              </m:sSub>
              <m:r>
                <m:rPr>
                  <m:sty m:val="p"/>
                </m:rPr>
                <w:rPr>
                  <w:rFonts w:ascii="Cambria Math" w:hAnsi="Cambria Math"/>
                  <w:sz w:val="28"/>
                  <w:szCs w:val="28"/>
                </w:rPr>
                <m:t>=10lg⁡[</m:t>
              </m:r>
              <m:f>
                <m:fPr>
                  <m:ctrlPr>
                    <w:rPr>
                      <w:rFonts w:ascii="Cambria Math" w:hAnsi="Cambria Math"/>
                      <w:sz w:val="28"/>
                      <w:szCs w:val="28"/>
                    </w:rPr>
                  </m:ctrlPr>
                </m:fPr>
                <m:num>
                  <m:r>
                    <m:rPr>
                      <m:sty m:val="p"/>
                    </m:rPr>
                    <w:rPr>
                      <w:rFonts w:ascii="Cambria Math" w:hAnsi="Cambria Math"/>
                      <w:sz w:val="28"/>
                      <w:szCs w:val="28"/>
                    </w:rPr>
                    <m:t>1</m:t>
                  </m:r>
                  <m:ctrlPr>
                    <w:rPr>
                      <w:rFonts w:ascii="Cambria Math" w:hAnsi="Cambria Math"/>
                      <w:sz w:val="28"/>
                      <w:szCs w:val="28"/>
                    </w:rPr>
                  </m:ctrlPr>
                </m:num>
                <m:den>
                  <m:r>
                    <m:rPr>
                      <m:sty m:val="p"/>
                    </m:rPr>
                    <w:rPr>
                      <w:rFonts w:ascii="Cambria Math" w:hAnsi="Cambria Math"/>
                      <w:sz w:val="28"/>
                      <w:szCs w:val="28"/>
                    </w:rPr>
                    <m:t>T</m:t>
                  </m:r>
                  <m:ctrlPr>
                    <w:rPr>
                      <w:rFonts w:ascii="Cambria Math" w:hAnsi="Cambria Math"/>
                      <w:sz w:val="28"/>
                      <w:szCs w:val="28"/>
                    </w:rPr>
                  </m:ctrlPr>
                </m:den>
              </m:f>
            </m:oMath>
            <w:r>
              <w:rPr>
                <w:rFonts w:hint="eastAsia"/>
                <w:sz w:val="28"/>
                <w:szCs w:val="28"/>
              </w:rPr>
              <w:t>(</w:t>
            </w:r>
            <m:oMath>
              <m:nary>
                <m:naryPr>
                  <m:chr m:val="∑"/>
                  <m:limLoc m:val="undOvr"/>
                  <m:ctrlPr>
                    <w:rPr>
                      <w:rFonts w:ascii="Cambria Math" w:hAnsi="Cambria Math"/>
                      <w:sz w:val="28"/>
                      <w:szCs w:val="28"/>
                    </w:rPr>
                  </m:ctrlPr>
                </m:naryPr>
                <m:sub>
                  <m:r>
                    <m:rPr>
                      <m:sty m:val="p"/>
                    </m:rPr>
                    <w:rPr>
                      <w:rFonts w:ascii="Cambria Math" w:hAnsi="Cambria Math"/>
                      <w:sz w:val="28"/>
                      <w:szCs w:val="28"/>
                    </w:rPr>
                    <m:t>i=1</m:t>
                  </m:r>
                  <m:ctrlPr>
                    <w:rPr>
                      <w:rFonts w:ascii="Cambria Math" w:hAnsi="Cambria Math"/>
                      <w:sz w:val="28"/>
                      <w:szCs w:val="28"/>
                    </w:rPr>
                  </m:ctrlPr>
                </m:sub>
                <m:sup>
                  <m:r>
                    <m:rPr>
                      <m:sty m:val="p"/>
                    </m:rPr>
                    <w:rPr>
                      <w:rFonts w:ascii="Cambria Math" w:hAnsi="Cambria Math"/>
                      <w:sz w:val="28"/>
                      <w:szCs w:val="28"/>
                    </w:rPr>
                    <m:t>N</m:t>
                  </m:r>
                  <m:ctrlPr>
                    <w:rPr>
                      <w:rFonts w:ascii="Cambria Math" w:hAnsi="Cambria Math"/>
                      <w:sz w:val="28"/>
                      <w:szCs w:val="28"/>
                    </w:rPr>
                  </m:ctrlPr>
                </m:sup>
                <m:e>
                  <m:sSub>
                    <m:sSubPr>
                      <m:ctrlPr>
                        <w:rPr>
                          <w:rFonts w:ascii="Cambria Math" w:hAnsi="Cambria Math"/>
                          <w:sz w:val="28"/>
                          <w:szCs w:val="28"/>
                        </w:rPr>
                      </m:ctrlPr>
                    </m:sSubPr>
                    <m:e>
                      <m:r>
                        <m:rPr>
                          <m:sty m:val="p"/>
                        </m:rPr>
                        <w:rPr>
                          <w:rFonts w:ascii="Cambria Math" w:hAnsi="Cambria Math"/>
                          <w:sz w:val="28"/>
                          <w:szCs w:val="28"/>
                        </w:rPr>
                        <m:t>t</m:t>
                      </m:r>
                      <m:ctrlPr>
                        <w:rPr>
                          <w:rFonts w:ascii="Cambria Math" w:hAnsi="Cambria Math"/>
                          <w:sz w:val="28"/>
                          <w:szCs w:val="28"/>
                        </w:rPr>
                      </m:ctrlPr>
                    </m:e>
                    <m:sub>
                      <m:r>
                        <m:rPr>
                          <m:sty m:val="p"/>
                        </m:rPr>
                        <w:rPr>
                          <w:rFonts w:ascii="Cambria Math" w:hAnsi="Cambria Math"/>
                          <w:sz w:val="28"/>
                          <w:szCs w:val="28"/>
                        </w:rPr>
                        <m:t>i</m:t>
                      </m:r>
                      <m:ctrlPr>
                        <w:rPr>
                          <w:rFonts w:ascii="Cambria Math" w:hAnsi="Cambria Math"/>
                          <w:sz w:val="28"/>
                          <w:szCs w:val="28"/>
                        </w:rPr>
                      </m:ctrlPr>
                    </m:sub>
                  </m:sSub>
                  <m:ctrlPr>
                    <w:rPr>
                      <w:rFonts w:ascii="Cambria Math" w:hAnsi="Cambria Math"/>
                      <w:sz w:val="28"/>
                      <w:szCs w:val="28"/>
                    </w:rPr>
                  </m:ctrlPr>
                </m:e>
              </m:nary>
              <m:sSup>
                <m:sSupPr>
                  <m:ctrlPr>
                    <w:rPr>
                      <w:rFonts w:ascii="Cambria Math" w:hAnsi="Cambria Math"/>
                      <w:sz w:val="28"/>
                      <w:szCs w:val="28"/>
                    </w:rPr>
                  </m:ctrlPr>
                </m:sSupPr>
                <m:e>
                  <m:r>
                    <m:rPr>
                      <m:sty m:val="p"/>
                    </m:rPr>
                    <w:rPr>
                      <w:rFonts w:ascii="Cambria Math" w:hAnsi="Cambria Math"/>
                      <w:sz w:val="28"/>
                      <w:szCs w:val="28"/>
                    </w:rPr>
                    <m:t>10</m:t>
                  </m:r>
                  <m:ctrlPr>
                    <w:rPr>
                      <w:rFonts w:ascii="Cambria Math" w:hAnsi="Cambria Math"/>
                      <w:sz w:val="28"/>
                      <w:szCs w:val="28"/>
                    </w:rPr>
                  </m:ctrlPr>
                </m:e>
                <m:sup>
                  <m:sSub>
                    <m:sSubPr>
                      <m:ctrlPr>
                        <w:rPr>
                          <w:rFonts w:ascii="Cambria Math" w:hAnsi="Cambria Math"/>
                          <w:sz w:val="28"/>
                          <w:szCs w:val="28"/>
                        </w:rPr>
                      </m:ctrlPr>
                    </m:sSubPr>
                    <m:e>
                      <m:r>
                        <m:rPr>
                          <m:sty m:val="p"/>
                        </m:rPr>
                        <w:rPr>
                          <w:rFonts w:ascii="Cambria Math" w:hAnsi="Cambria Math"/>
                          <w:sz w:val="28"/>
                          <w:szCs w:val="28"/>
                        </w:rPr>
                        <m:t>0.1L</m:t>
                      </m:r>
                      <m:ctrlPr>
                        <w:rPr>
                          <w:rFonts w:ascii="Cambria Math" w:hAnsi="Cambria Math"/>
                          <w:sz w:val="28"/>
                          <w:szCs w:val="28"/>
                        </w:rPr>
                      </m:ctrlPr>
                    </m:e>
                    <m:sub>
                      <m:r>
                        <m:rPr>
                          <m:sty m:val="p"/>
                        </m:rPr>
                        <w:rPr>
                          <w:rFonts w:ascii="Cambria Math" w:hAnsi="Cambria Math"/>
                          <w:sz w:val="28"/>
                          <w:szCs w:val="28"/>
                        </w:rPr>
                        <m:t>Ai</m:t>
                      </m:r>
                      <m:ctrlPr>
                        <w:rPr>
                          <w:rFonts w:ascii="Cambria Math" w:hAnsi="Cambria Math"/>
                          <w:sz w:val="28"/>
                          <w:szCs w:val="28"/>
                        </w:rPr>
                      </m:ctrlPr>
                    </m:sub>
                  </m:sSub>
                  <m:ctrlPr>
                    <w:rPr>
                      <w:rFonts w:ascii="Cambria Math" w:hAnsi="Cambria Math"/>
                      <w:sz w:val="28"/>
                      <w:szCs w:val="28"/>
                    </w:rPr>
                  </m:ctrlPr>
                </m:sup>
              </m:sSup>
            </m:oMath>
            <w:r>
              <w:rPr>
                <w:rFonts w:hint="eastAsia"/>
                <w:sz w:val="28"/>
                <w:szCs w:val="28"/>
              </w:rPr>
              <w:t>+</w:t>
            </w:r>
            <m:oMath>
              <m:nary>
                <m:naryPr>
                  <m:chr m:val="∑"/>
                  <m:limLoc m:val="subSup"/>
                  <m:ctrlPr>
                    <w:rPr>
                      <w:rFonts w:ascii="Cambria Math" w:hAnsi="Cambria Math"/>
                      <w:sz w:val="28"/>
                      <w:szCs w:val="28"/>
                    </w:rPr>
                  </m:ctrlPr>
                </m:naryPr>
                <m:sub>
                  <m:r>
                    <m:rPr>
                      <m:sty m:val="p"/>
                    </m:rPr>
                    <w:rPr>
                      <w:rFonts w:ascii="Cambria Math" w:hAnsi="Cambria Math"/>
                      <w:sz w:val="28"/>
                      <w:szCs w:val="28"/>
                    </w:rPr>
                    <m:t>j=1</m:t>
                  </m:r>
                  <m:ctrlPr>
                    <w:rPr>
                      <w:rFonts w:ascii="Cambria Math" w:hAnsi="Cambria Math"/>
                      <w:sz w:val="28"/>
                      <w:szCs w:val="28"/>
                    </w:rPr>
                  </m:ctrlPr>
                </m:sub>
                <m:sup>
                  <m:r>
                    <m:rPr>
                      <m:sty m:val="p"/>
                    </m:rPr>
                    <w:rPr>
                      <w:rFonts w:ascii="Cambria Math" w:hAnsi="Cambria Math"/>
                      <w:sz w:val="28"/>
                      <w:szCs w:val="28"/>
                    </w:rPr>
                    <m:t>M</m:t>
                  </m:r>
                  <m:ctrlPr>
                    <w:rPr>
                      <w:rFonts w:ascii="Cambria Math" w:hAnsi="Cambria Math"/>
                      <w:sz w:val="28"/>
                      <w:szCs w:val="28"/>
                    </w:rPr>
                  </m:ctrlPr>
                </m:sup>
                <m:e>
                  <m:sSub>
                    <m:sSubPr>
                      <m:ctrlPr>
                        <w:rPr>
                          <w:rFonts w:ascii="Cambria Math" w:hAnsi="Cambria Math"/>
                          <w:sz w:val="28"/>
                          <w:szCs w:val="28"/>
                        </w:rPr>
                      </m:ctrlPr>
                    </m:sSubPr>
                    <m:e>
                      <m:r>
                        <m:rPr>
                          <m:sty m:val="p"/>
                        </m:rPr>
                        <w:rPr>
                          <w:rFonts w:ascii="Cambria Math" w:hAnsi="Cambria Math"/>
                          <w:sz w:val="28"/>
                          <w:szCs w:val="28"/>
                        </w:rPr>
                        <m:t>t</m:t>
                      </m:r>
                      <m:ctrlPr>
                        <w:rPr>
                          <w:rFonts w:ascii="Cambria Math" w:hAnsi="Cambria Math"/>
                          <w:sz w:val="28"/>
                          <w:szCs w:val="28"/>
                        </w:rPr>
                      </m:ctrlPr>
                    </m:e>
                    <m:sub>
                      <m:r>
                        <m:rPr>
                          <m:sty m:val="p"/>
                        </m:rPr>
                        <w:rPr>
                          <w:rFonts w:ascii="Cambria Math" w:hAnsi="Cambria Math"/>
                          <w:sz w:val="28"/>
                          <w:szCs w:val="28"/>
                        </w:rPr>
                        <m:t>j</m:t>
                      </m:r>
                      <m:ctrlPr>
                        <w:rPr>
                          <w:rFonts w:ascii="Cambria Math" w:hAnsi="Cambria Math"/>
                          <w:sz w:val="28"/>
                          <w:szCs w:val="28"/>
                        </w:rPr>
                      </m:ctrlPr>
                    </m:sub>
                  </m:sSub>
                  <m:ctrlPr>
                    <w:rPr>
                      <w:rFonts w:ascii="Cambria Math" w:hAnsi="Cambria Math"/>
                      <w:sz w:val="28"/>
                      <w:szCs w:val="28"/>
                    </w:rPr>
                  </m:ctrlPr>
                </m:e>
              </m:nary>
              <m:sSup>
                <m:sSupPr>
                  <m:ctrlPr>
                    <w:rPr>
                      <w:rFonts w:ascii="Cambria Math" w:hAnsi="Cambria Math"/>
                      <w:sz w:val="28"/>
                      <w:szCs w:val="28"/>
                    </w:rPr>
                  </m:ctrlPr>
                </m:sSupPr>
                <m:e>
                  <m:r>
                    <m:rPr>
                      <m:sty m:val="p"/>
                    </m:rPr>
                    <w:rPr>
                      <w:rFonts w:ascii="Cambria Math" w:hAnsi="Cambria Math"/>
                      <w:sz w:val="28"/>
                      <w:szCs w:val="28"/>
                    </w:rPr>
                    <m:t>10</m:t>
                  </m:r>
                  <m:ctrlPr>
                    <w:rPr>
                      <w:rFonts w:ascii="Cambria Math" w:hAnsi="Cambria Math"/>
                      <w:sz w:val="28"/>
                      <w:szCs w:val="28"/>
                    </w:rPr>
                  </m:ctrlPr>
                </m:e>
                <m:sup>
                  <m:sSub>
                    <m:sSubPr>
                      <m:ctrlPr>
                        <w:rPr>
                          <w:rFonts w:ascii="Cambria Math" w:hAnsi="Cambria Math"/>
                          <w:sz w:val="28"/>
                          <w:szCs w:val="28"/>
                        </w:rPr>
                      </m:ctrlPr>
                    </m:sSubPr>
                    <m:e>
                      <m:r>
                        <m:rPr>
                          <m:sty m:val="p"/>
                        </m:rPr>
                        <w:rPr>
                          <w:rFonts w:ascii="Cambria Math" w:hAnsi="Cambria Math"/>
                          <w:sz w:val="28"/>
                          <w:szCs w:val="28"/>
                        </w:rPr>
                        <m:t>0.1L</m:t>
                      </m:r>
                      <m:ctrlPr>
                        <w:rPr>
                          <w:rFonts w:ascii="Cambria Math" w:hAnsi="Cambria Math"/>
                          <w:sz w:val="28"/>
                          <w:szCs w:val="28"/>
                        </w:rPr>
                      </m:ctrlPr>
                    </m:e>
                    <m:sub>
                      <m:r>
                        <m:rPr>
                          <m:sty m:val="p"/>
                        </m:rPr>
                        <w:rPr>
                          <w:rFonts w:ascii="Cambria Math" w:hAnsi="Cambria Math"/>
                          <w:sz w:val="28"/>
                          <w:szCs w:val="28"/>
                        </w:rPr>
                        <m:t>Aj</m:t>
                      </m:r>
                      <m:ctrlPr>
                        <w:rPr>
                          <w:rFonts w:ascii="Cambria Math" w:hAnsi="Cambria Math"/>
                          <w:sz w:val="28"/>
                          <w:szCs w:val="28"/>
                        </w:rPr>
                      </m:ctrlPr>
                    </m:sub>
                  </m:sSub>
                  <m:ctrlPr>
                    <w:rPr>
                      <w:rFonts w:ascii="Cambria Math" w:hAnsi="Cambria Math"/>
                      <w:sz w:val="28"/>
                      <w:szCs w:val="28"/>
                    </w:rPr>
                  </m:ctrlPr>
                </m:sup>
              </m:sSup>
              <m:r>
                <m:rPr>
                  <m:sty m:val="p"/>
                </m:rPr>
                <w:rPr>
                  <w:rFonts w:ascii="Cambria Math" w:hAnsi="Cambria Math"/>
                  <w:sz w:val="28"/>
                  <w:szCs w:val="28"/>
                </w:rPr>
                <m:t>]</m:t>
              </m:r>
            </m:oMath>
          </w:p>
          <w:p w14:paraId="53FB1EB7">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式中：</w:t>
            </w:r>
            <m:oMath>
              <m:sSub>
                <m:sSubPr>
                  <m:ctrlPr>
                    <w:rPr>
                      <w:rFonts w:ascii="Cambria Math" w:hAnsi="Cambria Math" w:eastAsiaTheme="minorEastAsia"/>
                      <w:kern w:val="0"/>
                      <w:sz w:val="24"/>
                    </w:rPr>
                  </m:ctrlPr>
                </m:sSubPr>
                <m:e>
                  <m:r>
                    <m:rPr>
                      <m:sty m:val="p"/>
                    </m:rPr>
                    <w:rPr>
                      <w:rFonts w:ascii="Cambria Math" w:hAnsi="Cambria Math" w:eastAsiaTheme="minorEastAsia"/>
                      <w:kern w:val="0"/>
                      <w:sz w:val="24"/>
                    </w:rPr>
                    <m:t>L</m:t>
                  </m:r>
                  <m:ctrlPr>
                    <w:rPr>
                      <w:rFonts w:ascii="Cambria Math" w:hAnsi="Cambria Math" w:eastAsiaTheme="minorEastAsia"/>
                      <w:kern w:val="0"/>
                      <w:sz w:val="24"/>
                    </w:rPr>
                  </m:ctrlPr>
                </m:e>
                <m:sub>
                  <m:r>
                    <m:rPr>
                      <m:sty m:val="p"/>
                    </m:rPr>
                    <w:rPr>
                      <w:rFonts w:ascii="Cambria Math" w:hAnsi="Cambria Math" w:eastAsiaTheme="minorEastAsia"/>
                      <w:kern w:val="0"/>
                      <w:sz w:val="24"/>
                    </w:rPr>
                    <m:t>eqg</m:t>
                  </m:r>
                  <m:ctrlPr>
                    <w:rPr>
                      <w:rFonts w:ascii="Cambria Math" w:hAnsi="Cambria Math" w:eastAsiaTheme="minorEastAsia"/>
                      <w:kern w:val="0"/>
                      <w:sz w:val="24"/>
                    </w:rPr>
                  </m:ctrlPr>
                </m:sub>
              </m:sSub>
            </m:oMath>
            <w:r>
              <w:rPr>
                <w:rFonts w:eastAsiaTheme="minorEastAsia"/>
                <w:kern w:val="0"/>
                <w:sz w:val="24"/>
              </w:rPr>
              <w:t>——</w:t>
            </w:r>
            <w:r>
              <w:rPr>
                <w:rFonts w:hAnsiTheme="minorEastAsia" w:eastAsiaTheme="minorEastAsia"/>
                <w:kern w:val="0"/>
                <w:sz w:val="24"/>
              </w:rPr>
              <w:t>建设项目声源在预测点产生的噪声贡献值，</w:t>
            </w:r>
            <w:r>
              <w:rPr>
                <w:rFonts w:eastAsiaTheme="minorEastAsia"/>
                <w:kern w:val="0"/>
                <w:sz w:val="24"/>
              </w:rPr>
              <w:t>dB</w:t>
            </w:r>
          </w:p>
          <w:p w14:paraId="534D6EFB">
            <w:pPr>
              <w:autoSpaceDE w:val="0"/>
              <w:autoSpaceDN w:val="0"/>
              <w:adjustRightInd w:val="0"/>
              <w:spacing w:line="480" w:lineRule="exact"/>
              <w:ind w:firstLine="480" w:firstLineChars="200"/>
              <w:jc w:val="left"/>
              <w:rPr>
                <w:rFonts w:eastAsiaTheme="minorEastAsia"/>
                <w:kern w:val="0"/>
                <w:sz w:val="24"/>
              </w:rPr>
            </w:pPr>
            <m:oMath>
              <m:sSub>
                <m:sSubPr>
                  <m:ctrlPr>
                    <w:rPr>
                      <w:rFonts w:ascii="Cambria Math" w:hAnsi="Cambria Math" w:eastAsiaTheme="minorEastAsia"/>
                      <w:iCs/>
                      <w:kern w:val="0"/>
                      <w:sz w:val="24"/>
                    </w:rPr>
                  </m:ctrlPr>
                </m:sSubPr>
                <m:e>
                  <m:r>
                    <m:rPr>
                      <m:sty m:val="p"/>
                    </m:rPr>
                    <w:rPr>
                      <w:rFonts w:ascii="Cambria Math" w:hAnsi="Cambria Math" w:eastAsiaTheme="minorEastAsia"/>
                      <w:kern w:val="0"/>
                      <w:sz w:val="24"/>
                    </w:rPr>
                    <m:t xml:space="preserve">             t</m:t>
                  </m:r>
                  <m:ctrlPr>
                    <w:rPr>
                      <w:rFonts w:ascii="Cambria Math" w:hAnsi="Cambria Math" w:eastAsiaTheme="minorEastAsia"/>
                      <w:iCs/>
                      <w:kern w:val="0"/>
                      <w:sz w:val="24"/>
                    </w:rPr>
                  </m:ctrlPr>
                </m:e>
                <m:sub>
                  <m:r>
                    <m:rPr>
                      <m:sty m:val="p"/>
                    </m:rPr>
                    <w:rPr>
                      <w:rFonts w:ascii="Cambria Math" w:hAnsi="Cambria Math" w:eastAsiaTheme="minorEastAsia"/>
                      <w:kern w:val="0"/>
                      <w:sz w:val="24"/>
                    </w:rPr>
                    <m:t>j</m:t>
                  </m:r>
                  <m:ctrlPr>
                    <w:rPr>
                      <w:rFonts w:ascii="Cambria Math" w:hAnsi="Cambria Math" w:eastAsiaTheme="minorEastAsia"/>
                      <w:iCs/>
                      <w:kern w:val="0"/>
                      <w:sz w:val="24"/>
                    </w:rPr>
                  </m:ctrlPr>
                </m:sub>
              </m:sSub>
            </m:oMath>
            <w:r>
              <w:rPr>
                <w:rFonts w:eastAsiaTheme="minorEastAsia"/>
                <w:i/>
                <w:iCs/>
                <w:kern w:val="0"/>
                <w:sz w:val="24"/>
              </w:rPr>
              <w:t xml:space="preserve"> </w:t>
            </w:r>
            <w:r>
              <w:rPr>
                <w:rFonts w:eastAsiaTheme="minorEastAsia"/>
                <w:kern w:val="0"/>
                <w:sz w:val="24"/>
              </w:rPr>
              <w:t>—</w:t>
            </w:r>
            <w:r>
              <w:rPr>
                <w:rFonts w:hAnsiTheme="minorEastAsia" w:eastAsiaTheme="minorEastAsia"/>
                <w:kern w:val="0"/>
                <w:sz w:val="24"/>
              </w:rPr>
              <w:t>在</w:t>
            </w:r>
            <w:r>
              <w:rPr>
                <w:rFonts w:eastAsiaTheme="minorEastAsia"/>
                <w:kern w:val="0"/>
                <w:sz w:val="24"/>
              </w:rPr>
              <w:t xml:space="preserve">T </w:t>
            </w:r>
            <w:r>
              <w:rPr>
                <w:rFonts w:hAnsiTheme="minorEastAsia" w:eastAsiaTheme="minorEastAsia"/>
                <w:kern w:val="0"/>
                <w:sz w:val="24"/>
              </w:rPr>
              <w:t>时间内</w:t>
            </w:r>
            <w:r>
              <w:rPr>
                <w:rFonts w:eastAsiaTheme="minorEastAsia"/>
                <w:kern w:val="0"/>
                <w:sz w:val="24"/>
              </w:rPr>
              <w:t xml:space="preserve">j </w:t>
            </w:r>
            <w:r>
              <w:rPr>
                <w:rFonts w:hAnsiTheme="minorEastAsia" w:eastAsiaTheme="minorEastAsia"/>
                <w:kern w:val="0"/>
                <w:sz w:val="24"/>
              </w:rPr>
              <w:t>声源工作时间，</w:t>
            </w:r>
            <w:r>
              <w:rPr>
                <w:rFonts w:eastAsiaTheme="minorEastAsia"/>
                <w:kern w:val="0"/>
                <w:sz w:val="24"/>
              </w:rPr>
              <w:t>s</w:t>
            </w:r>
            <w:r>
              <w:rPr>
                <w:rFonts w:hAnsiTheme="minorEastAsia" w:eastAsiaTheme="minorEastAsia"/>
                <w:kern w:val="0"/>
                <w:sz w:val="24"/>
              </w:rPr>
              <w:t>；</w:t>
            </w:r>
          </w:p>
          <w:p w14:paraId="65B8C011">
            <w:pPr>
              <w:autoSpaceDE w:val="0"/>
              <w:autoSpaceDN w:val="0"/>
              <w:adjustRightInd w:val="0"/>
              <w:spacing w:line="480" w:lineRule="exact"/>
              <w:ind w:firstLine="480" w:firstLineChars="200"/>
              <w:jc w:val="left"/>
              <w:rPr>
                <w:rFonts w:eastAsiaTheme="minorEastAsia"/>
                <w:kern w:val="0"/>
                <w:sz w:val="24"/>
              </w:rPr>
            </w:pPr>
            <m:oMath>
              <m:sSub>
                <m:sSubPr>
                  <m:ctrlPr>
                    <w:rPr>
                      <w:rFonts w:ascii="Cambria Math" w:hAnsi="Cambria Math" w:eastAsiaTheme="minorEastAsia"/>
                      <w:kern w:val="0"/>
                      <w:sz w:val="24"/>
                    </w:rPr>
                  </m:ctrlPr>
                </m:sSubPr>
                <m:e>
                  <m:r>
                    <m:rPr>
                      <m:sty m:val="p"/>
                    </m:rPr>
                    <w:rPr>
                      <w:rFonts w:ascii="Cambria Math" w:hAnsi="Cambria Math" w:eastAsiaTheme="minorEastAsia"/>
                      <w:kern w:val="0"/>
                      <w:sz w:val="24"/>
                    </w:rPr>
                    <m:t xml:space="preserve">             t</m:t>
                  </m:r>
                  <m:ctrlPr>
                    <w:rPr>
                      <w:rFonts w:ascii="Cambria Math" w:hAnsi="Cambria Math" w:eastAsiaTheme="minorEastAsia"/>
                      <w:kern w:val="0"/>
                      <w:sz w:val="24"/>
                    </w:rPr>
                  </m:ctrlPr>
                </m:e>
                <m:sub>
                  <m:r>
                    <m:rPr>
                      <m:sty m:val="p"/>
                    </m:rPr>
                    <w:rPr>
                      <w:rFonts w:ascii="Cambria Math" w:hAnsi="Cambria Math" w:eastAsiaTheme="minorEastAsia"/>
                      <w:kern w:val="0"/>
                      <w:sz w:val="24"/>
                    </w:rPr>
                    <m:t>i</m:t>
                  </m:r>
                  <m:ctrlPr>
                    <w:rPr>
                      <w:rFonts w:ascii="Cambria Math" w:hAnsi="Cambria Math" w:eastAsiaTheme="minorEastAsia"/>
                      <w:kern w:val="0"/>
                      <w:sz w:val="24"/>
                    </w:rPr>
                  </m:ctrlPr>
                </m:sub>
              </m:sSub>
            </m:oMath>
            <w:r>
              <w:rPr>
                <w:rFonts w:eastAsiaTheme="minorEastAsia"/>
                <w:kern w:val="0"/>
                <w:sz w:val="24"/>
              </w:rPr>
              <w:t>—</w:t>
            </w:r>
            <w:r>
              <w:rPr>
                <w:rFonts w:hAnsiTheme="minorEastAsia" w:eastAsiaTheme="minorEastAsia"/>
                <w:kern w:val="0"/>
                <w:sz w:val="24"/>
              </w:rPr>
              <w:t>在</w:t>
            </w:r>
            <w:r>
              <w:rPr>
                <w:rFonts w:eastAsiaTheme="minorEastAsia"/>
                <w:kern w:val="0"/>
                <w:sz w:val="24"/>
              </w:rPr>
              <w:t xml:space="preserve">T </w:t>
            </w:r>
            <w:r>
              <w:rPr>
                <w:rFonts w:hAnsiTheme="minorEastAsia" w:eastAsiaTheme="minorEastAsia"/>
                <w:kern w:val="0"/>
                <w:sz w:val="24"/>
              </w:rPr>
              <w:t>时间内</w:t>
            </w:r>
            <w:r>
              <w:rPr>
                <w:rFonts w:eastAsiaTheme="minorEastAsia"/>
                <w:kern w:val="0"/>
                <w:sz w:val="24"/>
              </w:rPr>
              <w:t xml:space="preserve">i </w:t>
            </w:r>
            <w:r>
              <w:rPr>
                <w:rFonts w:hAnsiTheme="minorEastAsia" w:eastAsiaTheme="minorEastAsia"/>
                <w:kern w:val="0"/>
                <w:sz w:val="24"/>
              </w:rPr>
              <w:t>声源工作时间，</w:t>
            </w:r>
            <w:r>
              <w:rPr>
                <w:rFonts w:eastAsiaTheme="minorEastAsia"/>
                <w:kern w:val="0"/>
                <w:sz w:val="24"/>
              </w:rPr>
              <w:t>s</w:t>
            </w:r>
            <w:r>
              <w:rPr>
                <w:rFonts w:hAnsiTheme="minorEastAsia" w:eastAsiaTheme="minorEastAsia"/>
                <w:kern w:val="0"/>
                <w:sz w:val="24"/>
              </w:rPr>
              <w:t>；</w:t>
            </w:r>
          </w:p>
          <w:p w14:paraId="5BB59677">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T—</w:t>
            </w:r>
            <w:r>
              <w:rPr>
                <w:rFonts w:hAnsiTheme="minorEastAsia" w:eastAsiaTheme="minorEastAsia"/>
                <w:kern w:val="0"/>
                <w:sz w:val="24"/>
              </w:rPr>
              <w:t>用于计算等效声级的时间，</w:t>
            </w:r>
            <w:r>
              <w:rPr>
                <w:rFonts w:eastAsiaTheme="minorEastAsia"/>
                <w:kern w:val="0"/>
                <w:sz w:val="24"/>
              </w:rPr>
              <w:t>s</w:t>
            </w:r>
            <w:r>
              <w:rPr>
                <w:rFonts w:hAnsiTheme="minorEastAsia" w:eastAsiaTheme="minorEastAsia"/>
                <w:kern w:val="0"/>
                <w:sz w:val="24"/>
              </w:rPr>
              <w:t>；</w:t>
            </w:r>
          </w:p>
          <w:p w14:paraId="3FE75E0A">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N—</w:t>
            </w:r>
            <w:r>
              <w:rPr>
                <w:rFonts w:hAnsiTheme="minorEastAsia" w:eastAsiaTheme="minorEastAsia"/>
                <w:kern w:val="0"/>
                <w:sz w:val="24"/>
              </w:rPr>
              <w:t>室外声源个数；</w:t>
            </w:r>
          </w:p>
          <w:p w14:paraId="74723BD3">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 xml:space="preserve">      </w:t>
            </w:r>
            <w:r>
              <w:rPr>
                <w:rFonts w:eastAsiaTheme="minorEastAsia"/>
                <w:kern w:val="0"/>
                <w:sz w:val="24"/>
              </w:rPr>
              <w:t>M—</w:t>
            </w:r>
            <w:r>
              <w:rPr>
                <w:rFonts w:hAnsiTheme="minorEastAsia" w:eastAsiaTheme="minorEastAsia"/>
                <w:kern w:val="0"/>
                <w:sz w:val="24"/>
              </w:rPr>
              <w:t>等效室外声源个数。</w:t>
            </w:r>
          </w:p>
          <w:p w14:paraId="6101B980">
            <w:pPr>
              <w:autoSpaceDE w:val="0"/>
              <w:autoSpaceDN w:val="0"/>
              <w:adjustRightInd w:val="0"/>
              <w:spacing w:line="480" w:lineRule="exact"/>
              <w:ind w:firstLine="482" w:firstLineChars="200"/>
              <w:jc w:val="left"/>
              <w:rPr>
                <w:rFonts w:eastAsiaTheme="minorEastAsia"/>
                <w:b/>
                <w:kern w:val="0"/>
                <w:sz w:val="24"/>
              </w:rPr>
            </w:pPr>
            <w:r>
              <w:rPr>
                <w:rFonts w:hint="eastAsia" w:eastAsiaTheme="minorEastAsia"/>
                <w:b/>
                <w:bCs/>
                <w:kern w:val="0"/>
                <w:sz w:val="24"/>
              </w:rPr>
              <w:t xml:space="preserve">4.2.3.3 </w:t>
            </w:r>
            <w:r>
              <w:rPr>
                <w:rFonts w:hint="eastAsia" w:hAnsiTheme="minorEastAsia" w:eastAsiaTheme="minorEastAsia"/>
                <w:b/>
                <w:kern w:val="0"/>
                <w:sz w:val="24"/>
              </w:rPr>
              <w:t>噪声预测及达标分析</w:t>
            </w:r>
          </w:p>
          <w:p w14:paraId="10675E95">
            <w:pPr>
              <w:adjustRightInd w:val="0"/>
              <w:snapToGrid w:val="0"/>
              <w:spacing w:line="440" w:lineRule="exact"/>
              <w:jc w:val="center"/>
              <w:rPr>
                <w:rFonts w:hAnsiTheme="minorEastAsia" w:eastAsiaTheme="minorEastAsia"/>
                <w:kern w:val="0"/>
                <w:sz w:val="24"/>
              </w:rPr>
            </w:pPr>
            <w:r>
              <w:rPr>
                <w:rFonts w:hAnsiTheme="minorEastAsia" w:eastAsiaTheme="minorEastAsia"/>
                <w:kern w:val="0"/>
                <w:sz w:val="24"/>
              </w:rPr>
              <w:t>按上述预测模式，</w:t>
            </w:r>
            <w:r>
              <w:rPr>
                <w:rFonts w:hint="eastAsia" w:hAnsiTheme="minorEastAsia" w:eastAsiaTheme="minorEastAsia"/>
                <w:kern w:val="0"/>
                <w:sz w:val="24"/>
              </w:rPr>
              <w:t>拟建项目</w:t>
            </w:r>
            <w:r>
              <w:rPr>
                <w:rFonts w:hAnsiTheme="minorEastAsia" w:eastAsiaTheme="minorEastAsia"/>
                <w:kern w:val="0"/>
                <w:sz w:val="24"/>
              </w:rPr>
              <w:t>厂界噪声预测</w:t>
            </w:r>
            <w:r>
              <w:rPr>
                <w:rFonts w:hint="eastAsia" w:hAnsiTheme="minorEastAsia" w:eastAsiaTheme="minorEastAsia"/>
                <w:kern w:val="0"/>
                <w:sz w:val="24"/>
              </w:rPr>
              <w:t>结果</w:t>
            </w:r>
            <w:r>
              <w:rPr>
                <w:rFonts w:hAnsiTheme="minorEastAsia" w:eastAsiaTheme="minorEastAsia"/>
                <w:kern w:val="0"/>
                <w:sz w:val="24"/>
              </w:rPr>
              <w:t>见表</w:t>
            </w:r>
            <w:r>
              <w:rPr>
                <w:rFonts w:hint="eastAsia" w:eastAsiaTheme="minorEastAsia"/>
                <w:kern w:val="0"/>
                <w:sz w:val="24"/>
              </w:rPr>
              <w:t>4.2-17</w:t>
            </w:r>
            <w:r>
              <w:rPr>
                <w:rFonts w:hAnsiTheme="minorEastAsia" w:eastAsiaTheme="minorEastAsia"/>
                <w:kern w:val="0"/>
                <w:sz w:val="24"/>
              </w:rPr>
              <w:t>。</w:t>
            </w:r>
          </w:p>
          <w:p w14:paraId="18BB3502">
            <w:pPr>
              <w:overflowPunct w:val="0"/>
              <w:snapToGrid w:val="0"/>
              <w:jc w:val="center"/>
              <w:rPr>
                <w:rFonts w:hAnsi="宋体"/>
                <w:b/>
                <w:bCs/>
                <w:szCs w:val="21"/>
              </w:rPr>
            </w:pPr>
          </w:p>
          <w:p w14:paraId="04C8CB30">
            <w:pPr>
              <w:overflowPunct w:val="0"/>
              <w:snapToGrid w:val="0"/>
              <w:jc w:val="center"/>
              <w:rPr>
                <w:rFonts w:hAnsi="宋体"/>
                <w:b/>
                <w:bCs/>
                <w:szCs w:val="21"/>
              </w:rPr>
            </w:pPr>
          </w:p>
          <w:p w14:paraId="76791F28">
            <w:pPr>
              <w:overflowPunct w:val="0"/>
              <w:snapToGrid w:val="0"/>
              <w:jc w:val="center"/>
              <w:rPr>
                <w:rFonts w:hAnsi="宋体"/>
                <w:b/>
                <w:bCs/>
                <w:szCs w:val="21"/>
              </w:rPr>
            </w:pPr>
          </w:p>
          <w:p w14:paraId="44B5AB11">
            <w:pPr>
              <w:overflowPunct w:val="0"/>
              <w:snapToGrid w:val="0"/>
              <w:jc w:val="center"/>
              <w:rPr>
                <w:rFonts w:hAnsi="宋体"/>
                <w:b/>
                <w:bCs/>
                <w:szCs w:val="21"/>
              </w:rPr>
            </w:pPr>
            <w:r>
              <w:rPr>
                <w:rFonts w:hint="eastAsia" w:hAnsi="宋体"/>
                <w:b/>
                <w:bCs/>
                <w:szCs w:val="21"/>
              </w:rPr>
              <w:t>表4.2-17 拟建项目厂界噪声预测结果（dB(A)）</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875"/>
              <w:gridCol w:w="1391"/>
              <w:gridCol w:w="1133"/>
              <w:gridCol w:w="1133"/>
              <w:gridCol w:w="1133"/>
              <w:gridCol w:w="1133"/>
            </w:tblGrid>
            <w:tr w14:paraId="170A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Align w:val="center"/>
                </w:tcPr>
                <w:p w14:paraId="4D222723">
                  <w:pPr>
                    <w:overflowPunct w:val="0"/>
                    <w:snapToGrid w:val="0"/>
                    <w:jc w:val="center"/>
                    <w:rPr>
                      <w:rFonts w:eastAsiaTheme="minorEastAsia"/>
                      <w:bCs/>
                      <w:szCs w:val="21"/>
                    </w:rPr>
                  </w:pPr>
                  <w:r>
                    <w:rPr>
                      <w:rFonts w:hAnsiTheme="minorEastAsia" w:eastAsiaTheme="minorEastAsia"/>
                      <w:bCs/>
                      <w:szCs w:val="21"/>
                    </w:rPr>
                    <w:t>噪声源</w:t>
                  </w:r>
                </w:p>
              </w:tc>
              <w:tc>
                <w:tcPr>
                  <w:tcW w:w="875" w:type="dxa"/>
                  <w:vAlign w:val="center"/>
                </w:tcPr>
                <w:p w14:paraId="705F80E3">
                  <w:pPr>
                    <w:overflowPunct w:val="0"/>
                    <w:snapToGrid w:val="0"/>
                    <w:jc w:val="center"/>
                    <w:rPr>
                      <w:rFonts w:eastAsiaTheme="minorEastAsia"/>
                      <w:bCs/>
                      <w:szCs w:val="21"/>
                    </w:rPr>
                  </w:pPr>
                  <w:r>
                    <w:rPr>
                      <w:rFonts w:hAnsiTheme="minorEastAsia" w:eastAsiaTheme="minorEastAsia"/>
                      <w:bCs/>
                      <w:szCs w:val="21"/>
                    </w:rPr>
                    <w:t>声源类型</w:t>
                  </w:r>
                </w:p>
              </w:tc>
              <w:tc>
                <w:tcPr>
                  <w:tcW w:w="1391" w:type="dxa"/>
                  <w:vAlign w:val="center"/>
                </w:tcPr>
                <w:p w14:paraId="26CFAF33">
                  <w:pPr>
                    <w:overflowPunct w:val="0"/>
                    <w:snapToGrid w:val="0"/>
                    <w:jc w:val="center"/>
                    <w:rPr>
                      <w:rFonts w:eastAsiaTheme="minorEastAsia"/>
                      <w:bCs/>
                      <w:szCs w:val="21"/>
                    </w:rPr>
                  </w:pPr>
                  <w:r>
                    <w:rPr>
                      <w:rFonts w:hAnsiTheme="minorEastAsia" w:eastAsiaTheme="minorEastAsia"/>
                      <w:bCs/>
                      <w:szCs w:val="21"/>
                    </w:rPr>
                    <w:t>统计量</w:t>
                  </w:r>
                </w:p>
              </w:tc>
              <w:tc>
                <w:tcPr>
                  <w:tcW w:w="1133" w:type="dxa"/>
                  <w:vAlign w:val="center"/>
                </w:tcPr>
                <w:p w14:paraId="2FB45873">
                  <w:pPr>
                    <w:overflowPunct w:val="0"/>
                    <w:snapToGrid w:val="0"/>
                    <w:jc w:val="center"/>
                    <w:rPr>
                      <w:rFonts w:eastAsiaTheme="minorEastAsia"/>
                      <w:bCs/>
                      <w:szCs w:val="21"/>
                    </w:rPr>
                  </w:pPr>
                  <w:r>
                    <w:rPr>
                      <w:rFonts w:hAnsiTheme="minorEastAsia" w:eastAsiaTheme="minorEastAsia"/>
                      <w:bCs/>
                      <w:szCs w:val="21"/>
                    </w:rPr>
                    <w:t>东厂界</w:t>
                  </w:r>
                </w:p>
              </w:tc>
              <w:tc>
                <w:tcPr>
                  <w:tcW w:w="1133" w:type="dxa"/>
                  <w:vAlign w:val="center"/>
                </w:tcPr>
                <w:p w14:paraId="0317E01F">
                  <w:pPr>
                    <w:overflowPunct w:val="0"/>
                    <w:snapToGrid w:val="0"/>
                    <w:jc w:val="center"/>
                    <w:rPr>
                      <w:rFonts w:eastAsiaTheme="minorEastAsia"/>
                      <w:bCs/>
                      <w:szCs w:val="21"/>
                    </w:rPr>
                  </w:pPr>
                  <w:r>
                    <w:rPr>
                      <w:rFonts w:hAnsiTheme="minorEastAsia" w:eastAsiaTheme="minorEastAsia"/>
                      <w:bCs/>
                      <w:szCs w:val="21"/>
                    </w:rPr>
                    <w:t>南厂界</w:t>
                  </w:r>
                </w:p>
              </w:tc>
              <w:tc>
                <w:tcPr>
                  <w:tcW w:w="1133" w:type="dxa"/>
                  <w:vAlign w:val="center"/>
                </w:tcPr>
                <w:p w14:paraId="72C7933D">
                  <w:pPr>
                    <w:overflowPunct w:val="0"/>
                    <w:snapToGrid w:val="0"/>
                    <w:jc w:val="center"/>
                    <w:rPr>
                      <w:rFonts w:eastAsiaTheme="minorEastAsia"/>
                      <w:bCs/>
                      <w:szCs w:val="21"/>
                    </w:rPr>
                  </w:pPr>
                  <w:r>
                    <w:rPr>
                      <w:rFonts w:hAnsiTheme="minorEastAsia" w:eastAsiaTheme="minorEastAsia"/>
                      <w:bCs/>
                      <w:szCs w:val="21"/>
                    </w:rPr>
                    <w:t>西厂界</w:t>
                  </w:r>
                </w:p>
              </w:tc>
              <w:tc>
                <w:tcPr>
                  <w:tcW w:w="1133" w:type="dxa"/>
                  <w:vAlign w:val="center"/>
                </w:tcPr>
                <w:p w14:paraId="7BE6162D">
                  <w:pPr>
                    <w:overflowPunct w:val="0"/>
                    <w:snapToGrid w:val="0"/>
                    <w:jc w:val="center"/>
                    <w:rPr>
                      <w:rFonts w:eastAsiaTheme="minorEastAsia"/>
                      <w:bCs/>
                      <w:szCs w:val="21"/>
                    </w:rPr>
                  </w:pPr>
                  <w:r>
                    <w:rPr>
                      <w:rFonts w:hAnsiTheme="minorEastAsia" w:eastAsiaTheme="minorEastAsia"/>
                      <w:bCs/>
                      <w:szCs w:val="21"/>
                    </w:rPr>
                    <w:t>北厂界</w:t>
                  </w:r>
                </w:p>
              </w:tc>
            </w:tr>
            <w:tr w14:paraId="18BB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14:paraId="43AEC54C">
                  <w:pPr>
                    <w:overflowPunct w:val="0"/>
                    <w:snapToGrid w:val="0"/>
                    <w:jc w:val="center"/>
                    <w:rPr>
                      <w:rFonts w:eastAsiaTheme="minorEastAsia"/>
                      <w:bCs/>
                      <w:szCs w:val="21"/>
                    </w:rPr>
                  </w:pPr>
                  <w:r>
                    <w:rPr>
                      <w:rFonts w:hint="eastAsia" w:eastAsiaTheme="minorEastAsia"/>
                      <w:bCs/>
                      <w:szCs w:val="21"/>
                    </w:rPr>
                    <w:t>冷却塔</w:t>
                  </w:r>
                </w:p>
              </w:tc>
              <w:tc>
                <w:tcPr>
                  <w:tcW w:w="875" w:type="dxa"/>
                  <w:vMerge w:val="restart"/>
                  <w:vAlign w:val="center"/>
                </w:tcPr>
                <w:p w14:paraId="09186BC9">
                  <w:pPr>
                    <w:overflowPunct w:val="0"/>
                    <w:snapToGrid w:val="0"/>
                    <w:jc w:val="center"/>
                    <w:rPr>
                      <w:rFonts w:eastAsiaTheme="minorEastAsia"/>
                      <w:bCs/>
                      <w:szCs w:val="21"/>
                    </w:rPr>
                  </w:pPr>
                  <w:r>
                    <w:rPr>
                      <w:rFonts w:hint="eastAsia" w:eastAsiaTheme="minorEastAsia"/>
                      <w:bCs/>
                      <w:szCs w:val="21"/>
                    </w:rPr>
                    <w:t>室外声源</w:t>
                  </w:r>
                </w:p>
              </w:tc>
              <w:tc>
                <w:tcPr>
                  <w:tcW w:w="1391" w:type="dxa"/>
                  <w:vAlign w:val="center"/>
                </w:tcPr>
                <w:p w14:paraId="196FB3B2">
                  <w:pPr>
                    <w:overflowPunct w:val="0"/>
                    <w:snapToGrid w:val="0"/>
                    <w:jc w:val="center"/>
                    <w:rPr>
                      <w:rFonts w:eastAsiaTheme="minorEastAsia"/>
                      <w:bCs/>
                      <w:szCs w:val="21"/>
                    </w:rPr>
                  </w:pPr>
                  <w:r>
                    <w:rPr>
                      <w:rFonts w:hint="eastAsia" w:eastAsiaTheme="minorEastAsia"/>
                      <w:bCs/>
                      <w:szCs w:val="21"/>
                    </w:rPr>
                    <w:t>声压级</w:t>
                  </w:r>
                </w:p>
              </w:tc>
              <w:tc>
                <w:tcPr>
                  <w:tcW w:w="1133" w:type="dxa"/>
                  <w:vAlign w:val="center"/>
                </w:tcPr>
                <w:p w14:paraId="23A8363B">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43B2924A">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0CA5970A">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2E5C5B6C">
                  <w:pPr>
                    <w:overflowPunct w:val="0"/>
                    <w:snapToGrid w:val="0"/>
                    <w:jc w:val="center"/>
                    <w:rPr>
                      <w:rFonts w:eastAsiaTheme="minorEastAsia"/>
                      <w:bCs/>
                      <w:szCs w:val="21"/>
                    </w:rPr>
                  </w:pPr>
                  <w:r>
                    <w:rPr>
                      <w:rFonts w:hint="eastAsia" w:eastAsiaTheme="minorEastAsia"/>
                      <w:bCs/>
                      <w:szCs w:val="21"/>
                    </w:rPr>
                    <w:t>80</w:t>
                  </w:r>
                </w:p>
              </w:tc>
            </w:tr>
            <w:tr w14:paraId="0689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0866AC9E">
                  <w:pPr>
                    <w:overflowPunct w:val="0"/>
                    <w:snapToGrid w:val="0"/>
                    <w:jc w:val="center"/>
                    <w:rPr>
                      <w:rFonts w:eastAsiaTheme="minorEastAsia"/>
                      <w:bCs/>
                      <w:szCs w:val="21"/>
                    </w:rPr>
                  </w:pPr>
                </w:p>
              </w:tc>
              <w:tc>
                <w:tcPr>
                  <w:tcW w:w="875" w:type="dxa"/>
                  <w:vMerge w:val="continue"/>
                  <w:vAlign w:val="center"/>
                </w:tcPr>
                <w:p w14:paraId="274EEC76">
                  <w:pPr>
                    <w:overflowPunct w:val="0"/>
                    <w:snapToGrid w:val="0"/>
                    <w:jc w:val="center"/>
                    <w:rPr>
                      <w:rFonts w:eastAsiaTheme="minorEastAsia"/>
                      <w:bCs/>
                      <w:szCs w:val="21"/>
                    </w:rPr>
                  </w:pPr>
                </w:p>
              </w:tc>
              <w:tc>
                <w:tcPr>
                  <w:tcW w:w="1391" w:type="dxa"/>
                  <w:vAlign w:val="center"/>
                </w:tcPr>
                <w:p w14:paraId="255CA1C4">
                  <w:pPr>
                    <w:overflowPunct w:val="0"/>
                    <w:snapToGrid w:val="0"/>
                    <w:jc w:val="center"/>
                    <w:rPr>
                      <w:rFonts w:eastAsiaTheme="minorEastAsia"/>
                      <w:bCs/>
                      <w:szCs w:val="21"/>
                    </w:rPr>
                  </w:pPr>
                  <w:r>
                    <w:rPr>
                      <w:rFonts w:hint="eastAsia" w:eastAsiaTheme="minorEastAsia"/>
                      <w:bCs/>
                      <w:szCs w:val="21"/>
                    </w:rPr>
                    <w:t>距离/m</w:t>
                  </w:r>
                </w:p>
              </w:tc>
              <w:tc>
                <w:tcPr>
                  <w:tcW w:w="1133" w:type="dxa"/>
                  <w:vAlign w:val="center"/>
                </w:tcPr>
                <w:p w14:paraId="48776A00">
                  <w:pPr>
                    <w:overflowPunct w:val="0"/>
                    <w:snapToGrid w:val="0"/>
                    <w:jc w:val="center"/>
                    <w:rPr>
                      <w:rFonts w:eastAsiaTheme="minorEastAsia"/>
                      <w:bCs/>
                      <w:szCs w:val="21"/>
                    </w:rPr>
                  </w:pPr>
                  <w:r>
                    <w:rPr>
                      <w:rFonts w:hint="eastAsia" w:eastAsiaTheme="minorEastAsia"/>
                      <w:bCs/>
                      <w:szCs w:val="21"/>
                    </w:rPr>
                    <w:t>40</w:t>
                  </w:r>
                </w:p>
              </w:tc>
              <w:tc>
                <w:tcPr>
                  <w:tcW w:w="1133" w:type="dxa"/>
                  <w:vAlign w:val="center"/>
                </w:tcPr>
                <w:p w14:paraId="16D8A0E4">
                  <w:pPr>
                    <w:overflowPunct w:val="0"/>
                    <w:snapToGrid w:val="0"/>
                    <w:jc w:val="center"/>
                    <w:rPr>
                      <w:rFonts w:eastAsiaTheme="minorEastAsia"/>
                      <w:bCs/>
                      <w:szCs w:val="21"/>
                    </w:rPr>
                  </w:pPr>
                  <w:r>
                    <w:rPr>
                      <w:rFonts w:hint="eastAsia" w:eastAsiaTheme="minorEastAsia"/>
                      <w:bCs/>
                      <w:szCs w:val="21"/>
                    </w:rPr>
                    <w:t>219</w:t>
                  </w:r>
                </w:p>
              </w:tc>
              <w:tc>
                <w:tcPr>
                  <w:tcW w:w="1133" w:type="dxa"/>
                  <w:vAlign w:val="center"/>
                </w:tcPr>
                <w:p w14:paraId="190BC20D">
                  <w:pPr>
                    <w:overflowPunct w:val="0"/>
                    <w:snapToGrid w:val="0"/>
                    <w:jc w:val="center"/>
                    <w:rPr>
                      <w:rFonts w:eastAsiaTheme="minorEastAsia"/>
                      <w:bCs/>
                      <w:szCs w:val="21"/>
                    </w:rPr>
                  </w:pPr>
                  <w:r>
                    <w:rPr>
                      <w:rFonts w:hint="eastAsia" w:eastAsiaTheme="minorEastAsia"/>
                      <w:bCs/>
                      <w:szCs w:val="21"/>
                    </w:rPr>
                    <w:t>118</w:t>
                  </w:r>
                </w:p>
              </w:tc>
              <w:tc>
                <w:tcPr>
                  <w:tcW w:w="1133" w:type="dxa"/>
                  <w:vAlign w:val="center"/>
                </w:tcPr>
                <w:p w14:paraId="3FFAD256">
                  <w:pPr>
                    <w:overflowPunct w:val="0"/>
                    <w:snapToGrid w:val="0"/>
                    <w:jc w:val="center"/>
                    <w:rPr>
                      <w:rFonts w:eastAsiaTheme="minorEastAsia"/>
                      <w:bCs/>
                      <w:szCs w:val="21"/>
                    </w:rPr>
                  </w:pPr>
                  <w:r>
                    <w:rPr>
                      <w:rFonts w:hint="eastAsia" w:eastAsiaTheme="minorEastAsia"/>
                      <w:bCs/>
                      <w:szCs w:val="21"/>
                    </w:rPr>
                    <w:t>241</w:t>
                  </w:r>
                </w:p>
              </w:tc>
            </w:tr>
            <w:tr w14:paraId="7E08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68A71D6B">
                  <w:pPr>
                    <w:overflowPunct w:val="0"/>
                    <w:snapToGrid w:val="0"/>
                    <w:jc w:val="center"/>
                    <w:rPr>
                      <w:rFonts w:eastAsiaTheme="minorEastAsia"/>
                      <w:bCs/>
                      <w:szCs w:val="21"/>
                    </w:rPr>
                  </w:pPr>
                </w:p>
              </w:tc>
              <w:tc>
                <w:tcPr>
                  <w:tcW w:w="875" w:type="dxa"/>
                  <w:vMerge w:val="continue"/>
                  <w:vAlign w:val="center"/>
                </w:tcPr>
                <w:p w14:paraId="3A26553E">
                  <w:pPr>
                    <w:overflowPunct w:val="0"/>
                    <w:snapToGrid w:val="0"/>
                    <w:jc w:val="center"/>
                    <w:rPr>
                      <w:rFonts w:eastAsiaTheme="minorEastAsia"/>
                      <w:bCs/>
                      <w:szCs w:val="21"/>
                    </w:rPr>
                  </w:pPr>
                </w:p>
              </w:tc>
              <w:tc>
                <w:tcPr>
                  <w:tcW w:w="1391" w:type="dxa"/>
                  <w:vAlign w:val="center"/>
                </w:tcPr>
                <w:p w14:paraId="46AE1EA1">
                  <w:pPr>
                    <w:overflowPunct w:val="0"/>
                    <w:snapToGrid w:val="0"/>
                    <w:jc w:val="center"/>
                    <w:rPr>
                      <w:rFonts w:eastAsiaTheme="minorEastAsia"/>
                      <w:bCs/>
                      <w:szCs w:val="21"/>
                    </w:rPr>
                  </w:pPr>
                  <w:r>
                    <w:rPr>
                      <w:rFonts w:hint="eastAsia" w:ascii="宋体" w:cs="宋体"/>
                      <w:kern w:val="0"/>
                      <w:szCs w:val="21"/>
                    </w:rPr>
                    <w:t>预测点噪声影响值</w:t>
                  </w:r>
                </w:p>
              </w:tc>
              <w:tc>
                <w:tcPr>
                  <w:tcW w:w="1133" w:type="dxa"/>
                  <w:vAlign w:val="center"/>
                </w:tcPr>
                <w:p w14:paraId="268749F8">
                  <w:pPr>
                    <w:overflowPunct w:val="0"/>
                    <w:snapToGrid w:val="0"/>
                    <w:jc w:val="center"/>
                    <w:rPr>
                      <w:rFonts w:eastAsiaTheme="minorEastAsia"/>
                      <w:bCs/>
                      <w:szCs w:val="21"/>
                    </w:rPr>
                  </w:pPr>
                  <w:r>
                    <w:rPr>
                      <w:rFonts w:hint="eastAsia" w:eastAsiaTheme="minorEastAsia"/>
                      <w:bCs/>
                      <w:szCs w:val="21"/>
                    </w:rPr>
                    <w:t>48.0</w:t>
                  </w:r>
                </w:p>
              </w:tc>
              <w:tc>
                <w:tcPr>
                  <w:tcW w:w="1133" w:type="dxa"/>
                  <w:vAlign w:val="center"/>
                </w:tcPr>
                <w:p w14:paraId="7EC6DD19">
                  <w:pPr>
                    <w:overflowPunct w:val="0"/>
                    <w:snapToGrid w:val="0"/>
                    <w:jc w:val="center"/>
                    <w:rPr>
                      <w:rFonts w:eastAsiaTheme="minorEastAsia"/>
                      <w:bCs/>
                      <w:szCs w:val="21"/>
                    </w:rPr>
                  </w:pPr>
                  <w:r>
                    <w:rPr>
                      <w:rFonts w:hint="eastAsia" w:eastAsiaTheme="minorEastAsia"/>
                      <w:bCs/>
                      <w:szCs w:val="21"/>
                    </w:rPr>
                    <w:t>33.2</w:t>
                  </w:r>
                </w:p>
              </w:tc>
              <w:tc>
                <w:tcPr>
                  <w:tcW w:w="1133" w:type="dxa"/>
                  <w:vAlign w:val="center"/>
                </w:tcPr>
                <w:p w14:paraId="1E078351">
                  <w:pPr>
                    <w:overflowPunct w:val="0"/>
                    <w:snapToGrid w:val="0"/>
                    <w:jc w:val="center"/>
                    <w:rPr>
                      <w:rFonts w:eastAsiaTheme="minorEastAsia"/>
                      <w:bCs/>
                      <w:szCs w:val="21"/>
                    </w:rPr>
                  </w:pPr>
                  <w:r>
                    <w:rPr>
                      <w:rFonts w:hint="eastAsia" w:eastAsiaTheme="minorEastAsia"/>
                      <w:bCs/>
                      <w:szCs w:val="21"/>
                    </w:rPr>
                    <w:t>38.6</w:t>
                  </w:r>
                </w:p>
              </w:tc>
              <w:tc>
                <w:tcPr>
                  <w:tcW w:w="1133" w:type="dxa"/>
                  <w:vAlign w:val="center"/>
                </w:tcPr>
                <w:p w14:paraId="4FE94A57">
                  <w:pPr>
                    <w:overflowPunct w:val="0"/>
                    <w:snapToGrid w:val="0"/>
                    <w:jc w:val="center"/>
                    <w:rPr>
                      <w:rFonts w:eastAsiaTheme="minorEastAsia"/>
                      <w:bCs/>
                      <w:szCs w:val="21"/>
                    </w:rPr>
                  </w:pPr>
                  <w:r>
                    <w:rPr>
                      <w:rFonts w:hint="eastAsia" w:eastAsiaTheme="minorEastAsia"/>
                      <w:bCs/>
                      <w:szCs w:val="21"/>
                    </w:rPr>
                    <w:t>32.4</w:t>
                  </w:r>
                </w:p>
              </w:tc>
            </w:tr>
            <w:tr w14:paraId="2EC9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14:paraId="17468D99">
                  <w:pPr>
                    <w:overflowPunct w:val="0"/>
                    <w:snapToGrid w:val="0"/>
                    <w:jc w:val="center"/>
                    <w:rPr>
                      <w:rFonts w:eastAsiaTheme="minorEastAsia"/>
                      <w:bCs/>
                      <w:szCs w:val="21"/>
                    </w:rPr>
                  </w:pPr>
                  <w:r>
                    <w:rPr>
                      <w:rFonts w:hint="eastAsia" w:eastAsiaTheme="minorEastAsia"/>
                      <w:bCs/>
                      <w:szCs w:val="21"/>
                    </w:rPr>
                    <w:t>冷却塔</w:t>
                  </w:r>
                </w:p>
              </w:tc>
              <w:tc>
                <w:tcPr>
                  <w:tcW w:w="875" w:type="dxa"/>
                  <w:vMerge w:val="restart"/>
                  <w:vAlign w:val="center"/>
                </w:tcPr>
                <w:p w14:paraId="45FC2298">
                  <w:pPr>
                    <w:overflowPunct w:val="0"/>
                    <w:snapToGrid w:val="0"/>
                    <w:jc w:val="center"/>
                    <w:rPr>
                      <w:rFonts w:eastAsiaTheme="minorEastAsia"/>
                      <w:bCs/>
                      <w:szCs w:val="21"/>
                    </w:rPr>
                  </w:pPr>
                  <w:r>
                    <w:rPr>
                      <w:rFonts w:hint="eastAsia" w:eastAsiaTheme="minorEastAsia"/>
                      <w:bCs/>
                      <w:szCs w:val="21"/>
                    </w:rPr>
                    <w:t>室外声源</w:t>
                  </w:r>
                </w:p>
              </w:tc>
              <w:tc>
                <w:tcPr>
                  <w:tcW w:w="1391" w:type="dxa"/>
                  <w:vAlign w:val="center"/>
                </w:tcPr>
                <w:p w14:paraId="168AE892">
                  <w:pPr>
                    <w:overflowPunct w:val="0"/>
                    <w:snapToGrid w:val="0"/>
                    <w:jc w:val="center"/>
                    <w:rPr>
                      <w:rFonts w:eastAsiaTheme="minorEastAsia"/>
                      <w:bCs/>
                      <w:szCs w:val="21"/>
                    </w:rPr>
                  </w:pPr>
                  <w:r>
                    <w:rPr>
                      <w:rFonts w:hint="eastAsia" w:eastAsiaTheme="minorEastAsia"/>
                      <w:bCs/>
                      <w:szCs w:val="21"/>
                    </w:rPr>
                    <w:t>声压级</w:t>
                  </w:r>
                </w:p>
              </w:tc>
              <w:tc>
                <w:tcPr>
                  <w:tcW w:w="1133" w:type="dxa"/>
                  <w:vAlign w:val="center"/>
                </w:tcPr>
                <w:p w14:paraId="1FC32980">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352CAC4F">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211E354B">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414E4C9B">
                  <w:pPr>
                    <w:overflowPunct w:val="0"/>
                    <w:snapToGrid w:val="0"/>
                    <w:jc w:val="center"/>
                    <w:rPr>
                      <w:rFonts w:eastAsiaTheme="minorEastAsia"/>
                      <w:bCs/>
                      <w:szCs w:val="21"/>
                    </w:rPr>
                  </w:pPr>
                  <w:r>
                    <w:rPr>
                      <w:rFonts w:hint="eastAsia" w:eastAsiaTheme="minorEastAsia"/>
                      <w:bCs/>
                      <w:szCs w:val="21"/>
                    </w:rPr>
                    <w:t>80</w:t>
                  </w:r>
                </w:p>
              </w:tc>
            </w:tr>
            <w:tr w14:paraId="485A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2834E8D4">
                  <w:pPr>
                    <w:overflowPunct w:val="0"/>
                    <w:snapToGrid w:val="0"/>
                    <w:jc w:val="center"/>
                    <w:rPr>
                      <w:rFonts w:eastAsiaTheme="minorEastAsia"/>
                      <w:bCs/>
                      <w:szCs w:val="21"/>
                    </w:rPr>
                  </w:pPr>
                </w:p>
              </w:tc>
              <w:tc>
                <w:tcPr>
                  <w:tcW w:w="875" w:type="dxa"/>
                  <w:vMerge w:val="continue"/>
                  <w:vAlign w:val="center"/>
                </w:tcPr>
                <w:p w14:paraId="494E6B6B">
                  <w:pPr>
                    <w:overflowPunct w:val="0"/>
                    <w:snapToGrid w:val="0"/>
                    <w:jc w:val="center"/>
                    <w:rPr>
                      <w:rFonts w:eastAsiaTheme="minorEastAsia"/>
                      <w:bCs/>
                      <w:szCs w:val="21"/>
                    </w:rPr>
                  </w:pPr>
                </w:p>
              </w:tc>
              <w:tc>
                <w:tcPr>
                  <w:tcW w:w="1391" w:type="dxa"/>
                  <w:vAlign w:val="center"/>
                </w:tcPr>
                <w:p w14:paraId="44FD146A">
                  <w:pPr>
                    <w:overflowPunct w:val="0"/>
                    <w:snapToGrid w:val="0"/>
                    <w:jc w:val="center"/>
                    <w:rPr>
                      <w:rFonts w:eastAsiaTheme="minorEastAsia"/>
                      <w:bCs/>
                      <w:szCs w:val="21"/>
                    </w:rPr>
                  </w:pPr>
                  <w:r>
                    <w:rPr>
                      <w:rFonts w:hint="eastAsia" w:eastAsiaTheme="minorEastAsia"/>
                      <w:bCs/>
                      <w:szCs w:val="21"/>
                    </w:rPr>
                    <w:t>距离/m</w:t>
                  </w:r>
                </w:p>
              </w:tc>
              <w:tc>
                <w:tcPr>
                  <w:tcW w:w="1133" w:type="dxa"/>
                  <w:vAlign w:val="center"/>
                </w:tcPr>
                <w:p w14:paraId="5555F43A">
                  <w:pPr>
                    <w:overflowPunct w:val="0"/>
                    <w:snapToGrid w:val="0"/>
                    <w:jc w:val="center"/>
                    <w:rPr>
                      <w:rFonts w:eastAsiaTheme="minorEastAsia"/>
                      <w:bCs/>
                      <w:szCs w:val="21"/>
                    </w:rPr>
                  </w:pPr>
                  <w:r>
                    <w:rPr>
                      <w:rFonts w:hint="eastAsia" w:eastAsiaTheme="minorEastAsia"/>
                      <w:bCs/>
                      <w:szCs w:val="21"/>
                    </w:rPr>
                    <w:t>40</w:t>
                  </w:r>
                </w:p>
              </w:tc>
              <w:tc>
                <w:tcPr>
                  <w:tcW w:w="1133" w:type="dxa"/>
                  <w:vAlign w:val="center"/>
                </w:tcPr>
                <w:p w14:paraId="75A53091">
                  <w:pPr>
                    <w:overflowPunct w:val="0"/>
                    <w:snapToGrid w:val="0"/>
                    <w:jc w:val="center"/>
                    <w:rPr>
                      <w:rFonts w:eastAsiaTheme="minorEastAsia"/>
                      <w:bCs/>
                      <w:szCs w:val="21"/>
                    </w:rPr>
                  </w:pPr>
                  <w:r>
                    <w:rPr>
                      <w:rFonts w:hint="eastAsia" w:eastAsiaTheme="minorEastAsia"/>
                      <w:bCs/>
                      <w:szCs w:val="21"/>
                    </w:rPr>
                    <w:t>209</w:t>
                  </w:r>
                </w:p>
              </w:tc>
              <w:tc>
                <w:tcPr>
                  <w:tcW w:w="1133" w:type="dxa"/>
                  <w:vAlign w:val="center"/>
                </w:tcPr>
                <w:p w14:paraId="1C5EBA79">
                  <w:pPr>
                    <w:overflowPunct w:val="0"/>
                    <w:snapToGrid w:val="0"/>
                    <w:jc w:val="center"/>
                    <w:rPr>
                      <w:rFonts w:eastAsiaTheme="minorEastAsia"/>
                      <w:bCs/>
                      <w:szCs w:val="21"/>
                    </w:rPr>
                  </w:pPr>
                  <w:r>
                    <w:rPr>
                      <w:rFonts w:hint="eastAsia" w:eastAsiaTheme="minorEastAsia"/>
                      <w:bCs/>
                      <w:szCs w:val="21"/>
                    </w:rPr>
                    <w:t>118</w:t>
                  </w:r>
                </w:p>
              </w:tc>
              <w:tc>
                <w:tcPr>
                  <w:tcW w:w="1133" w:type="dxa"/>
                  <w:vAlign w:val="center"/>
                </w:tcPr>
                <w:p w14:paraId="0685C3C1">
                  <w:pPr>
                    <w:overflowPunct w:val="0"/>
                    <w:snapToGrid w:val="0"/>
                    <w:jc w:val="center"/>
                    <w:rPr>
                      <w:rFonts w:eastAsiaTheme="minorEastAsia"/>
                      <w:bCs/>
                      <w:szCs w:val="21"/>
                    </w:rPr>
                  </w:pPr>
                  <w:r>
                    <w:rPr>
                      <w:rFonts w:hint="eastAsia" w:eastAsiaTheme="minorEastAsia"/>
                      <w:bCs/>
                      <w:szCs w:val="21"/>
                    </w:rPr>
                    <w:t>251</w:t>
                  </w:r>
                </w:p>
              </w:tc>
            </w:tr>
            <w:tr w14:paraId="16A1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4B24BBC5">
                  <w:pPr>
                    <w:overflowPunct w:val="0"/>
                    <w:snapToGrid w:val="0"/>
                    <w:jc w:val="center"/>
                    <w:rPr>
                      <w:rFonts w:eastAsiaTheme="minorEastAsia"/>
                      <w:bCs/>
                      <w:szCs w:val="21"/>
                    </w:rPr>
                  </w:pPr>
                </w:p>
              </w:tc>
              <w:tc>
                <w:tcPr>
                  <w:tcW w:w="875" w:type="dxa"/>
                  <w:vMerge w:val="continue"/>
                  <w:vAlign w:val="center"/>
                </w:tcPr>
                <w:p w14:paraId="52B260ED">
                  <w:pPr>
                    <w:overflowPunct w:val="0"/>
                    <w:snapToGrid w:val="0"/>
                    <w:jc w:val="center"/>
                    <w:rPr>
                      <w:rFonts w:eastAsiaTheme="minorEastAsia"/>
                      <w:bCs/>
                      <w:szCs w:val="21"/>
                    </w:rPr>
                  </w:pPr>
                </w:p>
              </w:tc>
              <w:tc>
                <w:tcPr>
                  <w:tcW w:w="1391" w:type="dxa"/>
                  <w:vAlign w:val="center"/>
                </w:tcPr>
                <w:p w14:paraId="52350135">
                  <w:pPr>
                    <w:overflowPunct w:val="0"/>
                    <w:snapToGrid w:val="0"/>
                    <w:jc w:val="center"/>
                    <w:rPr>
                      <w:rFonts w:eastAsiaTheme="minorEastAsia"/>
                      <w:bCs/>
                      <w:szCs w:val="21"/>
                    </w:rPr>
                  </w:pPr>
                  <w:r>
                    <w:rPr>
                      <w:rFonts w:hint="eastAsia" w:ascii="宋体" w:cs="宋体"/>
                      <w:kern w:val="0"/>
                      <w:szCs w:val="21"/>
                    </w:rPr>
                    <w:t>预测点噪声影响值</w:t>
                  </w:r>
                </w:p>
              </w:tc>
              <w:tc>
                <w:tcPr>
                  <w:tcW w:w="1133" w:type="dxa"/>
                  <w:vAlign w:val="center"/>
                </w:tcPr>
                <w:p w14:paraId="47FED84E">
                  <w:pPr>
                    <w:overflowPunct w:val="0"/>
                    <w:snapToGrid w:val="0"/>
                    <w:jc w:val="center"/>
                    <w:rPr>
                      <w:rFonts w:eastAsiaTheme="minorEastAsia"/>
                      <w:bCs/>
                      <w:szCs w:val="21"/>
                    </w:rPr>
                  </w:pPr>
                  <w:r>
                    <w:rPr>
                      <w:rFonts w:hint="eastAsia" w:eastAsiaTheme="minorEastAsia"/>
                      <w:bCs/>
                      <w:szCs w:val="21"/>
                    </w:rPr>
                    <w:t>48.0</w:t>
                  </w:r>
                </w:p>
              </w:tc>
              <w:tc>
                <w:tcPr>
                  <w:tcW w:w="1133" w:type="dxa"/>
                  <w:vAlign w:val="center"/>
                </w:tcPr>
                <w:p w14:paraId="0810A4A6">
                  <w:pPr>
                    <w:overflowPunct w:val="0"/>
                    <w:snapToGrid w:val="0"/>
                    <w:jc w:val="center"/>
                    <w:rPr>
                      <w:rFonts w:eastAsiaTheme="minorEastAsia"/>
                      <w:bCs/>
                      <w:szCs w:val="21"/>
                    </w:rPr>
                  </w:pPr>
                  <w:r>
                    <w:rPr>
                      <w:rFonts w:hint="eastAsia" w:eastAsiaTheme="minorEastAsia"/>
                      <w:bCs/>
                      <w:szCs w:val="21"/>
                    </w:rPr>
                    <w:t>33.6</w:t>
                  </w:r>
                </w:p>
              </w:tc>
              <w:tc>
                <w:tcPr>
                  <w:tcW w:w="1133" w:type="dxa"/>
                  <w:vAlign w:val="center"/>
                </w:tcPr>
                <w:p w14:paraId="24AEAC29">
                  <w:pPr>
                    <w:overflowPunct w:val="0"/>
                    <w:snapToGrid w:val="0"/>
                    <w:jc w:val="center"/>
                    <w:rPr>
                      <w:rFonts w:eastAsiaTheme="minorEastAsia"/>
                      <w:bCs/>
                      <w:szCs w:val="21"/>
                    </w:rPr>
                  </w:pPr>
                  <w:r>
                    <w:rPr>
                      <w:rFonts w:hint="eastAsia" w:eastAsiaTheme="minorEastAsia"/>
                      <w:bCs/>
                      <w:szCs w:val="21"/>
                    </w:rPr>
                    <w:t>38.6</w:t>
                  </w:r>
                </w:p>
              </w:tc>
              <w:tc>
                <w:tcPr>
                  <w:tcW w:w="1133" w:type="dxa"/>
                  <w:vAlign w:val="center"/>
                </w:tcPr>
                <w:p w14:paraId="79B901FC">
                  <w:pPr>
                    <w:overflowPunct w:val="0"/>
                    <w:snapToGrid w:val="0"/>
                    <w:jc w:val="center"/>
                    <w:rPr>
                      <w:rFonts w:eastAsiaTheme="minorEastAsia"/>
                      <w:bCs/>
                      <w:szCs w:val="21"/>
                    </w:rPr>
                  </w:pPr>
                  <w:r>
                    <w:rPr>
                      <w:rFonts w:hint="eastAsia" w:eastAsiaTheme="minorEastAsia"/>
                      <w:bCs/>
                      <w:szCs w:val="21"/>
                    </w:rPr>
                    <w:t>32.0</w:t>
                  </w:r>
                </w:p>
              </w:tc>
            </w:tr>
            <w:tr w14:paraId="4806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14:paraId="64392136">
                  <w:pPr>
                    <w:overflowPunct w:val="0"/>
                    <w:snapToGrid w:val="0"/>
                    <w:jc w:val="center"/>
                    <w:rPr>
                      <w:rFonts w:eastAsiaTheme="minorEastAsia"/>
                      <w:bCs/>
                      <w:szCs w:val="21"/>
                    </w:rPr>
                  </w:pPr>
                  <w:r>
                    <w:rPr>
                      <w:rFonts w:hint="eastAsia" w:eastAsiaTheme="minorEastAsia"/>
                      <w:bCs/>
                      <w:szCs w:val="21"/>
                    </w:rPr>
                    <w:t>冷却塔</w:t>
                  </w:r>
                </w:p>
              </w:tc>
              <w:tc>
                <w:tcPr>
                  <w:tcW w:w="875" w:type="dxa"/>
                  <w:vMerge w:val="restart"/>
                  <w:vAlign w:val="center"/>
                </w:tcPr>
                <w:p w14:paraId="7C528E68">
                  <w:pPr>
                    <w:overflowPunct w:val="0"/>
                    <w:snapToGrid w:val="0"/>
                    <w:jc w:val="center"/>
                    <w:rPr>
                      <w:rFonts w:eastAsiaTheme="minorEastAsia"/>
                      <w:bCs/>
                      <w:szCs w:val="21"/>
                    </w:rPr>
                  </w:pPr>
                  <w:r>
                    <w:rPr>
                      <w:rFonts w:hint="eastAsia" w:eastAsiaTheme="minorEastAsia"/>
                      <w:bCs/>
                      <w:szCs w:val="21"/>
                    </w:rPr>
                    <w:t>室外声源</w:t>
                  </w:r>
                </w:p>
              </w:tc>
              <w:tc>
                <w:tcPr>
                  <w:tcW w:w="1391" w:type="dxa"/>
                  <w:vAlign w:val="center"/>
                </w:tcPr>
                <w:p w14:paraId="357598EA">
                  <w:pPr>
                    <w:overflowPunct w:val="0"/>
                    <w:snapToGrid w:val="0"/>
                    <w:jc w:val="center"/>
                    <w:rPr>
                      <w:rFonts w:eastAsiaTheme="minorEastAsia"/>
                      <w:bCs/>
                      <w:szCs w:val="21"/>
                    </w:rPr>
                  </w:pPr>
                  <w:r>
                    <w:rPr>
                      <w:rFonts w:hint="eastAsia" w:eastAsiaTheme="minorEastAsia"/>
                      <w:bCs/>
                      <w:szCs w:val="21"/>
                    </w:rPr>
                    <w:t>声压级</w:t>
                  </w:r>
                </w:p>
              </w:tc>
              <w:tc>
                <w:tcPr>
                  <w:tcW w:w="1133" w:type="dxa"/>
                  <w:vAlign w:val="center"/>
                </w:tcPr>
                <w:p w14:paraId="26BB267E">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7A620F9B">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763FBD45">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0A5AC918">
                  <w:pPr>
                    <w:overflowPunct w:val="0"/>
                    <w:snapToGrid w:val="0"/>
                    <w:jc w:val="center"/>
                    <w:rPr>
                      <w:rFonts w:eastAsiaTheme="minorEastAsia"/>
                      <w:bCs/>
                      <w:szCs w:val="21"/>
                    </w:rPr>
                  </w:pPr>
                  <w:r>
                    <w:rPr>
                      <w:rFonts w:hint="eastAsia" w:eastAsiaTheme="minorEastAsia"/>
                      <w:bCs/>
                      <w:szCs w:val="21"/>
                    </w:rPr>
                    <w:t>80</w:t>
                  </w:r>
                </w:p>
              </w:tc>
            </w:tr>
            <w:tr w14:paraId="5686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16B6AFBB">
                  <w:pPr>
                    <w:overflowPunct w:val="0"/>
                    <w:snapToGrid w:val="0"/>
                    <w:jc w:val="center"/>
                    <w:rPr>
                      <w:rFonts w:eastAsiaTheme="minorEastAsia"/>
                      <w:bCs/>
                      <w:szCs w:val="21"/>
                    </w:rPr>
                  </w:pPr>
                </w:p>
              </w:tc>
              <w:tc>
                <w:tcPr>
                  <w:tcW w:w="875" w:type="dxa"/>
                  <w:vMerge w:val="continue"/>
                  <w:vAlign w:val="center"/>
                </w:tcPr>
                <w:p w14:paraId="131BE472">
                  <w:pPr>
                    <w:overflowPunct w:val="0"/>
                    <w:snapToGrid w:val="0"/>
                    <w:jc w:val="center"/>
                    <w:rPr>
                      <w:rFonts w:eastAsiaTheme="minorEastAsia"/>
                      <w:bCs/>
                      <w:szCs w:val="21"/>
                    </w:rPr>
                  </w:pPr>
                </w:p>
              </w:tc>
              <w:tc>
                <w:tcPr>
                  <w:tcW w:w="1391" w:type="dxa"/>
                  <w:vAlign w:val="center"/>
                </w:tcPr>
                <w:p w14:paraId="5B005D96">
                  <w:pPr>
                    <w:overflowPunct w:val="0"/>
                    <w:snapToGrid w:val="0"/>
                    <w:jc w:val="center"/>
                    <w:rPr>
                      <w:rFonts w:eastAsiaTheme="minorEastAsia"/>
                      <w:bCs/>
                      <w:szCs w:val="21"/>
                    </w:rPr>
                  </w:pPr>
                  <w:r>
                    <w:rPr>
                      <w:rFonts w:hint="eastAsia" w:eastAsiaTheme="minorEastAsia"/>
                      <w:bCs/>
                      <w:szCs w:val="21"/>
                    </w:rPr>
                    <w:t>距离/m</w:t>
                  </w:r>
                </w:p>
              </w:tc>
              <w:tc>
                <w:tcPr>
                  <w:tcW w:w="1133" w:type="dxa"/>
                  <w:vAlign w:val="center"/>
                </w:tcPr>
                <w:p w14:paraId="6BD25719">
                  <w:pPr>
                    <w:overflowPunct w:val="0"/>
                    <w:snapToGrid w:val="0"/>
                    <w:jc w:val="center"/>
                    <w:rPr>
                      <w:rFonts w:eastAsiaTheme="minorEastAsia"/>
                      <w:bCs/>
                      <w:szCs w:val="21"/>
                    </w:rPr>
                  </w:pPr>
                  <w:r>
                    <w:rPr>
                      <w:rFonts w:hint="eastAsia" w:eastAsiaTheme="minorEastAsia"/>
                      <w:bCs/>
                      <w:szCs w:val="21"/>
                    </w:rPr>
                    <w:t>40</w:t>
                  </w:r>
                </w:p>
              </w:tc>
              <w:tc>
                <w:tcPr>
                  <w:tcW w:w="1133" w:type="dxa"/>
                  <w:vAlign w:val="center"/>
                </w:tcPr>
                <w:p w14:paraId="01630169">
                  <w:pPr>
                    <w:overflowPunct w:val="0"/>
                    <w:snapToGrid w:val="0"/>
                    <w:jc w:val="center"/>
                    <w:rPr>
                      <w:rFonts w:eastAsiaTheme="minorEastAsia"/>
                      <w:bCs/>
                      <w:szCs w:val="21"/>
                    </w:rPr>
                  </w:pPr>
                  <w:r>
                    <w:rPr>
                      <w:rFonts w:hint="eastAsia" w:eastAsiaTheme="minorEastAsia"/>
                      <w:bCs/>
                      <w:szCs w:val="21"/>
                    </w:rPr>
                    <w:t>199</w:t>
                  </w:r>
                </w:p>
              </w:tc>
              <w:tc>
                <w:tcPr>
                  <w:tcW w:w="1133" w:type="dxa"/>
                  <w:vAlign w:val="center"/>
                </w:tcPr>
                <w:p w14:paraId="597DA780">
                  <w:pPr>
                    <w:overflowPunct w:val="0"/>
                    <w:snapToGrid w:val="0"/>
                    <w:jc w:val="center"/>
                    <w:rPr>
                      <w:rFonts w:eastAsiaTheme="minorEastAsia"/>
                      <w:bCs/>
                      <w:szCs w:val="21"/>
                    </w:rPr>
                  </w:pPr>
                  <w:r>
                    <w:rPr>
                      <w:rFonts w:hint="eastAsia" w:eastAsiaTheme="minorEastAsia"/>
                      <w:bCs/>
                      <w:szCs w:val="21"/>
                    </w:rPr>
                    <w:t>118</w:t>
                  </w:r>
                </w:p>
              </w:tc>
              <w:tc>
                <w:tcPr>
                  <w:tcW w:w="1133" w:type="dxa"/>
                  <w:vAlign w:val="center"/>
                </w:tcPr>
                <w:p w14:paraId="7B14A252">
                  <w:pPr>
                    <w:overflowPunct w:val="0"/>
                    <w:snapToGrid w:val="0"/>
                    <w:jc w:val="center"/>
                    <w:rPr>
                      <w:rFonts w:eastAsiaTheme="minorEastAsia"/>
                      <w:bCs/>
                      <w:szCs w:val="21"/>
                    </w:rPr>
                  </w:pPr>
                  <w:r>
                    <w:rPr>
                      <w:rFonts w:hint="eastAsia" w:eastAsiaTheme="minorEastAsia"/>
                      <w:bCs/>
                      <w:szCs w:val="21"/>
                    </w:rPr>
                    <w:t>261</w:t>
                  </w:r>
                </w:p>
              </w:tc>
            </w:tr>
            <w:tr w14:paraId="25AC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55436F9C">
                  <w:pPr>
                    <w:overflowPunct w:val="0"/>
                    <w:snapToGrid w:val="0"/>
                    <w:jc w:val="center"/>
                    <w:rPr>
                      <w:rFonts w:eastAsiaTheme="minorEastAsia"/>
                      <w:bCs/>
                      <w:szCs w:val="21"/>
                    </w:rPr>
                  </w:pPr>
                </w:p>
              </w:tc>
              <w:tc>
                <w:tcPr>
                  <w:tcW w:w="875" w:type="dxa"/>
                  <w:vMerge w:val="continue"/>
                  <w:vAlign w:val="center"/>
                </w:tcPr>
                <w:p w14:paraId="230E2AF4">
                  <w:pPr>
                    <w:overflowPunct w:val="0"/>
                    <w:snapToGrid w:val="0"/>
                    <w:jc w:val="center"/>
                    <w:rPr>
                      <w:rFonts w:eastAsiaTheme="minorEastAsia"/>
                      <w:bCs/>
                      <w:szCs w:val="21"/>
                    </w:rPr>
                  </w:pPr>
                </w:p>
              </w:tc>
              <w:tc>
                <w:tcPr>
                  <w:tcW w:w="1391" w:type="dxa"/>
                  <w:vAlign w:val="center"/>
                </w:tcPr>
                <w:p w14:paraId="3FB1545B">
                  <w:pPr>
                    <w:overflowPunct w:val="0"/>
                    <w:snapToGrid w:val="0"/>
                    <w:jc w:val="center"/>
                    <w:rPr>
                      <w:rFonts w:eastAsiaTheme="minorEastAsia"/>
                      <w:bCs/>
                      <w:szCs w:val="21"/>
                    </w:rPr>
                  </w:pPr>
                  <w:r>
                    <w:rPr>
                      <w:rFonts w:hint="eastAsia" w:ascii="宋体" w:cs="宋体"/>
                      <w:kern w:val="0"/>
                      <w:szCs w:val="21"/>
                    </w:rPr>
                    <w:t>预测点噪声影响值</w:t>
                  </w:r>
                </w:p>
              </w:tc>
              <w:tc>
                <w:tcPr>
                  <w:tcW w:w="1133" w:type="dxa"/>
                  <w:vAlign w:val="center"/>
                </w:tcPr>
                <w:p w14:paraId="559F961A">
                  <w:pPr>
                    <w:overflowPunct w:val="0"/>
                    <w:snapToGrid w:val="0"/>
                    <w:jc w:val="center"/>
                    <w:rPr>
                      <w:rFonts w:eastAsiaTheme="minorEastAsia"/>
                      <w:bCs/>
                      <w:szCs w:val="21"/>
                    </w:rPr>
                  </w:pPr>
                  <w:r>
                    <w:rPr>
                      <w:rFonts w:hint="eastAsia" w:eastAsiaTheme="minorEastAsia"/>
                      <w:bCs/>
                      <w:szCs w:val="21"/>
                    </w:rPr>
                    <w:t>48.0</w:t>
                  </w:r>
                </w:p>
              </w:tc>
              <w:tc>
                <w:tcPr>
                  <w:tcW w:w="1133" w:type="dxa"/>
                  <w:vAlign w:val="center"/>
                </w:tcPr>
                <w:p w14:paraId="796CBD77">
                  <w:pPr>
                    <w:overflowPunct w:val="0"/>
                    <w:snapToGrid w:val="0"/>
                    <w:jc w:val="center"/>
                    <w:rPr>
                      <w:rFonts w:eastAsiaTheme="minorEastAsia"/>
                      <w:bCs/>
                      <w:szCs w:val="21"/>
                    </w:rPr>
                  </w:pPr>
                  <w:r>
                    <w:rPr>
                      <w:rFonts w:hint="eastAsia" w:eastAsiaTheme="minorEastAsia"/>
                      <w:bCs/>
                      <w:szCs w:val="21"/>
                    </w:rPr>
                    <w:t>34.0</w:t>
                  </w:r>
                </w:p>
              </w:tc>
              <w:tc>
                <w:tcPr>
                  <w:tcW w:w="1133" w:type="dxa"/>
                  <w:vAlign w:val="center"/>
                </w:tcPr>
                <w:p w14:paraId="7068EF3E">
                  <w:pPr>
                    <w:overflowPunct w:val="0"/>
                    <w:snapToGrid w:val="0"/>
                    <w:jc w:val="center"/>
                    <w:rPr>
                      <w:rFonts w:eastAsiaTheme="minorEastAsia"/>
                      <w:bCs/>
                      <w:szCs w:val="21"/>
                    </w:rPr>
                  </w:pPr>
                  <w:r>
                    <w:rPr>
                      <w:rFonts w:hint="eastAsia" w:eastAsiaTheme="minorEastAsia"/>
                      <w:bCs/>
                      <w:szCs w:val="21"/>
                    </w:rPr>
                    <w:t>38.6</w:t>
                  </w:r>
                </w:p>
              </w:tc>
              <w:tc>
                <w:tcPr>
                  <w:tcW w:w="1133" w:type="dxa"/>
                  <w:vAlign w:val="center"/>
                </w:tcPr>
                <w:p w14:paraId="45D91D67">
                  <w:pPr>
                    <w:overflowPunct w:val="0"/>
                    <w:snapToGrid w:val="0"/>
                    <w:jc w:val="center"/>
                    <w:rPr>
                      <w:rFonts w:eastAsiaTheme="minorEastAsia"/>
                      <w:bCs/>
                      <w:szCs w:val="21"/>
                    </w:rPr>
                  </w:pPr>
                  <w:r>
                    <w:rPr>
                      <w:rFonts w:hint="eastAsia" w:eastAsiaTheme="minorEastAsia"/>
                      <w:bCs/>
                      <w:szCs w:val="21"/>
                    </w:rPr>
                    <w:t>31.7</w:t>
                  </w:r>
                </w:p>
              </w:tc>
            </w:tr>
            <w:tr w14:paraId="1DF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14:paraId="3667D47D">
                  <w:pPr>
                    <w:overflowPunct w:val="0"/>
                    <w:snapToGrid w:val="0"/>
                    <w:jc w:val="center"/>
                    <w:rPr>
                      <w:rFonts w:eastAsiaTheme="minorEastAsia"/>
                      <w:bCs/>
                      <w:szCs w:val="21"/>
                    </w:rPr>
                  </w:pPr>
                  <w:r>
                    <w:rPr>
                      <w:rFonts w:eastAsiaTheme="minorEastAsia"/>
                      <w:bCs/>
                      <w:kern w:val="0"/>
                      <w:szCs w:val="21"/>
                    </w:rPr>
                    <w:t>1#</w:t>
                  </w:r>
                  <w:r>
                    <w:rPr>
                      <w:rFonts w:hAnsiTheme="minorEastAsia" w:eastAsiaTheme="minorEastAsia"/>
                      <w:bCs/>
                      <w:kern w:val="0"/>
                      <w:szCs w:val="21"/>
                    </w:rPr>
                    <w:t>排气筒对应的风机</w:t>
                  </w:r>
                </w:p>
              </w:tc>
              <w:tc>
                <w:tcPr>
                  <w:tcW w:w="875" w:type="dxa"/>
                  <w:vMerge w:val="restart"/>
                  <w:vAlign w:val="center"/>
                </w:tcPr>
                <w:p w14:paraId="77F0AFDD">
                  <w:pPr>
                    <w:overflowPunct w:val="0"/>
                    <w:snapToGrid w:val="0"/>
                    <w:jc w:val="center"/>
                    <w:rPr>
                      <w:rFonts w:eastAsiaTheme="minorEastAsia"/>
                      <w:bCs/>
                      <w:szCs w:val="21"/>
                    </w:rPr>
                  </w:pPr>
                  <w:r>
                    <w:rPr>
                      <w:rFonts w:hint="eastAsia" w:eastAsiaTheme="minorEastAsia"/>
                      <w:bCs/>
                      <w:szCs w:val="21"/>
                    </w:rPr>
                    <w:t>室外声源</w:t>
                  </w:r>
                </w:p>
              </w:tc>
              <w:tc>
                <w:tcPr>
                  <w:tcW w:w="1391" w:type="dxa"/>
                  <w:vAlign w:val="center"/>
                </w:tcPr>
                <w:p w14:paraId="4FAB4853">
                  <w:pPr>
                    <w:overflowPunct w:val="0"/>
                    <w:snapToGrid w:val="0"/>
                    <w:jc w:val="center"/>
                    <w:rPr>
                      <w:rFonts w:eastAsiaTheme="minorEastAsia"/>
                      <w:bCs/>
                      <w:szCs w:val="21"/>
                    </w:rPr>
                  </w:pPr>
                  <w:r>
                    <w:rPr>
                      <w:rFonts w:hint="eastAsia" w:eastAsiaTheme="minorEastAsia"/>
                      <w:bCs/>
                      <w:szCs w:val="21"/>
                    </w:rPr>
                    <w:t>声压级</w:t>
                  </w:r>
                </w:p>
              </w:tc>
              <w:tc>
                <w:tcPr>
                  <w:tcW w:w="1133" w:type="dxa"/>
                  <w:vAlign w:val="center"/>
                </w:tcPr>
                <w:p w14:paraId="5FEF5C8F">
                  <w:pPr>
                    <w:overflowPunct w:val="0"/>
                    <w:snapToGrid w:val="0"/>
                    <w:jc w:val="center"/>
                    <w:rPr>
                      <w:rFonts w:eastAsiaTheme="minorEastAsia"/>
                      <w:bCs/>
                      <w:szCs w:val="21"/>
                    </w:rPr>
                  </w:pPr>
                  <w:r>
                    <w:rPr>
                      <w:rFonts w:hint="eastAsia" w:eastAsiaTheme="minorEastAsia"/>
                      <w:bCs/>
                      <w:szCs w:val="21"/>
                    </w:rPr>
                    <w:t>85</w:t>
                  </w:r>
                </w:p>
              </w:tc>
              <w:tc>
                <w:tcPr>
                  <w:tcW w:w="1133" w:type="dxa"/>
                </w:tcPr>
                <w:p w14:paraId="5E521A83">
                  <w:pPr>
                    <w:jc w:val="center"/>
                    <w:rPr>
                      <w:szCs w:val="21"/>
                    </w:rPr>
                  </w:pPr>
                  <w:r>
                    <w:rPr>
                      <w:rFonts w:hint="eastAsia" w:eastAsiaTheme="minorEastAsia"/>
                      <w:bCs/>
                      <w:szCs w:val="21"/>
                    </w:rPr>
                    <w:t>85</w:t>
                  </w:r>
                </w:p>
              </w:tc>
              <w:tc>
                <w:tcPr>
                  <w:tcW w:w="1133" w:type="dxa"/>
                </w:tcPr>
                <w:p w14:paraId="17C2DAEA">
                  <w:pPr>
                    <w:jc w:val="center"/>
                    <w:rPr>
                      <w:szCs w:val="21"/>
                    </w:rPr>
                  </w:pPr>
                  <w:r>
                    <w:rPr>
                      <w:rFonts w:hint="eastAsia" w:eastAsiaTheme="minorEastAsia"/>
                      <w:bCs/>
                      <w:szCs w:val="21"/>
                    </w:rPr>
                    <w:t>85</w:t>
                  </w:r>
                </w:p>
              </w:tc>
              <w:tc>
                <w:tcPr>
                  <w:tcW w:w="1133" w:type="dxa"/>
                </w:tcPr>
                <w:p w14:paraId="25482BCB">
                  <w:pPr>
                    <w:jc w:val="center"/>
                    <w:rPr>
                      <w:szCs w:val="21"/>
                    </w:rPr>
                  </w:pPr>
                  <w:r>
                    <w:rPr>
                      <w:rFonts w:hint="eastAsia" w:eastAsiaTheme="minorEastAsia"/>
                      <w:bCs/>
                      <w:szCs w:val="21"/>
                    </w:rPr>
                    <w:t>85</w:t>
                  </w:r>
                </w:p>
              </w:tc>
            </w:tr>
            <w:tr w14:paraId="49EF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49075AA3">
                  <w:pPr>
                    <w:overflowPunct w:val="0"/>
                    <w:snapToGrid w:val="0"/>
                    <w:jc w:val="center"/>
                    <w:rPr>
                      <w:rFonts w:eastAsiaTheme="minorEastAsia"/>
                      <w:bCs/>
                      <w:kern w:val="0"/>
                      <w:szCs w:val="21"/>
                    </w:rPr>
                  </w:pPr>
                </w:p>
              </w:tc>
              <w:tc>
                <w:tcPr>
                  <w:tcW w:w="875" w:type="dxa"/>
                  <w:vMerge w:val="continue"/>
                  <w:vAlign w:val="center"/>
                </w:tcPr>
                <w:p w14:paraId="1BF9F6D8">
                  <w:pPr>
                    <w:overflowPunct w:val="0"/>
                    <w:snapToGrid w:val="0"/>
                    <w:jc w:val="center"/>
                    <w:rPr>
                      <w:rFonts w:eastAsiaTheme="minorEastAsia"/>
                      <w:bCs/>
                      <w:szCs w:val="21"/>
                    </w:rPr>
                  </w:pPr>
                </w:p>
              </w:tc>
              <w:tc>
                <w:tcPr>
                  <w:tcW w:w="1391" w:type="dxa"/>
                  <w:vAlign w:val="center"/>
                </w:tcPr>
                <w:p w14:paraId="6FBF1829">
                  <w:pPr>
                    <w:overflowPunct w:val="0"/>
                    <w:snapToGrid w:val="0"/>
                    <w:jc w:val="center"/>
                    <w:rPr>
                      <w:rFonts w:eastAsiaTheme="minorEastAsia"/>
                      <w:bCs/>
                      <w:szCs w:val="21"/>
                    </w:rPr>
                  </w:pPr>
                  <w:r>
                    <w:rPr>
                      <w:rFonts w:hint="eastAsia" w:eastAsiaTheme="minorEastAsia"/>
                      <w:bCs/>
                      <w:szCs w:val="21"/>
                    </w:rPr>
                    <w:t>距离/m</w:t>
                  </w:r>
                </w:p>
              </w:tc>
              <w:tc>
                <w:tcPr>
                  <w:tcW w:w="1133" w:type="dxa"/>
                  <w:vAlign w:val="center"/>
                </w:tcPr>
                <w:p w14:paraId="547D0E0B">
                  <w:pPr>
                    <w:overflowPunct w:val="0"/>
                    <w:snapToGrid w:val="0"/>
                    <w:jc w:val="center"/>
                    <w:rPr>
                      <w:rFonts w:eastAsiaTheme="minorEastAsia"/>
                      <w:bCs/>
                      <w:szCs w:val="21"/>
                    </w:rPr>
                  </w:pPr>
                  <w:r>
                    <w:rPr>
                      <w:rFonts w:hint="eastAsia" w:eastAsiaTheme="minorEastAsia"/>
                      <w:bCs/>
                      <w:szCs w:val="21"/>
                    </w:rPr>
                    <w:t>72</w:t>
                  </w:r>
                </w:p>
              </w:tc>
              <w:tc>
                <w:tcPr>
                  <w:tcW w:w="1133" w:type="dxa"/>
                  <w:vAlign w:val="center"/>
                </w:tcPr>
                <w:p w14:paraId="522B6505">
                  <w:pPr>
                    <w:overflowPunct w:val="0"/>
                    <w:snapToGrid w:val="0"/>
                    <w:jc w:val="center"/>
                    <w:rPr>
                      <w:rFonts w:eastAsiaTheme="minorEastAsia"/>
                      <w:bCs/>
                      <w:szCs w:val="21"/>
                    </w:rPr>
                  </w:pPr>
                  <w:r>
                    <w:rPr>
                      <w:rFonts w:hint="eastAsia" w:eastAsiaTheme="minorEastAsia"/>
                      <w:bCs/>
                      <w:szCs w:val="21"/>
                    </w:rPr>
                    <w:t>254</w:t>
                  </w:r>
                </w:p>
              </w:tc>
              <w:tc>
                <w:tcPr>
                  <w:tcW w:w="1133" w:type="dxa"/>
                  <w:vAlign w:val="center"/>
                </w:tcPr>
                <w:p w14:paraId="12D9D356">
                  <w:pPr>
                    <w:overflowPunct w:val="0"/>
                    <w:snapToGrid w:val="0"/>
                    <w:jc w:val="center"/>
                    <w:rPr>
                      <w:rFonts w:eastAsiaTheme="minorEastAsia"/>
                      <w:bCs/>
                      <w:szCs w:val="21"/>
                    </w:rPr>
                  </w:pPr>
                  <w:r>
                    <w:rPr>
                      <w:rFonts w:hint="eastAsia" w:eastAsiaTheme="minorEastAsia"/>
                      <w:bCs/>
                      <w:szCs w:val="21"/>
                    </w:rPr>
                    <w:t>86</w:t>
                  </w:r>
                </w:p>
              </w:tc>
              <w:tc>
                <w:tcPr>
                  <w:tcW w:w="1133" w:type="dxa"/>
                  <w:vAlign w:val="center"/>
                </w:tcPr>
                <w:p w14:paraId="4B51D0FA">
                  <w:pPr>
                    <w:overflowPunct w:val="0"/>
                    <w:snapToGrid w:val="0"/>
                    <w:jc w:val="center"/>
                    <w:rPr>
                      <w:rFonts w:eastAsiaTheme="minorEastAsia"/>
                      <w:bCs/>
                      <w:szCs w:val="21"/>
                    </w:rPr>
                  </w:pPr>
                  <w:r>
                    <w:rPr>
                      <w:rFonts w:hint="eastAsia" w:eastAsiaTheme="minorEastAsia"/>
                      <w:bCs/>
                      <w:szCs w:val="21"/>
                    </w:rPr>
                    <w:t>206</w:t>
                  </w:r>
                </w:p>
              </w:tc>
            </w:tr>
            <w:tr w14:paraId="26F4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3ECDB842">
                  <w:pPr>
                    <w:overflowPunct w:val="0"/>
                    <w:snapToGrid w:val="0"/>
                    <w:jc w:val="center"/>
                    <w:rPr>
                      <w:rFonts w:eastAsiaTheme="minorEastAsia"/>
                      <w:bCs/>
                      <w:kern w:val="0"/>
                      <w:szCs w:val="21"/>
                    </w:rPr>
                  </w:pPr>
                </w:p>
              </w:tc>
              <w:tc>
                <w:tcPr>
                  <w:tcW w:w="875" w:type="dxa"/>
                  <w:vMerge w:val="continue"/>
                  <w:vAlign w:val="center"/>
                </w:tcPr>
                <w:p w14:paraId="3418F270">
                  <w:pPr>
                    <w:overflowPunct w:val="0"/>
                    <w:snapToGrid w:val="0"/>
                    <w:jc w:val="center"/>
                    <w:rPr>
                      <w:rFonts w:eastAsiaTheme="minorEastAsia"/>
                      <w:bCs/>
                      <w:szCs w:val="21"/>
                    </w:rPr>
                  </w:pPr>
                </w:p>
              </w:tc>
              <w:tc>
                <w:tcPr>
                  <w:tcW w:w="1391" w:type="dxa"/>
                  <w:vAlign w:val="center"/>
                </w:tcPr>
                <w:p w14:paraId="30218070">
                  <w:pPr>
                    <w:overflowPunct w:val="0"/>
                    <w:snapToGrid w:val="0"/>
                    <w:jc w:val="center"/>
                    <w:rPr>
                      <w:rFonts w:eastAsiaTheme="minorEastAsia"/>
                      <w:bCs/>
                      <w:szCs w:val="21"/>
                    </w:rPr>
                  </w:pPr>
                  <w:r>
                    <w:rPr>
                      <w:rFonts w:hint="eastAsia" w:ascii="宋体" w:cs="宋体"/>
                      <w:kern w:val="0"/>
                      <w:szCs w:val="21"/>
                    </w:rPr>
                    <w:t>预测点噪声影响值</w:t>
                  </w:r>
                </w:p>
              </w:tc>
              <w:tc>
                <w:tcPr>
                  <w:tcW w:w="1133" w:type="dxa"/>
                  <w:vAlign w:val="center"/>
                </w:tcPr>
                <w:p w14:paraId="3F298FA5">
                  <w:pPr>
                    <w:overflowPunct w:val="0"/>
                    <w:snapToGrid w:val="0"/>
                    <w:jc w:val="center"/>
                    <w:rPr>
                      <w:rFonts w:eastAsiaTheme="minorEastAsia"/>
                      <w:bCs/>
                      <w:szCs w:val="21"/>
                    </w:rPr>
                  </w:pPr>
                  <w:r>
                    <w:rPr>
                      <w:rFonts w:hint="eastAsia" w:eastAsiaTheme="minorEastAsia"/>
                      <w:bCs/>
                      <w:szCs w:val="21"/>
                    </w:rPr>
                    <w:t>47.9</w:t>
                  </w:r>
                </w:p>
              </w:tc>
              <w:tc>
                <w:tcPr>
                  <w:tcW w:w="1133" w:type="dxa"/>
                  <w:vAlign w:val="center"/>
                </w:tcPr>
                <w:p w14:paraId="7C047D90">
                  <w:pPr>
                    <w:overflowPunct w:val="0"/>
                    <w:snapToGrid w:val="0"/>
                    <w:jc w:val="center"/>
                    <w:rPr>
                      <w:rFonts w:eastAsiaTheme="minorEastAsia"/>
                      <w:bCs/>
                      <w:szCs w:val="21"/>
                    </w:rPr>
                  </w:pPr>
                  <w:r>
                    <w:rPr>
                      <w:rFonts w:hint="eastAsia" w:eastAsiaTheme="minorEastAsia"/>
                      <w:bCs/>
                      <w:szCs w:val="21"/>
                    </w:rPr>
                    <w:t>36.9</w:t>
                  </w:r>
                </w:p>
              </w:tc>
              <w:tc>
                <w:tcPr>
                  <w:tcW w:w="1133" w:type="dxa"/>
                  <w:vAlign w:val="center"/>
                </w:tcPr>
                <w:p w14:paraId="242155C9">
                  <w:pPr>
                    <w:overflowPunct w:val="0"/>
                    <w:snapToGrid w:val="0"/>
                    <w:jc w:val="center"/>
                    <w:rPr>
                      <w:rFonts w:eastAsiaTheme="minorEastAsia"/>
                      <w:bCs/>
                      <w:szCs w:val="21"/>
                    </w:rPr>
                  </w:pPr>
                  <w:r>
                    <w:rPr>
                      <w:rFonts w:hint="eastAsia" w:eastAsiaTheme="minorEastAsia"/>
                      <w:bCs/>
                      <w:szCs w:val="21"/>
                    </w:rPr>
                    <w:t>46.3</w:t>
                  </w:r>
                </w:p>
              </w:tc>
              <w:tc>
                <w:tcPr>
                  <w:tcW w:w="1133" w:type="dxa"/>
                  <w:vAlign w:val="center"/>
                </w:tcPr>
                <w:p w14:paraId="7BD4C492">
                  <w:pPr>
                    <w:overflowPunct w:val="0"/>
                    <w:snapToGrid w:val="0"/>
                    <w:jc w:val="center"/>
                    <w:rPr>
                      <w:rFonts w:eastAsiaTheme="minorEastAsia"/>
                      <w:bCs/>
                      <w:szCs w:val="21"/>
                    </w:rPr>
                  </w:pPr>
                  <w:r>
                    <w:rPr>
                      <w:rFonts w:hint="eastAsia" w:eastAsiaTheme="minorEastAsia"/>
                      <w:bCs/>
                      <w:szCs w:val="21"/>
                    </w:rPr>
                    <w:t>38.7</w:t>
                  </w:r>
                </w:p>
              </w:tc>
            </w:tr>
            <w:tr w14:paraId="017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restart"/>
                  <w:vAlign w:val="center"/>
                </w:tcPr>
                <w:p w14:paraId="7F1EE8BD">
                  <w:pPr>
                    <w:overflowPunct w:val="0"/>
                    <w:snapToGrid w:val="0"/>
                    <w:jc w:val="center"/>
                    <w:rPr>
                      <w:rFonts w:eastAsiaTheme="minorEastAsia"/>
                      <w:bCs/>
                      <w:szCs w:val="21"/>
                    </w:rPr>
                  </w:pPr>
                  <w:r>
                    <w:rPr>
                      <w:rFonts w:hint="eastAsia" w:eastAsiaTheme="minorEastAsia"/>
                      <w:bCs/>
                      <w:szCs w:val="21"/>
                    </w:rPr>
                    <w:t>2#厂房</w:t>
                  </w:r>
                </w:p>
              </w:tc>
              <w:tc>
                <w:tcPr>
                  <w:tcW w:w="875" w:type="dxa"/>
                  <w:vMerge w:val="restart"/>
                  <w:vAlign w:val="center"/>
                </w:tcPr>
                <w:p w14:paraId="66CCBBBB">
                  <w:pPr>
                    <w:overflowPunct w:val="0"/>
                    <w:snapToGrid w:val="0"/>
                    <w:jc w:val="center"/>
                    <w:rPr>
                      <w:rFonts w:eastAsiaTheme="minorEastAsia"/>
                      <w:bCs/>
                      <w:szCs w:val="21"/>
                    </w:rPr>
                  </w:pPr>
                  <w:r>
                    <w:rPr>
                      <w:rFonts w:hint="eastAsia" w:eastAsiaTheme="minorEastAsia"/>
                      <w:bCs/>
                      <w:szCs w:val="21"/>
                    </w:rPr>
                    <w:t>等效室外声源</w:t>
                  </w:r>
                </w:p>
              </w:tc>
              <w:tc>
                <w:tcPr>
                  <w:tcW w:w="1391" w:type="dxa"/>
                  <w:vAlign w:val="center"/>
                </w:tcPr>
                <w:p w14:paraId="4AB6F354">
                  <w:pPr>
                    <w:overflowPunct w:val="0"/>
                    <w:snapToGrid w:val="0"/>
                    <w:jc w:val="center"/>
                    <w:rPr>
                      <w:rFonts w:eastAsiaTheme="minorEastAsia"/>
                      <w:bCs/>
                      <w:szCs w:val="21"/>
                    </w:rPr>
                  </w:pPr>
                  <w:r>
                    <w:rPr>
                      <w:rFonts w:hint="eastAsia" w:eastAsiaTheme="minorEastAsia"/>
                      <w:bCs/>
                      <w:szCs w:val="21"/>
                    </w:rPr>
                    <w:t>声压级</w:t>
                  </w:r>
                </w:p>
              </w:tc>
              <w:tc>
                <w:tcPr>
                  <w:tcW w:w="1133" w:type="dxa"/>
                  <w:vAlign w:val="center"/>
                </w:tcPr>
                <w:p w14:paraId="491F1F7C">
                  <w:pPr>
                    <w:overflowPunct w:val="0"/>
                    <w:snapToGrid w:val="0"/>
                    <w:jc w:val="center"/>
                    <w:rPr>
                      <w:rFonts w:eastAsiaTheme="minorEastAsia"/>
                      <w:bCs/>
                      <w:szCs w:val="21"/>
                    </w:rPr>
                  </w:pPr>
                  <w:r>
                    <w:rPr>
                      <w:rFonts w:hint="eastAsia" w:eastAsiaTheme="minorEastAsia"/>
                      <w:bCs/>
                      <w:szCs w:val="21"/>
                    </w:rPr>
                    <w:t>56.1</w:t>
                  </w:r>
                </w:p>
              </w:tc>
              <w:tc>
                <w:tcPr>
                  <w:tcW w:w="1133" w:type="dxa"/>
                  <w:vAlign w:val="center"/>
                </w:tcPr>
                <w:p w14:paraId="78B39822">
                  <w:pPr>
                    <w:overflowPunct w:val="0"/>
                    <w:snapToGrid w:val="0"/>
                    <w:jc w:val="center"/>
                    <w:rPr>
                      <w:rFonts w:eastAsiaTheme="minorEastAsia"/>
                      <w:bCs/>
                      <w:szCs w:val="21"/>
                    </w:rPr>
                  </w:pPr>
                  <w:r>
                    <w:rPr>
                      <w:rFonts w:hint="eastAsia" w:eastAsiaTheme="minorEastAsia"/>
                      <w:bCs/>
                      <w:szCs w:val="21"/>
                    </w:rPr>
                    <w:t>55.7</w:t>
                  </w:r>
                </w:p>
              </w:tc>
              <w:tc>
                <w:tcPr>
                  <w:tcW w:w="1133" w:type="dxa"/>
                  <w:vAlign w:val="center"/>
                </w:tcPr>
                <w:p w14:paraId="3BA304DE">
                  <w:pPr>
                    <w:overflowPunct w:val="0"/>
                    <w:snapToGrid w:val="0"/>
                    <w:jc w:val="center"/>
                    <w:rPr>
                      <w:rFonts w:eastAsiaTheme="minorEastAsia"/>
                      <w:bCs/>
                      <w:szCs w:val="21"/>
                    </w:rPr>
                  </w:pPr>
                  <w:r>
                    <w:rPr>
                      <w:rFonts w:hint="eastAsia" w:eastAsiaTheme="minorEastAsia"/>
                      <w:bCs/>
                      <w:szCs w:val="21"/>
                    </w:rPr>
                    <w:t>35.2</w:t>
                  </w:r>
                </w:p>
              </w:tc>
              <w:tc>
                <w:tcPr>
                  <w:tcW w:w="1133" w:type="dxa"/>
                  <w:vAlign w:val="center"/>
                </w:tcPr>
                <w:p w14:paraId="58F737FF">
                  <w:pPr>
                    <w:overflowPunct w:val="0"/>
                    <w:snapToGrid w:val="0"/>
                    <w:jc w:val="center"/>
                    <w:rPr>
                      <w:rFonts w:eastAsiaTheme="minorEastAsia"/>
                      <w:bCs/>
                      <w:szCs w:val="21"/>
                    </w:rPr>
                  </w:pPr>
                  <w:r>
                    <w:rPr>
                      <w:rFonts w:hint="eastAsia" w:eastAsiaTheme="minorEastAsia"/>
                      <w:bCs/>
                      <w:szCs w:val="21"/>
                    </w:rPr>
                    <w:t>54.6</w:t>
                  </w:r>
                </w:p>
              </w:tc>
            </w:tr>
            <w:tr w14:paraId="1F06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01753026">
                  <w:pPr>
                    <w:overflowPunct w:val="0"/>
                    <w:snapToGrid w:val="0"/>
                    <w:jc w:val="center"/>
                    <w:rPr>
                      <w:rFonts w:eastAsiaTheme="minorEastAsia"/>
                      <w:bCs/>
                      <w:szCs w:val="21"/>
                    </w:rPr>
                  </w:pPr>
                </w:p>
              </w:tc>
              <w:tc>
                <w:tcPr>
                  <w:tcW w:w="875" w:type="dxa"/>
                  <w:vMerge w:val="continue"/>
                  <w:vAlign w:val="center"/>
                </w:tcPr>
                <w:p w14:paraId="3B5E5E88">
                  <w:pPr>
                    <w:overflowPunct w:val="0"/>
                    <w:snapToGrid w:val="0"/>
                    <w:jc w:val="center"/>
                    <w:rPr>
                      <w:rFonts w:eastAsiaTheme="minorEastAsia"/>
                      <w:bCs/>
                      <w:szCs w:val="21"/>
                    </w:rPr>
                  </w:pPr>
                </w:p>
              </w:tc>
              <w:tc>
                <w:tcPr>
                  <w:tcW w:w="1391" w:type="dxa"/>
                  <w:vAlign w:val="center"/>
                </w:tcPr>
                <w:p w14:paraId="40DE5850">
                  <w:pPr>
                    <w:overflowPunct w:val="0"/>
                    <w:snapToGrid w:val="0"/>
                    <w:jc w:val="center"/>
                    <w:rPr>
                      <w:rFonts w:eastAsiaTheme="minorEastAsia"/>
                      <w:bCs/>
                      <w:szCs w:val="21"/>
                    </w:rPr>
                  </w:pPr>
                  <w:r>
                    <w:rPr>
                      <w:rFonts w:hint="eastAsia" w:eastAsiaTheme="minorEastAsia"/>
                      <w:bCs/>
                      <w:szCs w:val="21"/>
                    </w:rPr>
                    <w:t>距离/m</w:t>
                  </w:r>
                </w:p>
              </w:tc>
              <w:tc>
                <w:tcPr>
                  <w:tcW w:w="1133" w:type="dxa"/>
                  <w:vAlign w:val="center"/>
                </w:tcPr>
                <w:p w14:paraId="3D8039A4">
                  <w:pPr>
                    <w:overflowPunct w:val="0"/>
                    <w:snapToGrid w:val="0"/>
                    <w:jc w:val="center"/>
                    <w:rPr>
                      <w:rFonts w:eastAsiaTheme="minorEastAsia"/>
                      <w:bCs/>
                      <w:szCs w:val="21"/>
                    </w:rPr>
                  </w:pPr>
                  <w:r>
                    <w:rPr>
                      <w:rFonts w:hint="eastAsia" w:eastAsiaTheme="minorEastAsia"/>
                      <w:bCs/>
                      <w:szCs w:val="21"/>
                    </w:rPr>
                    <w:t>78</w:t>
                  </w:r>
                </w:p>
              </w:tc>
              <w:tc>
                <w:tcPr>
                  <w:tcW w:w="1133" w:type="dxa"/>
                  <w:vAlign w:val="center"/>
                </w:tcPr>
                <w:p w14:paraId="78E2E0D9">
                  <w:pPr>
                    <w:overflowPunct w:val="0"/>
                    <w:snapToGrid w:val="0"/>
                    <w:jc w:val="center"/>
                    <w:rPr>
                      <w:rFonts w:eastAsiaTheme="minorEastAsia"/>
                      <w:bCs/>
                      <w:szCs w:val="21"/>
                    </w:rPr>
                  </w:pPr>
                  <w:r>
                    <w:rPr>
                      <w:rFonts w:hint="eastAsia" w:eastAsiaTheme="minorEastAsia"/>
                      <w:bCs/>
                      <w:szCs w:val="21"/>
                    </w:rPr>
                    <w:t>205</w:t>
                  </w:r>
                </w:p>
              </w:tc>
              <w:tc>
                <w:tcPr>
                  <w:tcW w:w="1133" w:type="dxa"/>
                  <w:vAlign w:val="center"/>
                </w:tcPr>
                <w:p w14:paraId="5F661414">
                  <w:pPr>
                    <w:overflowPunct w:val="0"/>
                    <w:snapToGrid w:val="0"/>
                    <w:jc w:val="center"/>
                    <w:rPr>
                      <w:rFonts w:eastAsiaTheme="minorEastAsia"/>
                      <w:bCs/>
                      <w:szCs w:val="21"/>
                    </w:rPr>
                  </w:pPr>
                  <w:r>
                    <w:rPr>
                      <w:rFonts w:hint="eastAsia" w:eastAsiaTheme="minorEastAsia"/>
                      <w:bCs/>
                      <w:szCs w:val="21"/>
                    </w:rPr>
                    <w:t>80</w:t>
                  </w:r>
                </w:p>
              </w:tc>
              <w:tc>
                <w:tcPr>
                  <w:tcW w:w="1133" w:type="dxa"/>
                  <w:vAlign w:val="center"/>
                </w:tcPr>
                <w:p w14:paraId="77989080">
                  <w:pPr>
                    <w:overflowPunct w:val="0"/>
                    <w:snapToGrid w:val="0"/>
                    <w:jc w:val="center"/>
                    <w:rPr>
                      <w:rFonts w:eastAsiaTheme="minorEastAsia"/>
                      <w:bCs/>
                      <w:szCs w:val="21"/>
                    </w:rPr>
                  </w:pPr>
                  <w:r>
                    <w:rPr>
                      <w:rFonts w:hint="eastAsia" w:eastAsiaTheme="minorEastAsia"/>
                      <w:bCs/>
                      <w:szCs w:val="21"/>
                    </w:rPr>
                    <w:t>255</w:t>
                  </w:r>
                </w:p>
              </w:tc>
            </w:tr>
            <w:tr w14:paraId="6E0D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vMerge w:val="continue"/>
                  <w:vAlign w:val="center"/>
                </w:tcPr>
                <w:p w14:paraId="6785C778">
                  <w:pPr>
                    <w:overflowPunct w:val="0"/>
                    <w:snapToGrid w:val="0"/>
                    <w:jc w:val="center"/>
                    <w:rPr>
                      <w:rFonts w:eastAsiaTheme="minorEastAsia"/>
                      <w:bCs/>
                      <w:szCs w:val="21"/>
                    </w:rPr>
                  </w:pPr>
                </w:p>
              </w:tc>
              <w:tc>
                <w:tcPr>
                  <w:tcW w:w="875" w:type="dxa"/>
                  <w:vMerge w:val="continue"/>
                  <w:vAlign w:val="center"/>
                </w:tcPr>
                <w:p w14:paraId="4AC697DA">
                  <w:pPr>
                    <w:overflowPunct w:val="0"/>
                    <w:snapToGrid w:val="0"/>
                    <w:jc w:val="center"/>
                    <w:rPr>
                      <w:rFonts w:eastAsiaTheme="minorEastAsia"/>
                      <w:bCs/>
                      <w:szCs w:val="21"/>
                    </w:rPr>
                  </w:pPr>
                </w:p>
              </w:tc>
              <w:tc>
                <w:tcPr>
                  <w:tcW w:w="1391" w:type="dxa"/>
                  <w:vAlign w:val="center"/>
                </w:tcPr>
                <w:p w14:paraId="4306A588">
                  <w:pPr>
                    <w:overflowPunct w:val="0"/>
                    <w:snapToGrid w:val="0"/>
                    <w:jc w:val="center"/>
                    <w:rPr>
                      <w:rFonts w:eastAsiaTheme="minorEastAsia"/>
                      <w:bCs/>
                      <w:szCs w:val="21"/>
                    </w:rPr>
                  </w:pPr>
                  <w:r>
                    <w:rPr>
                      <w:rFonts w:hint="eastAsia" w:ascii="宋体" w:cs="宋体"/>
                      <w:kern w:val="0"/>
                      <w:szCs w:val="21"/>
                    </w:rPr>
                    <w:t>预测点噪声影响值</w:t>
                  </w:r>
                </w:p>
              </w:tc>
              <w:tc>
                <w:tcPr>
                  <w:tcW w:w="1133" w:type="dxa"/>
                  <w:vAlign w:val="center"/>
                </w:tcPr>
                <w:p w14:paraId="15FF1AE3">
                  <w:pPr>
                    <w:overflowPunct w:val="0"/>
                    <w:snapToGrid w:val="0"/>
                    <w:jc w:val="center"/>
                    <w:rPr>
                      <w:rFonts w:eastAsiaTheme="minorEastAsia"/>
                      <w:bCs/>
                      <w:szCs w:val="21"/>
                    </w:rPr>
                  </w:pPr>
                  <w:r>
                    <w:rPr>
                      <w:rFonts w:hint="eastAsia" w:eastAsiaTheme="minorEastAsia"/>
                      <w:bCs/>
                      <w:szCs w:val="21"/>
                    </w:rPr>
                    <w:t>18.3</w:t>
                  </w:r>
                </w:p>
              </w:tc>
              <w:tc>
                <w:tcPr>
                  <w:tcW w:w="1133" w:type="dxa"/>
                  <w:vAlign w:val="center"/>
                </w:tcPr>
                <w:p w14:paraId="48EE6414">
                  <w:pPr>
                    <w:overflowPunct w:val="0"/>
                    <w:snapToGrid w:val="0"/>
                    <w:jc w:val="center"/>
                    <w:rPr>
                      <w:rFonts w:eastAsiaTheme="minorEastAsia"/>
                      <w:bCs/>
                      <w:szCs w:val="21"/>
                    </w:rPr>
                  </w:pPr>
                  <w:r>
                    <w:rPr>
                      <w:rFonts w:hint="eastAsia" w:eastAsiaTheme="minorEastAsia"/>
                      <w:bCs/>
                      <w:szCs w:val="21"/>
                    </w:rPr>
                    <w:t>9.5</w:t>
                  </w:r>
                </w:p>
              </w:tc>
              <w:tc>
                <w:tcPr>
                  <w:tcW w:w="1133" w:type="dxa"/>
                  <w:vAlign w:val="center"/>
                </w:tcPr>
                <w:p w14:paraId="71F28DAE">
                  <w:pPr>
                    <w:overflowPunct w:val="0"/>
                    <w:snapToGrid w:val="0"/>
                    <w:jc w:val="center"/>
                    <w:rPr>
                      <w:rFonts w:eastAsiaTheme="minorEastAsia"/>
                      <w:bCs/>
                      <w:szCs w:val="21"/>
                    </w:rPr>
                  </w:pPr>
                  <w:r>
                    <w:rPr>
                      <w:rFonts w:hint="eastAsia" w:eastAsiaTheme="minorEastAsia"/>
                      <w:bCs/>
                      <w:szCs w:val="21"/>
                    </w:rPr>
                    <w:t>/</w:t>
                  </w:r>
                </w:p>
              </w:tc>
              <w:tc>
                <w:tcPr>
                  <w:tcW w:w="1133" w:type="dxa"/>
                  <w:vAlign w:val="center"/>
                </w:tcPr>
                <w:p w14:paraId="3D6D4620">
                  <w:pPr>
                    <w:overflowPunct w:val="0"/>
                    <w:snapToGrid w:val="0"/>
                    <w:jc w:val="center"/>
                    <w:rPr>
                      <w:rFonts w:eastAsiaTheme="minorEastAsia"/>
                      <w:bCs/>
                      <w:szCs w:val="21"/>
                    </w:rPr>
                  </w:pPr>
                  <w:r>
                    <w:rPr>
                      <w:rFonts w:hint="eastAsia" w:eastAsiaTheme="minorEastAsia"/>
                      <w:bCs/>
                      <w:szCs w:val="21"/>
                    </w:rPr>
                    <w:t>6.5</w:t>
                  </w:r>
                </w:p>
              </w:tc>
            </w:tr>
            <w:tr w14:paraId="64EF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9" w:type="dxa"/>
                  <w:gridSpan w:val="3"/>
                  <w:vAlign w:val="center"/>
                </w:tcPr>
                <w:p w14:paraId="53F8584D">
                  <w:pPr>
                    <w:overflowPunct w:val="0"/>
                    <w:snapToGrid w:val="0"/>
                    <w:jc w:val="center"/>
                    <w:rPr>
                      <w:rFonts w:ascii="宋体" w:cs="宋体"/>
                      <w:kern w:val="0"/>
                      <w:szCs w:val="21"/>
                    </w:rPr>
                  </w:pPr>
                  <w:r>
                    <w:rPr>
                      <w:rFonts w:hint="eastAsia" w:ascii="宋体" w:cs="宋体"/>
                      <w:kern w:val="0"/>
                      <w:szCs w:val="21"/>
                    </w:rPr>
                    <w:t>贡献值</w:t>
                  </w:r>
                </w:p>
              </w:tc>
              <w:tc>
                <w:tcPr>
                  <w:tcW w:w="1133" w:type="dxa"/>
                  <w:vAlign w:val="center"/>
                </w:tcPr>
                <w:p w14:paraId="3E7189DF">
                  <w:pPr>
                    <w:overflowPunct w:val="0"/>
                    <w:snapToGrid w:val="0"/>
                    <w:jc w:val="center"/>
                    <w:rPr>
                      <w:rFonts w:eastAsiaTheme="minorEastAsia"/>
                      <w:bCs/>
                      <w:szCs w:val="21"/>
                    </w:rPr>
                  </w:pPr>
                  <w:r>
                    <w:rPr>
                      <w:rFonts w:hint="eastAsia" w:eastAsiaTheme="minorEastAsia"/>
                      <w:bCs/>
                      <w:szCs w:val="21"/>
                    </w:rPr>
                    <w:t>54.0</w:t>
                  </w:r>
                </w:p>
              </w:tc>
              <w:tc>
                <w:tcPr>
                  <w:tcW w:w="1133" w:type="dxa"/>
                  <w:vAlign w:val="center"/>
                </w:tcPr>
                <w:p w14:paraId="18835F69">
                  <w:pPr>
                    <w:overflowPunct w:val="0"/>
                    <w:snapToGrid w:val="0"/>
                    <w:jc w:val="center"/>
                    <w:rPr>
                      <w:rFonts w:eastAsiaTheme="minorEastAsia"/>
                      <w:bCs/>
                      <w:szCs w:val="21"/>
                    </w:rPr>
                  </w:pPr>
                  <w:r>
                    <w:rPr>
                      <w:rFonts w:hint="eastAsia" w:eastAsiaTheme="minorEastAsia"/>
                      <w:bCs/>
                      <w:szCs w:val="21"/>
                    </w:rPr>
                    <w:t>40.7</w:t>
                  </w:r>
                </w:p>
              </w:tc>
              <w:tc>
                <w:tcPr>
                  <w:tcW w:w="1133" w:type="dxa"/>
                  <w:vAlign w:val="center"/>
                </w:tcPr>
                <w:p w14:paraId="1F61D2F8">
                  <w:pPr>
                    <w:overflowPunct w:val="0"/>
                    <w:snapToGrid w:val="0"/>
                    <w:jc w:val="center"/>
                    <w:rPr>
                      <w:rFonts w:eastAsiaTheme="minorEastAsia"/>
                      <w:bCs/>
                      <w:szCs w:val="21"/>
                    </w:rPr>
                  </w:pPr>
                  <w:r>
                    <w:rPr>
                      <w:rFonts w:hint="eastAsia" w:eastAsiaTheme="minorEastAsia"/>
                      <w:bCs/>
                      <w:szCs w:val="21"/>
                    </w:rPr>
                    <w:t>48.1</w:t>
                  </w:r>
                </w:p>
              </w:tc>
              <w:tc>
                <w:tcPr>
                  <w:tcW w:w="1133" w:type="dxa"/>
                  <w:vAlign w:val="center"/>
                </w:tcPr>
                <w:p w14:paraId="5E2A6FCD">
                  <w:pPr>
                    <w:overflowPunct w:val="0"/>
                    <w:snapToGrid w:val="0"/>
                    <w:jc w:val="center"/>
                    <w:rPr>
                      <w:rFonts w:eastAsiaTheme="minorEastAsia"/>
                      <w:bCs/>
                      <w:szCs w:val="21"/>
                    </w:rPr>
                  </w:pPr>
                  <w:r>
                    <w:rPr>
                      <w:rFonts w:hint="eastAsia" w:eastAsiaTheme="minorEastAsia"/>
                      <w:bCs/>
                      <w:szCs w:val="21"/>
                    </w:rPr>
                    <w:t>40.9</w:t>
                  </w:r>
                </w:p>
              </w:tc>
            </w:tr>
            <w:tr w14:paraId="4541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9" w:type="dxa"/>
                  <w:gridSpan w:val="3"/>
                  <w:vAlign w:val="center"/>
                </w:tcPr>
                <w:p w14:paraId="74BD9FA1">
                  <w:pPr>
                    <w:overflowPunct w:val="0"/>
                    <w:snapToGrid w:val="0"/>
                    <w:jc w:val="center"/>
                    <w:rPr>
                      <w:rFonts w:ascii="宋体" w:cs="宋体"/>
                      <w:kern w:val="0"/>
                      <w:szCs w:val="21"/>
                    </w:rPr>
                  </w:pPr>
                  <w:r>
                    <w:rPr>
                      <w:rFonts w:hint="eastAsia" w:ascii="宋体" w:cs="宋体"/>
                      <w:kern w:val="0"/>
                      <w:szCs w:val="21"/>
                    </w:rPr>
                    <w:t>标准限值</w:t>
                  </w:r>
                </w:p>
              </w:tc>
              <w:tc>
                <w:tcPr>
                  <w:tcW w:w="4532" w:type="dxa"/>
                  <w:gridSpan w:val="4"/>
                  <w:vAlign w:val="center"/>
                </w:tcPr>
                <w:p w14:paraId="76533ED6">
                  <w:pPr>
                    <w:overflowPunct w:val="0"/>
                    <w:snapToGrid w:val="0"/>
                    <w:jc w:val="center"/>
                    <w:rPr>
                      <w:rFonts w:eastAsiaTheme="minorEastAsia"/>
                      <w:bCs/>
                      <w:szCs w:val="21"/>
                    </w:rPr>
                  </w:pPr>
                  <w:r>
                    <w:rPr>
                      <w:rFonts w:hint="eastAsia" w:eastAsiaTheme="minorEastAsia"/>
                      <w:bCs/>
                      <w:szCs w:val="21"/>
                    </w:rPr>
                    <w:t>65(昼间）、55（夜间）</w:t>
                  </w:r>
                </w:p>
              </w:tc>
            </w:tr>
            <w:tr w14:paraId="10FF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9" w:type="dxa"/>
                  <w:gridSpan w:val="3"/>
                  <w:vAlign w:val="center"/>
                </w:tcPr>
                <w:p w14:paraId="4BA6FDF8">
                  <w:pPr>
                    <w:overflowPunct w:val="0"/>
                    <w:snapToGrid w:val="0"/>
                    <w:jc w:val="center"/>
                    <w:rPr>
                      <w:rFonts w:ascii="宋体" w:cs="宋体"/>
                      <w:kern w:val="0"/>
                      <w:szCs w:val="21"/>
                    </w:rPr>
                  </w:pPr>
                  <w:r>
                    <w:rPr>
                      <w:rFonts w:hint="eastAsia" w:ascii="宋体" w:cs="宋体"/>
                      <w:kern w:val="0"/>
                      <w:szCs w:val="21"/>
                    </w:rPr>
                    <w:t>达标情况</w:t>
                  </w:r>
                </w:p>
              </w:tc>
              <w:tc>
                <w:tcPr>
                  <w:tcW w:w="4532" w:type="dxa"/>
                  <w:gridSpan w:val="4"/>
                  <w:vAlign w:val="center"/>
                </w:tcPr>
                <w:p w14:paraId="3E958A60">
                  <w:pPr>
                    <w:overflowPunct w:val="0"/>
                    <w:snapToGrid w:val="0"/>
                    <w:jc w:val="center"/>
                    <w:rPr>
                      <w:rFonts w:eastAsiaTheme="minorEastAsia"/>
                      <w:bCs/>
                      <w:szCs w:val="21"/>
                    </w:rPr>
                  </w:pPr>
                  <w:r>
                    <w:rPr>
                      <w:rFonts w:hint="eastAsia" w:eastAsiaTheme="minorEastAsia"/>
                      <w:bCs/>
                      <w:szCs w:val="21"/>
                    </w:rPr>
                    <w:t>达标</w:t>
                  </w:r>
                </w:p>
              </w:tc>
            </w:tr>
          </w:tbl>
          <w:p w14:paraId="7CCF9E07">
            <w:pPr>
              <w:overflowPunct w:val="0"/>
              <w:snapToGrid w:val="0"/>
              <w:jc w:val="left"/>
              <w:rPr>
                <w:rFonts w:eastAsiaTheme="minorEastAsia"/>
                <w:bCs/>
                <w:sz w:val="24"/>
              </w:rPr>
            </w:pPr>
            <w:r>
              <w:rPr>
                <w:rFonts w:hAnsiTheme="minorEastAsia" w:eastAsiaTheme="minorEastAsia"/>
                <w:kern w:val="0"/>
                <w:szCs w:val="21"/>
              </w:rPr>
              <w:t>注</w:t>
            </w:r>
            <w:r>
              <w:rPr>
                <w:rFonts w:eastAsiaTheme="minorEastAsia"/>
                <w:kern w:val="0"/>
                <w:szCs w:val="21"/>
              </w:rPr>
              <w:t>:“/”</w:t>
            </w:r>
            <w:r>
              <w:rPr>
                <w:rFonts w:hAnsiTheme="minorEastAsia" w:eastAsiaTheme="minorEastAsia"/>
                <w:kern w:val="0"/>
                <w:szCs w:val="21"/>
              </w:rPr>
              <w:t>项表示噪声源与相应厂界距离很远或有建筑物格挡，噪声贡献值可忽略。</w:t>
            </w:r>
          </w:p>
          <w:p w14:paraId="54A6989A">
            <w:pPr>
              <w:autoSpaceDE w:val="0"/>
              <w:autoSpaceDN w:val="0"/>
              <w:adjustRightInd w:val="0"/>
              <w:spacing w:line="480" w:lineRule="exact"/>
              <w:ind w:firstLine="480" w:firstLineChars="200"/>
              <w:jc w:val="left"/>
              <w:rPr>
                <w:rFonts w:eastAsiaTheme="minorEastAsia"/>
                <w:bCs/>
                <w:sz w:val="24"/>
              </w:rPr>
            </w:pPr>
            <w:r>
              <w:rPr>
                <w:rFonts w:hAnsiTheme="minorEastAsia" w:eastAsiaTheme="minorEastAsia"/>
                <w:kern w:val="0"/>
                <w:sz w:val="24"/>
              </w:rPr>
              <w:t>由表</w:t>
            </w:r>
            <w:r>
              <w:rPr>
                <w:rFonts w:eastAsiaTheme="minorEastAsia"/>
                <w:kern w:val="0"/>
                <w:sz w:val="24"/>
              </w:rPr>
              <w:t>4.2-1</w:t>
            </w:r>
            <w:r>
              <w:rPr>
                <w:rFonts w:hint="eastAsia" w:eastAsiaTheme="minorEastAsia"/>
                <w:kern w:val="0"/>
                <w:sz w:val="24"/>
              </w:rPr>
              <w:t>7</w:t>
            </w:r>
            <w:r>
              <w:rPr>
                <w:rFonts w:hAnsiTheme="minorEastAsia" w:eastAsiaTheme="minorEastAsia"/>
                <w:kern w:val="0"/>
                <w:sz w:val="24"/>
              </w:rPr>
              <w:t>可知，拟建项目建成后，厂界昼、夜间噪声贡献值满足《工业企业厂界环境噪声排放标准》（</w:t>
            </w:r>
            <w:r>
              <w:rPr>
                <w:rFonts w:eastAsiaTheme="minorEastAsia"/>
                <w:kern w:val="0"/>
                <w:sz w:val="24"/>
              </w:rPr>
              <w:t>GB 12348-2008</w:t>
            </w:r>
            <w:r>
              <w:rPr>
                <w:rFonts w:hAnsiTheme="minorEastAsia" w:eastAsiaTheme="minorEastAsia"/>
                <w:kern w:val="0"/>
                <w:sz w:val="24"/>
              </w:rPr>
              <w:t>）中</w:t>
            </w:r>
            <w:r>
              <w:rPr>
                <w:rFonts w:eastAsiaTheme="minorEastAsia"/>
                <w:kern w:val="0"/>
                <w:sz w:val="24"/>
              </w:rPr>
              <w:t xml:space="preserve">3 </w:t>
            </w:r>
            <w:r>
              <w:rPr>
                <w:rFonts w:hAnsiTheme="minorEastAsia" w:eastAsiaTheme="minorEastAsia"/>
                <w:kern w:val="0"/>
                <w:sz w:val="24"/>
              </w:rPr>
              <w:t>类标准要求。</w:t>
            </w:r>
          </w:p>
          <w:p w14:paraId="3273C73D">
            <w:pPr>
              <w:adjustRightInd w:val="0"/>
              <w:snapToGrid w:val="0"/>
              <w:spacing w:line="440" w:lineRule="exact"/>
              <w:ind w:firstLine="480"/>
              <w:rPr>
                <w:b/>
                <w:bCs/>
                <w:sz w:val="24"/>
              </w:rPr>
            </w:pPr>
            <w:r>
              <w:rPr>
                <w:rFonts w:hint="eastAsia" w:eastAsiaTheme="minorEastAsia"/>
                <w:b/>
                <w:bCs/>
                <w:kern w:val="0"/>
                <w:sz w:val="24"/>
              </w:rPr>
              <w:t>4.2.3.4</w:t>
            </w:r>
            <w:r>
              <w:rPr>
                <w:b/>
                <w:bCs/>
                <w:sz w:val="24"/>
              </w:rPr>
              <w:t>监测方案</w:t>
            </w:r>
          </w:p>
          <w:p w14:paraId="110E1ECE">
            <w:pPr>
              <w:adjustRightInd w:val="0"/>
              <w:snapToGrid w:val="0"/>
              <w:spacing w:line="440" w:lineRule="exact"/>
              <w:ind w:firstLine="480"/>
              <w:rPr>
                <w:sz w:val="24"/>
              </w:rPr>
            </w:pPr>
            <w:r>
              <w:rPr>
                <w:sz w:val="24"/>
              </w:rPr>
              <w:t>根据《排污单位自行监测技术指南</w:t>
            </w:r>
            <w:r>
              <w:rPr>
                <w:rFonts w:hint="eastAsia"/>
                <w:sz w:val="24"/>
              </w:rPr>
              <w:t xml:space="preserve"> </w:t>
            </w:r>
            <w:r>
              <w:rPr>
                <w:sz w:val="24"/>
              </w:rPr>
              <w:t xml:space="preserve"> 总则》(HJ819-2017)相关要求，运营期噪声监测方案见表4.2-1</w:t>
            </w:r>
            <w:r>
              <w:rPr>
                <w:rFonts w:hint="eastAsia"/>
                <w:sz w:val="24"/>
              </w:rPr>
              <w:t>8</w:t>
            </w:r>
            <w:r>
              <w:rPr>
                <w:sz w:val="24"/>
              </w:rPr>
              <w:t>。</w:t>
            </w:r>
          </w:p>
          <w:p w14:paraId="62AD261B">
            <w:pPr>
              <w:adjustRightInd w:val="0"/>
              <w:snapToGrid w:val="0"/>
              <w:spacing w:line="440" w:lineRule="exact"/>
              <w:jc w:val="center"/>
              <w:rPr>
                <w:b/>
                <w:szCs w:val="21"/>
              </w:rPr>
            </w:pPr>
            <w:r>
              <w:rPr>
                <w:b/>
                <w:szCs w:val="21"/>
              </w:rPr>
              <w:t>表4.2-1</w:t>
            </w:r>
            <w:r>
              <w:rPr>
                <w:rFonts w:hint="eastAsia"/>
                <w:b/>
                <w:szCs w:val="21"/>
              </w:rPr>
              <w:t>8</w:t>
            </w:r>
            <w:r>
              <w:rPr>
                <w:b/>
                <w:szCs w:val="21"/>
              </w:rPr>
              <w:t xml:space="preserve">  运营期主要噪声源及控制措施</w:t>
            </w:r>
          </w:p>
          <w:tbl>
            <w:tblPr>
              <w:tblStyle w:val="24"/>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01"/>
              <w:gridCol w:w="1201"/>
              <w:gridCol w:w="1201"/>
              <w:gridCol w:w="2089"/>
              <w:gridCol w:w="2671"/>
            </w:tblGrid>
            <w:tr w14:paraId="3B130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18" w:type="pct"/>
                  <w:shd w:val="clear" w:color="auto" w:fill="auto"/>
                  <w:vAlign w:val="center"/>
                </w:tcPr>
                <w:p w14:paraId="1FE51D7D">
                  <w:pPr>
                    <w:pStyle w:val="106"/>
                  </w:pPr>
                  <w:r>
                    <w:t>项目</w:t>
                  </w:r>
                </w:p>
              </w:tc>
              <w:tc>
                <w:tcPr>
                  <w:tcW w:w="718" w:type="pct"/>
                  <w:shd w:val="clear" w:color="auto" w:fill="auto"/>
                  <w:vAlign w:val="center"/>
                </w:tcPr>
                <w:p w14:paraId="4E0C5A01">
                  <w:pPr>
                    <w:pStyle w:val="106"/>
                  </w:pPr>
                  <w:r>
                    <w:t>监测位置</w:t>
                  </w:r>
                </w:p>
              </w:tc>
              <w:tc>
                <w:tcPr>
                  <w:tcW w:w="718" w:type="pct"/>
                  <w:shd w:val="clear" w:color="auto" w:fill="auto"/>
                  <w:vAlign w:val="center"/>
                </w:tcPr>
                <w:p w14:paraId="768882BC">
                  <w:pPr>
                    <w:pStyle w:val="106"/>
                  </w:pPr>
                  <w:r>
                    <w:t>监测项目</w:t>
                  </w:r>
                </w:p>
              </w:tc>
              <w:tc>
                <w:tcPr>
                  <w:tcW w:w="1249" w:type="pct"/>
                  <w:vAlign w:val="center"/>
                </w:tcPr>
                <w:p w14:paraId="543861F4">
                  <w:pPr>
                    <w:pStyle w:val="106"/>
                  </w:pPr>
                  <w:r>
                    <w:t>监测频次</w:t>
                  </w:r>
                </w:p>
              </w:tc>
              <w:tc>
                <w:tcPr>
                  <w:tcW w:w="1597" w:type="pct"/>
                  <w:shd w:val="clear" w:color="auto" w:fill="auto"/>
                  <w:vAlign w:val="center"/>
                </w:tcPr>
                <w:p w14:paraId="6F0D5A5A">
                  <w:pPr>
                    <w:pStyle w:val="106"/>
                  </w:pPr>
                  <w:r>
                    <w:rPr>
                      <w:rFonts w:hint="eastAsia"/>
                    </w:rPr>
                    <w:t>执行排放标准</w:t>
                  </w:r>
                </w:p>
              </w:tc>
            </w:tr>
            <w:tr w14:paraId="3CF2F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18" w:type="pct"/>
                  <w:shd w:val="clear" w:color="auto" w:fill="auto"/>
                  <w:vAlign w:val="center"/>
                </w:tcPr>
                <w:p w14:paraId="7DFBCABC">
                  <w:pPr>
                    <w:pStyle w:val="106"/>
                  </w:pPr>
                  <w:r>
                    <w:t>噪声</w:t>
                  </w:r>
                </w:p>
              </w:tc>
              <w:tc>
                <w:tcPr>
                  <w:tcW w:w="718" w:type="pct"/>
                  <w:shd w:val="clear" w:color="auto" w:fill="auto"/>
                  <w:vAlign w:val="center"/>
                </w:tcPr>
                <w:p w14:paraId="5AE2A7C6">
                  <w:pPr>
                    <w:pStyle w:val="106"/>
                  </w:pPr>
                  <w:r>
                    <w:t>厂界</w:t>
                  </w:r>
                  <w:r>
                    <w:rPr>
                      <w:rFonts w:hint="eastAsia"/>
                    </w:rPr>
                    <w:t>外1m</w:t>
                  </w:r>
                </w:p>
              </w:tc>
              <w:tc>
                <w:tcPr>
                  <w:tcW w:w="718" w:type="pct"/>
                  <w:shd w:val="clear" w:color="auto" w:fill="auto"/>
                  <w:vAlign w:val="center"/>
                </w:tcPr>
                <w:p w14:paraId="7625E377">
                  <w:pPr>
                    <w:pStyle w:val="106"/>
                  </w:pPr>
                  <w:r>
                    <w:t>等效连续 A 声级</w:t>
                  </w:r>
                </w:p>
              </w:tc>
              <w:tc>
                <w:tcPr>
                  <w:tcW w:w="1249" w:type="pct"/>
                  <w:vAlign w:val="center"/>
                </w:tcPr>
                <w:p w14:paraId="0CFD23C2">
                  <w:pPr>
                    <w:pStyle w:val="106"/>
                  </w:pPr>
                  <w:r>
                    <w:t>验收监测1次，运营期间1次/季度</w:t>
                  </w:r>
                </w:p>
              </w:tc>
              <w:tc>
                <w:tcPr>
                  <w:tcW w:w="1597" w:type="pct"/>
                  <w:shd w:val="clear" w:color="auto" w:fill="auto"/>
                  <w:vAlign w:val="center"/>
                </w:tcPr>
                <w:p w14:paraId="340F3024">
                  <w:pPr>
                    <w:pStyle w:val="106"/>
                  </w:pPr>
                  <w:r>
                    <w:rPr>
                      <w:rFonts w:hint="eastAsia"/>
                      <w:szCs w:val="21"/>
                    </w:rPr>
                    <w:t>《工业企业厂界环境噪声排放标准》（GB12348-2008）3 类标准</w:t>
                  </w:r>
                </w:p>
              </w:tc>
            </w:tr>
          </w:tbl>
          <w:p w14:paraId="158A24E7">
            <w:pPr>
              <w:adjustRightInd w:val="0"/>
              <w:snapToGrid w:val="0"/>
              <w:spacing w:line="480" w:lineRule="exact"/>
              <w:rPr>
                <w:b/>
                <w:spacing w:val="-10"/>
                <w:sz w:val="24"/>
              </w:rPr>
            </w:pPr>
            <w:r>
              <w:rPr>
                <w:b/>
                <w:spacing w:val="-10"/>
                <w:sz w:val="24"/>
              </w:rPr>
              <w:t>4.2.4 固体废物影响及防治</w:t>
            </w:r>
            <w:r>
              <w:rPr>
                <w:b/>
                <w:sz w:val="24"/>
              </w:rPr>
              <w:t>措施</w:t>
            </w:r>
          </w:p>
          <w:p w14:paraId="32783F09">
            <w:pPr>
              <w:adjustRightInd w:val="0"/>
              <w:snapToGrid w:val="0"/>
              <w:spacing w:line="480" w:lineRule="exact"/>
              <w:ind w:firstLine="482" w:firstLineChars="200"/>
              <w:rPr>
                <w:b/>
                <w:sz w:val="24"/>
              </w:rPr>
            </w:pPr>
            <w:r>
              <w:rPr>
                <w:rFonts w:hint="eastAsia"/>
                <w:b/>
                <w:sz w:val="24"/>
              </w:rPr>
              <w:t>4.2.4.1</w:t>
            </w:r>
            <w:r>
              <w:rPr>
                <w:b/>
                <w:sz w:val="24"/>
              </w:rPr>
              <w:t>固体废物的产生和处置措施</w:t>
            </w:r>
          </w:p>
          <w:p w14:paraId="18E348D1">
            <w:pPr>
              <w:adjustRightInd w:val="0"/>
              <w:snapToGrid w:val="0"/>
              <w:spacing w:line="480" w:lineRule="exact"/>
              <w:ind w:firstLine="480"/>
              <w:rPr>
                <w:sz w:val="24"/>
              </w:rPr>
            </w:pPr>
            <w:r>
              <w:rPr>
                <w:sz w:val="24"/>
              </w:rPr>
              <w:t>本项目营运期固体废物主要有一般工业固体废物</w:t>
            </w:r>
            <w:r>
              <w:rPr>
                <w:rFonts w:hint="eastAsia"/>
                <w:sz w:val="24"/>
              </w:rPr>
              <w:t>、</w:t>
            </w:r>
            <w:r>
              <w:rPr>
                <w:sz w:val="24"/>
              </w:rPr>
              <w:t>危险废物、生活垃圾</w:t>
            </w:r>
            <w:r>
              <w:rPr>
                <w:rFonts w:hint="eastAsia"/>
                <w:sz w:val="24"/>
              </w:rPr>
              <w:t>、餐厨垃圾以及生化池污泥</w:t>
            </w:r>
            <w:r>
              <w:rPr>
                <w:sz w:val="24"/>
              </w:rPr>
              <w:t>。</w:t>
            </w:r>
          </w:p>
          <w:p w14:paraId="6A8811FF">
            <w:pPr>
              <w:adjustRightInd w:val="0"/>
              <w:snapToGrid w:val="0"/>
              <w:spacing w:line="480" w:lineRule="exact"/>
              <w:ind w:firstLine="482" w:firstLineChars="200"/>
              <w:rPr>
                <w:sz w:val="24"/>
              </w:rPr>
            </w:pPr>
            <w:r>
              <w:rPr>
                <w:rFonts w:hint="eastAsia"/>
                <w:b/>
                <w:sz w:val="24"/>
              </w:rPr>
              <w:t>（1）一般工业固废</w:t>
            </w:r>
          </w:p>
          <w:p w14:paraId="5A1E0F7C">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sz w:val="24"/>
              </w:rPr>
              <w:t>①</w:t>
            </w:r>
            <w:r>
              <w:rPr>
                <w:rFonts w:eastAsiaTheme="minorEastAsia"/>
                <w:sz w:val="24"/>
              </w:rPr>
              <w:t>废纸：</w:t>
            </w:r>
            <w:r>
              <w:rPr>
                <w:rFonts w:eastAsiaTheme="minorEastAsia"/>
                <w:kern w:val="0"/>
                <w:sz w:val="24"/>
              </w:rPr>
              <w:t>项目在裁切、模切等工序产生废弃纸张边角料。根据业主提供的资料，废纸的产生量约为原材料使用量的1%，本项目原材料纸张的总用量约为10000t，则废纸的产生量约为100t/a，收集后外售物资回收单位。根据《一般固体废物分类与代码》（GB/T39198-2020），废纸的固废代码为245-001-04。</w:t>
            </w:r>
          </w:p>
          <w:p w14:paraId="3C808331">
            <w:pPr>
              <w:autoSpaceDE w:val="0"/>
              <w:autoSpaceDN w:val="0"/>
              <w:adjustRightInd w:val="0"/>
              <w:spacing w:line="480" w:lineRule="exact"/>
              <w:ind w:firstLine="480" w:firstLineChars="200"/>
              <w:jc w:val="left"/>
              <w:rPr>
                <w:rFonts w:eastAsiaTheme="minorEastAsia"/>
                <w:sz w:val="24"/>
              </w:rPr>
            </w:pPr>
            <w:r>
              <w:rPr>
                <w:rFonts w:hAnsi="宋体"/>
                <w:sz w:val="24"/>
              </w:rPr>
              <w:t>②</w:t>
            </w:r>
            <w:r>
              <w:rPr>
                <w:rFonts w:eastAsiaTheme="minorEastAsia"/>
                <w:sz w:val="24"/>
              </w:rPr>
              <w:t>不合格品：</w:t>
            </w:r>
            <w:r>
              <w:rPr>
                <w:rFonts w:eastAsiaTheme="minorEastAsia"/>
                <w:kern w:val="0"/>
                <w:sz w:val="24"/>
              </w:rPr>
              <w:t>根据业主提供资料，生产过程中经全检产生的不合格产品产生量约为</w:t>
            </w:r>
            <w:r>
              <w:rPr>
                <w:rFonts w:hint="eastAsia" w:eastAsiaTheme="minorEastAsia"/>
                <w:kern w:val="0"/>
                <w:sz w:val="24"/>
              </w:rPr>
              <w:t>4</w:t>
            </w:r>
            <w:r>
              <w:rPr>
                <w:rFonts w:eastAsiaTheme="minorEastAsia"/>
                <w:kern w:val="0"/>
                <w:sz w:val="24"/>
              </w:rPr>
              <w:t>t/a，经集中收集后分类暂存于固废间，定期外卖回收单位处理。一般固废代码为</w:t>
            </w:r>
            <w:r>
              <w:rPr>
                <w:rFonts w:eastAsia="TimesNewRomanPSMT"/>
                <w:kern w:val="0"/>
                <w:sz w:val="24"/>
              </w:rPr>
              <w:t>245-003-04</w:t>
            </w:r>
            <w:r>
              <w:rPr>
                <w:rFonts w:eastAsiaTheme="minorEastAsia"/>
                <w:kern w:val="0"/>
                <w:sz w:val="24"/>
              </w:rPr>
              <w:t>。</w:t>
            </w:r>
          </w:p>
          <w:p w14:paraId="589231D7">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sz w:val="24"/>
              </w:rPr>
              <w:t>③</w:t>
            </w:r>
            <w:r>
              <w:rPr>
                <w:sz w:val="24"/>
              </w:rPr>
              <w:t>废包装材料：</w:t>
            </w:r>
            <w:r>
              <w:rPr>
                <w:rFonts w:eastAsiaTheme="minorEastAsia"/>
                <w:kern w:val="0"/>
                <w:sz w:val="24"/>
              </w:rPr>
              <w:t>包装废料包括进厂的各种原材料的包装箱，如纸箱等包装材料等，根据公司提供资料，包装废料产生量为2t/a，定期外卖回收单位处理。一般固废代码为245-004-04。</w:t>
            </w:r>
          </w:p>
          <w:p w14:paraId="54602BB5">
            <w:pPr>
              <w:adjustRightInd w:val="0"/>
              <w:snapToGrid w:val="0"/>
              <w:spacing w:line="480" w:lineRule="exact"/>
              <w:ind w:firstLine="480"/>
              <w:rPr>
                <w:b/>
                <w:sz w:val="24"/>
              </w:rPr>
            </w:pPr>
            <w:r>
              <w:rPr>
                <w:rFonts w:hint="eastAsia"/>
                <w:b/>
                <w:sz w:val="24"/>
              </w:rPr>
              <w:t>（2）</w:t>
            </w:r>
            <w:r>
              <w:rPr>
                <w:b/>
                <w:sz w:val="24"/>
              </w:rPr>
              <w:t>危险废物</w:t>
            </w:r>
          </w:p>
          <w:p w14:paraId="648C8370">
            <w:pPr>
              <w:autoSpaceDE w:val="0"/>
              <w:autoSpaceDN w:val="0"/>
              <w:adjustRightInd w:val="0"/>
              <w:spacing w:line="480" w:lineRule="exact"/>
              <w:ind w:firstLine="480" w:firstLineChars="200"/>
              <w:jc w:val="left"/>
              <w:rPr>
                <w:sz w:val="24"/>
              </w:rPr>
            </w:pPr>
            <w:r>
              <w:rPr>
                <w:rFonts w:hAnsiTheme="minorEastAsia" w:eastAsiaTheme="minorEastAsia"/>
                <w:sz w:val="24"/>
              </w:rPr>
              <w:t>①废润版液：</w:t>
            </w:r>
            <w:r>
              <w:rPr>
                <w:rFonts w:hAnsiTheme="minorEastAsia" w:eastAsiaTheme="minorEastAsia"/>
                <w:kern w:val="0"/>
                <w:sz w:val="24"/>
              </w:rPr>
              <w:t>根据表</w:t>
            </w:r>
            <w:r>
              <w:rPr>
                <w:rFonts w:hint="eastAsia" w:eastAsiaTheme="minorEastAsia"/>
                <w:kern w:val="0"/>
                <w:sz w:val="24"/>
              </w:rPr>
              <w:t>2.1-4</w:t>
            </w:r>
            <w:r>
              <w:rPr>
                <w:rFonts w:hAnsiTheme="minorEastAsia" w:eastAsiaTheme="minorEastAsia"/>
                <w:kern w:val="0"/>
                <w:sz w:val="24"/>
              </w:rPr>
              <w:t>原辅材料表，本项目润版液年使用量为</w:t>
            </w:r>
            <w:r>
              <w:rPr>
                <w:rFonts w:hint="eastAsia" w:eastAsiaTheme="minorEastAsia"/>
                <w:kern w:val="0"/>
                <w:sz w:val="24"/>
              </w:rPr>
              <w:t>2</w:t>
            </w:r>
            <w:r>
              <w:rPr>
                <w:rFonts w:eastAsiaTheme="minorEastAsia"/>
                <w:kern w:val="0"/>
                <w:sz w:val="24"/>
              </w:rPr>
              <w:t>t/a</w:t>
            </w:r>
            <w:r>
              <w:rPr>
                <w:rFonts w:hAnsiTheme="minorEastAsia" w:eastAsiaTheme="minorEastAsia"/>
                <w:kern w:val="0"/>
                <w:sz w:val="24"/>
              </w:rPr>
              <w:t>，折污系数按</w:t>
            </w:r>
            <w:r>
              <w:rPr>
                <w:rFonts w:eastAsiaTheme="minorEastAsia"/>
                <w:kern w:val="0"/>
                <w:sz w:val="24"/>
              </w:rPr>
              <w:t>80%</w:t>
            </w:r>
            <w:r>
              <w:rPr>
                <w:rFonts w:hAnsiTheme="minorEastAsia" w:eastAsiaTheme="minorEastAsia"/>
                <w:kern w:val="0"/>
                <w:sz w:val="24"/>
              </w:rPr>
              <w:t>计，则废润版液的产生量约</w:t>
            </w:r>
            <w:r>
              <w:rPr>
                <w:rFonts w:hint="eastAsia" w:eastAsiaTheme="minorEastAsia"/>
                <w:kern w:val="0"/>
                <w:sz w:val="24"/>
              </w:rPr>
              <w:t>1.6</w:t>
            </w:r>
            <w:r>
              <w:rPr>
                <w:rFonts w:eastAsiaTheme="minorEastAsia"/>
                <w:kern w:val="0"/>
                <w:sz w:val="24"/>
              </w:rPr>
              <w:t>t/a</w:t>
            </w:r>
            <w:r>
              <w:rPr>
                <w:rFonts w:hAnsiTheme="minorEastAsia" w:eastAsiaTheme="minorEastAsia"/>
                <w:kern w:val="0"/>
                <w:sz w:val="24"/>
              </w:rPr>
              <w:t>；根据《国家危险废物名录》（</w:t>
            </w:r>
            <w:r>
              <w:rPr>
                <w:rFonts w:eastAsiaTheme="minorEastAsia"/>
                <w:kern w:val="0"/>
                <w:sz w:val="24"/>
              </w:rPr>
              <w:t>2021</w:t>
            </w:r>
            <w:r>
              <w:rPr>
                <w:rFonts w:hAnsiTheme="minorEastAsia" w:eastAsiaTheme="minorEastAsia"/>
                <w:kern w:val="0"/>
                <w:sz w:val="24"/>
              </w:rPr>
              <w:t>年版），废润版液属于</w:t>
            </w:r>
            <w:r>
              <w:rPr>
                <w:rFonts w:eastAsiaTheme="minorEastAsia"/>
                <w:kern w:val="0"/>
                <w:sz w:val="24"/>
              </w:rPr>
              <w:t xml:space="preserve">HW06 </w:t>
            </w:r>
            <w:r>
              <w:rPr>
                <w:rFonts w:hAnsiTheme="minorEastAsia" w:eastAsiaTheme="minorEastAsia"/>
                <w:kern w:val="0"/>
                <w:sz w:val="24"/>
              </w:rPr>
              <w:t>废有机溶剂与含有机溶剂废物，废物代码为</w:t>
            </w:r>
            <w:r>
              <w:rPr>
                <w:rFonts w:eastAsiaTheme="minorEastAsia"/>
                <w:kern w:val="0"/>
                <w:sz w:val="24"/>
              </w:rPr>
              <w:t>900-404-06</w:t>
            </w:r>
            <w:r>
              <w:rPr>
                <w:rFonts w:hAnsiTheme="minorEastAsia" w:eastAsiaTheme="minorEastAsia"/>
                <w:kern w:val="0"/>
                <w:sz w:val="24"/>
              </w:rPr>
              <w:t>，危险特性为</w:t>
            </w:r>
            <w:r>
              <w:rPr>
                <w:rFonts w:eastAsiaTheme="minorEastAsia"/>
                <w:kern w:val="0"/>
                <w:sz w:val="24"/>
              </w:rPr>
              <w:t>T</w:t>
            </w:r>
            <w:r>
              <w:rPr>
                <w:rFonts w:hAnsiTheme="minorEastAsia" w:eastAsiaTheme="minorEastAsia"/>
                <w:kern w:val="0"/>
                <w:sz w:val="24"/>
              </w:rPr>
              <w:t>，</w:t>
            </w:r>
            <w:r>
              <w:rPr>
                <w:rFonts w:eastAsiaTheme="minorEastAsia"/>
                <w:kern w:val="0"/>
                <w:sz w:val="24"/>
              </w:rPr>
              <w:t>I</w:t>
            </w:r>
            <w:r>
              <w:rPr>
                <w:rFonts w:hAnsiTheme="minorEastAsia" w:eastAsiaTheme="minorEastAsia"/>
                <w:kern w:val="0"/>
                <w:sz w:val="24"/>
              </w:rPr>
              <w:t>，</w:t>
            </w:r>
            <w:r>
              <w:rPr>
                <w:rFonts w:eastAsiaTheme="minorEastAsia"/>
                <w:kern w:val="0"/>
                <w:sz w:val="24"/>
              </w:rPr>
              <w:t>R</w:t>
            </w:r>
            <w:r>
              <w:rPr>
                <w:rFonts w:hAnsiTheme="minorEastAsia" w:eastAsiaTheme="minorEastAsia"/>
                <w:kern w:val="0"/>
                <w:sz w:val="24"/>
              </w:rPr>
              <w:t>。</w:t>
            </w:r>
            <w:r>
              <w:rPr>
                <w:rFonts w:hint="eastAsia" w:hAnsiTheme="minorEastAsia" w:eastAsiaTheme="minorEastAsia"/>
                <w:kern w:val="0"/>
                <w:sz w:val="24"/>
              </w:rPr>
              <w:t>废润版液</w:t>
            </w:r>
            <w:r>
              <w:rPr>
                <w:rFonts w:hint="eastAsia" w:hAnsi="宋体"/>
                <w:sz w:val="24"/>
              </w:rPr>
              <w:t>使用液态危废专用桶装后放危废暂存间暂存，定期委托有资质单位处置。</w:t>
            </w:r>
          </w:p>
          <w:p w14:paraId="0E2CED36">
            <w:pPr>
              <w:widowControl/>
              <w:spacing w:line="480" w:lineRule="exact"/>
              <w:ind w:firstLine="480" w:firstLineChars="200"/>
              <w:jc w:val="left"/>
              <w:rPr>
                <w:sz w:val="24"/>
              </w:rPr>
            </w:pPr>
            <w:r>
              <w:rPr>
                <w:rFonts w:hint="eastAsia" w:ascii="宋体" w:hAnsi="宋体"/>
                <w:sz w:val="24"/>
              </w:rPr>
              <w:t>②</w:t>
            </w:r>
            <w:r>
              <w:rPr>
                <w:sz w:val="24"/>
              </w:rPr>
              <w:t>废棉纱</w:t>
            </w:r>
            <w:r>
              <w:rPr>
                <w:rFonts w:hint="eastAsia"/>
                <w:sz w:val="24"/>
              </w:rPr>
              <w:t>布：</w:t>
            </w:r>
            <w:r>
              <w:rPr>
                <w:sz w:val="24"/>
              </w:rPr>
              <w:t>项目在擦拭CPT版</w:t>
            </w:r>
            <w:r>
              <w:rPr>
                <w:rFonts w:hint="eastAsia"/>
                <w:sz w:val="24"/>
              </w:rPr>
              <w:t>及胶辊</w:t>
            </w:r>
            <w:r>
              <w:rPr>
                <w:sz w:val="24"/>
              </w:rPr>
              <w:t>过程中会产生</w:t>
            </w:r>
            <w:r>
              <w:rPr>
                <w:rFonts w:hint="eastAsia"/>
                <w:sz w:val="24"/>
              </w:rPr>
              <w:t>沾染了洗车水和油墨的</w:t>
            </w:r>
            <w:r>
              <w:rPr>
                <w:sz w:val="24"/>
              </w:rPr>
              <w:t>废棉纱</w:t>
            </w:r>
            <w:r>
              <w:rPr>
                <w:rFonts w:hint="eastAsia"/>
                <w:sz w:val="24"/>
              </w:rPr>
              <w:t>布</w:t>
            </w:r>
            <w:r>
              <w:rPr>
                <w:sz w:val="24"/>
              </w:rPr>
              <w:t>，根据业主提供资料，年产生量约</w:t>
            </w:r>
            <w:r>
              <w:rPr>
                <w:rFonts w:hint="eastAsia"/>
                <w:sz w:val="24"/>
              </w:rPr>
              <w:t>0.2</w:t>
            </w:r>
            <w:r>
              <w:rPr>
                <w:sz w:val="24"/>
              </w:rPr>
              <w:t>t。根据《国家危险废物名录</w:t>
            </w:r>
            <w:r>
              <w:rPr>
                <w:rFonts w:hint="eastAsia"/>
                <w:sz w:val="24"/>
              </w:rPr>
              <w:t>（2021年版）</w:t>
            </w:r>
            <w:r>
              <w:rPr>
                <w:sz w:val="24"/>
              </w:rPr>
              <w:t>》，</w:t>
            </w:r>
            <w:r>
              <w:rPr>
                <w:rFonts w:hint="eastAsia"/>
                <w:sz w:val="24"/>
              </w:rPr>
              <w:t>沾染了</w:t>
            </w:r>
            <w:r>
              <w:rPr>
                <w:sz w:val="24"/>
              </w:rPr>
              <w:t>洗车水、油墨</w:t>
            </w:r>
            <w:r>
              <w:rPr>
                <w:rFonts w:hint="eastAsia"/>
                <w:sz w:val="24"/>
              </w:rPr>
              <w:t>的</w:t>
            </w:r>
            <w:r>
              <w:rPr>
                <w:sz w:val="24"/>
              </w:rPr>
              <w:t>废棉纱</w:t>
            </w:r>
            <w:r>
              <w:rPr>
                <w:rFonts w:hint="eastAsia"/>
                <w:sz w:val="24"/>
              </w:rPr>
              <w:t>布</w:t>
            </w:r>
            <w:r>
              <w:rPr>
                <w:rFonts w:hAnsiTheme="minorEastAsia" w:eastAsiaTheme="minorEastAsia"/>
                <w:kern w:val="0"/>
                <w:sz w:val="24"/>
              </w:rPr>
              <w:t>属于</w:t>
            </w:r>
            <w:r>
              <w:rPr>
                <w:rFonts w:eastAsiaTheme="minorEastAsia"/>
                <w:kern w:val="0"/>
                <w:sz w:val="24"/>
              </w:rPr>
              <w:t xml:space="preserve">HW06 </w:t>
            </w:r>
            <w:r>
              <w:rPr>
                <w:rFonts w:hAnsiTheme="minorEastAsia" w:eastAsiaTheme="minorEastAsia"/>
                <w:kern w:val="0"/>
                <w:sz w:val="24"/>
              </w:rPr>
              <w:t>废有机溶剂与含有机溶剂废物，废物代码为</w:t>
            </w:r>
            <w:r>
              <w:rPr>
                <w:rFonts w:eastAsiaTheme="minorEastAsia"/>
                <w:kern w:val="0"/>
                <w:sz w:val="24"/>
              </w:rPr>
              <w:t>900-404-06</w:t>
            </w:r>
            <w:r>
              <w:rPr>
                <w:rFonts w:hAnsiTheme="minorEastAsia" w:eastAsiaTheme="minorEastAsia"/>
                <w:kern w:val="0"/>
                <w:sz w:val="24"/>
              </w:rPr>
              <w:t>，危险特性为</w:t>
            </w:r>
            <w:r>
              <w:rPr>
                <w:rFonts w:eastAsiaTheme="minorEastAsia"/>
                <w:kern w:val="0"/>
                <w:sz w:val="24"/>
              </w:rPr>
              <w:t>T</w:t>
            </w:r>
            <w:r>
              <w:rPr>
                <w:rFonts w:hAnsiTheme="minorEastAsia" w:eastAsiaTheme="minorEastAsia"/>
                <w:kern w:val="0"/>
                <w:sz w:val="24"/>
              </w:rPr>
              <w:t>，</w:t>
            </w:r>
            <w:r>
              <w:rPr>
                <w:rFonts w:eastAsiaTheme="minorEastAsia"/>
                <w:kern w:val="0"/>
                <w:sz w:val="24"/>
              </w:rPr>
              <w:t>I</w:t>
            </w:r>
            <w:r>
              <w:rPr>
                <w:rFonts w:hAnsiTheme="minorEastAsia" w:eastAsiaTheme="minorEastAsia"/>
                <w:kern w:val="0"/>
                <w:sz w:val="24"/>
              </w:rPr>
              <w:t>，</w:t>
            </w:r>
            <w:r>
              <w:rPr>
                <w:rFonts w:eastAsiaTheme="minorEastAsia"/>
                <w:kern w:val="0"/>
                <w:sz w:val="24"/>
              </w:rPr>
              <w:t>R</w:t>
            </w:r>
            <w:r>
              <w:rPr>
                <w:rFonts w:hAnsiTheme="minorEastAsia" w:eastAsiaTheme="minorEastAsia"/>
                <w:kern w:val="0"/>
                <w:sz w:val="24"/>
              </w:rPr>
              <w:t>。</w:t>
            </w:r>
            <w:r>
              <w:rPr>
                <w:rFonts w:hint="eastAsia"/>
                <w:sz w:val="24"/>
              </w:rPr>
              <w:t>危废暂存间暂存，定期委托有资质单位处置。</w:t>
            </w:r>
          </w:p>
          <w:p w14:paraId="31391950">
            <w:pPr>
              <w:autoSpaceDE w:val="0"/>
              <w:autoSpaceDN w:val="0"/>
              <w:adjustRightInd w:val="0"/>
              <w:spacing w:line="480" w:lineRule="exact"/>
              <w:ind w:firstLine="480" w:firstLineChars="200"/>
              <w:jc w:val="left"/>
              <w:rPr>
                <w:rFonts w:hAnsiTheme="minorEastAsia" w:eastAsiaTheme="minorEastAsia"/>
                <w:kern w:val="0"/>
                <w:sz w:val="24"/>
              </w:rPr>
            </w:pPr>
            <w:r>
              <w:rPr>
                <w:rFonts w:hAnsiTheme="minorEastAsia" w:eastAsiaTheme="minorEastAsia"/>
                <w:sz w:val="24"/>
              </w:rPr>
              <w:t>③废包装桶：</w:t>
            </w:r>
            <w:r>
              <w:rPr>
                <w:rFonts w:hAnsiTheme="minorEastAsia" w:eastAsiaTheme="minorEastAsia"/>
                <w:kern w:val="0"/>
                <w:sz w:val="24"/>
              </w:rPr>
              <w:t>根据表</w:t>
            </w:r>
            <w:r>
              <w:rPr>
                <w:rFonts w:eastAsiaTheme="minorEastAsia"/>
                <w:kern w:val="0"/>
                <w:sz w:val="24"/>
              </w:rPr>
              <w:t>2.1-4</w:t>
            </w:r>
            <w:r>
              <w:rPr>
                <w:rFonts w:hAnsiTheme="minorEastAsia" w:eastAsiaTheme="minorEastAsia"/>
                <w:kern w:val="0"/>
                <w:sz w:val="24"/>
              </w:rPr>
              <w:t>原辅材料表，</w:t>
            </w:r>
            <w:r>
              <w:rPr>
                <w:rFonts w:hAnsiTheme="minorEastAsia" w:eastAsiaTheme="minorEastAsia"/>
                <w:sz w:val="24"/>
              </w:rPr>
              <w:t>拟建项目废油墨桶年产生约</w:t>
            </w:r>
            <w:r>
              <w:rPr>
                <w:rFonts w:eastAsiaTheme="minorEastAsia"/>
                <w:sz w:val="24"/>
              </w:rPr>
              <w:t>800</w:t>
            </w:r>
            <w:r>
              <w:rPr>
                <w:rFonts w:hAnsiTheme="minorEastAsia" w:eastAsiaTheme="minorEastAsia"/>
                <w:sz w:val="24"/>
              </w:rPr>
              <w:t>个，重量约</w:t>
            </w:r>
            <w:r>
              <w:rPr>
                <w:rFonts w:eastAsiaTheme="minorEastAsia"/>
                <w:sz w:val="24"/>
              </w:rPr>
              <w:t>0.8t/a</w:t>
            </w:r>
            <w:r>
              <w:rPr>
                <w:rFonts w:hAnsiTheme="minorEastAsia" w:eastAsiaTheme="minorEastAsia"/>
                <w:sz w:val="24"/>
              </w:rPr>
              <w:t>，废洗车水桶年产生约</w:t>
            </w:r>
            <w:r>
              <w:rPr>
                <w:rFonts w:eastAsiaTheme="minorEastAsia"/>
                <w:sz w:val="24"/>
              </w:rPr>
              <w:t>250</w:t>
            </w:r>
            <w:r>
              <w:rPr>
                <w:rFonts w:hAnsiTheme="minorEastAsia" w:eastAsiaTheme="minorEastAsia"/>
                <w:sz w:val="24"/>
              </w:rPr>
              <w:t>个，重量约</w:t>
            </w:r>
            <w:r>
              <w:rPr>
                <w:rFonts w:eastAsiaTheme="minorEastAsia"/>
                <w:sz w:val="24"/>
              </w:rPr>
              <w:t>0.13t/a</w:t>
            </w:r>
            <w:r>
              <w:rPr>
                <w:rFonts w:hAnsiTheme="minorEastAsia" w:eastAsiaTheme="minorEastAsia"/>
                <w:sz w:val="24"/>
              </w:rPr>
              <w:t>，废润版液桶年产生约</w:t>
            </w:r>
            <w:r>
              <w:rPr>
                <w:rFonts w:eastAsiaTheme="minorEastAsia"/>
                <w:sz w:val="24"/>
              </w:rPr>
              <w:t>80</w:t>
            </w:r>
            <w:r>
              <w:rPr>
                <w:rFonts w:hAnsiTheme="minorEastAsia" w:eastAsiaTheme="minorEastAsia"/>
                <w:sz w:val="24"/>
              </w:rPr>
              <w:t>个，重量约</w:t>
            </w:r>
            <w:r>
              <w:rPr>
                <w:rFonts w:eastAsiaTheme="minorEastAsia"/>
                <w:sz w:val="24"/>
              </w:rPr>
              <w:t>0.08t/a</w:t>
            </w:r>
            <w:r>
              <w:rPr>
                <w:rFonts w:hAnsiTheme="minorEastAsia" w:eastAsiaTheme="minorEastAsia"/>
                <w:sz w:val="24"/>
              </w:rPr>
              <w:t>，废光油桶年产生约</w:t>
            </w:r>
            <w:r>
              <w:rPr>
                <w:rFonts w:eastAsiaTheme="minorEastAsia"/>
                <w:sz w:val="24"/>
              </w:rPr>
              <w:t>600</w:t>
            </w:r>
            <w:r>
              <w:rPr>
                <w:rFonts w:hAnsiTheme="minorEastAsia" w:eastAsiaTheme="minorEastAsia"/>
                <w:sz w:val="24"/>
              </w:rPr>
              <w:t>个，重量约</w:t>
            </w:r>
            <w:r>
              <w:rPr>
                <w:rFonts w:eastAsiaTheme="minorEastAsia"/>
                <w:sz w:val="24"/>
              </w:rPr>
              <w:t>0.2t/a</w:t>
            </w:r>
            <w:r>
              <w:rPr>
                <w:rFonts w:hAnsiTheme="minorEastAsia" w:eastAsiaTheme="minorEastAsia"/>
                <w:sz w:val="24"/>
              </w:rPr>
              <w:t>，废水基性胶粘剂桶年产生约</w:t>
            </w:r>
            <w:r>
              <w:rPr>
                <w:rFonts w:eastAsiaTheme="minorEastAsia"/>
                <w:sz w:val="24"/>
              </w:rPr>
              <w:t>6000</w:t>
            </w:r>
            <w:r>
              <w:rPr>
                <w:rFonts w:hAnsiTheme="minorEastAsia" w:eastAsiaTheme="minorEastAsia"/>
                <w:sz w:val="24"/>
              </w:rPr>
              <w:t>个，重量约</w:t>
            </w:r>
            <w:r>
              <w:rPr>
                <w:rFonts w:eastAsiaTheme="minorEastAsia"/>
                <w:sz w:val="24"/>
              </w:rPr>
              <w:t>21t/a</w:t>
            </w:r>
            <w:r>
              <w:rPr>
                <w:rFonts w:hAnsiTheme="minorEastAsia" w:eastAsiaTheme="minorEastAsia"/>
                <w:sz w:val="24"/>
              </w:rPr>
              <w:t>，</w:t>
            </w:r>
            <w:r>
              <w:rPr>
                <w:rFonts w:hAnsiTheme="minorEastAsia" w:eastAsiaTheme="minorEastAsia"/>
                <w:kern w:val="0"/>
                <w:sz w:val="24"/>
                <w:lang w:val="zh-CN"/>
              </w:rPr>
              <w:t>废润滑油桶产生量约为</w:t>
            </w:r>
            <w:r>
              <w:rPr>
                <w:rFonts w:eastAsiaTheme="minorEastAsia"/>
                <w:kern w:val="0"/>
                <w:sz w:val="24"/>
                <w:lang w:val="zh-CN"/>
              </w:rPr>
              <w:t xml:space="preserve"> 0.025t/a</w:t>
            </w:r>
            <w:r>
              <w:rPr>
                <w:rFonts w:hAnsiTheme="minorEastAsia" w:eastAsiaTheme="minorEastAsia"/>
                <w:kern w:val="0"/>
                <w:sz w:val="24"/>
                <w:lang w:val="zh-CN"/>
              </w:rPr>
              <w:t>，</w:t>
            </w:r>
            <w:r>
              <w:rPr>
                <w:rFonts w:hAnsiTheme="minorEastAsia" w:eastAsiaTheme="minorEastAsia"/>
                <w:kern w:val="0"/>
                <w:sz w:val="24"/>
              </w:rPr>
              <w:t>则废弃包装桶产生总量为</w:t>
            </w:r>
            <w:r>
              <w:rPr>
                <w:rFonts w:hint="eastAsia" w:eastAsiaTheme="minorEastAsia"/>
                <w:kern w:val="0"/>
                <w:sz w:val="24"/>
              </w:rPr>
              <w:t>22.235</w:t>
            </w:r>
            <w:r>
              <w:rPr>
                <w:rFonts w:eastAsiaTheme="minorEastAsia"/>
                <w:kern w:val="0"/>
                <w:sz w:val="24"/>
              </w:rPr>
              <w:t>t/a</w:t>
            </w:r>
            <w:r>
              <w:rPr>
                <w:rFonts w:hAnsiTheme="minorEastAsia" w:eastAsiaTheme="minorEastAsia"/>
                <w:kern w:val="0"/>
                <w:sz w:val="24"/>
              </w:rPr>
              <w:t>。根据《国家危险废物名录》（</w:t>
            </w:r>
            <w:r>
              <w:rPr>
                <w:rFonts w:eastAsiaTheme="minorEastAsia"/>
                <w:kern w:val="0"/>
                <w:sz w:val="24"/>
              </w:rPr>
              <w:t>2021</w:t>
            </w:r>
            <w:r>
              <w:rPr>
                <w:rFonts w:hAnsiTheme="minorEastAsia" w:eastAsiaTheme="minorEastAsia"/>
                <w:kern w:val="0"/>
                <w:sz w:val="24"/>
              </w:rPr>
              <w:t>年版），废包装桶属于</w:t>
            </w:r>
            <w:r>
              <w:rPr>
                <w:rFonts w:eastAsiaTheme="minorEastAsia"/>
                <w:kern w:val="0"/>
                <w:sz w:val="24"/>
              </w:rPr>
              <w:t xml:space="preserve">HW49 </w:t>
            </w:r>
            <w:r>
              <w:rPr>
                <w:rFonts w:hAnsiTheme="minorEastAsia" w:eastAsiaTheme="minorEastAsia"/>
                <w:kern w:val="0"/>
                <w:sz w:val="24"/>
              </w:rPr>
              <w:t>其他废物，废物代码为</w:t>
            </w:r>
            <w:r>
              <w:rPr>
                <w:rFonts w:eastAsiaTheme="minorEastAsia"/>
                <w:kern w:val="0"/>
                <w:sz w:val="24"/>
              </w:rPr>
              <w:t>900-041-49</w:t>
            </w:r>
            <w:r>
              <w:rPr>
                <w:rFonts w:hAnsiTheme="minorEastAsia" w:eastAsiaTheme="minorEastAsia"/>
                <w:kern w:val="0"/>
                <w:sz w:val="24"/>
              </w:rPr>
              <w:t>，危险特性为</w:t>
            </w:r>
            <w:r>
              <w:rPr>
                <w:rFonts w:eastAsiaTheme="minorEastAsia"/>
                <w:kern w:val="0"/>
                <w:sz w:val="24"/>
              </w:rPr>
              <w:t>T/In</w:t>
            </w:r>
            <w:r>
              <w:rPr>
                <w:rFonts w:hAnsiTheme="minorEastAsia" w:eastAsiaTheme="minorEastAsia"/>
                <w:kern w:val="0"/>
                <w:sz w:val="24"/>
              </w:rPr>
              <w:t>。</w:t>
            </w:r>
          </w:p>
          <w:p w14:paraId="186415A6">
            <w:pPr>
              <w:autoSpaceDE w:val="0"/>
              <w:autoSpaceDN w:val="0"/>
              <w:adjustRightInd w:val="0"/>
              <w:spacing w:line="480" w:lineRule="exact"/>
              <w:ind w:firstLine="480" w:firstLineChars="200"/>
              <w:jc w:val="left"/>
              <w:rPr>
                <w:rFonts w:eastAsiaTheme="minorEastAsia"/>
                <w:sz w:val="24"/>
              </w:rPr>
            </w:pPr>
            <w:r>
              <w:rPr>
                <w:rFonts w:asciiTheme="minorEastAsia" w:hAnsiTheme="minorEastAsia" w:eastAsiaTheme="minorEastAsia"/>
                <w:sz w:val="24"/>
              </w:rPr>
              <w:t>④</w:t>
            </w:r>
            <w:r>
              <w:rPr>
                <w:rFonts w:hAnsiTheme="minorEastAsia" w:eastAsiaTheme="minorEastAsia"/>
                <w:sz w:val="24"/>
              </w:rPr>
              <w:t>废</w:t>
            </w:r>
            <w:r>
              <w:rPr>
                <w:rFonts w:hint="eastAsia" w:hAnsiTheme="minorEastAsia" w:eastAsiaTheme="minorEastAsia"/>
                <w:sz w:val="24"/>
              </w:rPr>
              <w:t>CTP</w:t>
            </w:r>
            <w:r>
              <w:rPr>
                <w:rFonts w:hAnsiTheme="minorEastAsia" w:eastAsiaTheme="minorEastAsia"/>
                <w:sz w:val="24"/>
              </w:rPr>
              <w:t>版：</w:t>
            </w:r>
            <w:r>
              <w:rPr>
                <w:rFonts w:hAnsiTheme="minorEastAsia" w:eastAsiaTheme="minorEastAsia"/>
                <w:kern w:val="0"/>
                <w:sz w:val="24"/>
              </w:rPr>
              <w:t>根据业主提供的资料，本项目废印刷版的产生量约为</w:t>
            </w:r>
            <w:r>
              <w:rPr>
                <w:rFonts w:hint="eastAsia" w:eastAsiaTheme="minorEastAsia"/>
                <w:kern w:val="0"/>
                <w:sz w:val="24"/>
              </w:rPr>
              <w:t>1</w:t>
            </w:r>
            <w:r>
              <w:rPr>
                <w:rFonts w:eastAsiaTheme="minorEastAsia"/>
                <w:kern w:val="0"/>
                <w:sz w:val="24"/>
              </w:rPr>
              <w:t>t/a</w:t>
            </w:r>
            <w:r>
              <w:rPr>
                <w:rFonts w:hAnsiTheme="minorEastAsia" w:eastAsiaTheme="minorEastAsia"/>
                <w:kern w:val="0"/>
                <w:sz w:val="24"/>
              </w:rPr>
              <w:t>。根据《国家危险废物名录》（</w:t>
            </w:r>
            <w:r>
              <w:rPr>
                <w:rFonts w:eastAsiaTheme="minorEastAsia"/>
                <w:kern w:val="0"/>
                <w:sz w:val="24"/>
              </w:rPr>
              <w:t xml:space="preserve">2021 </w:t>
            </w:r>
            <w:r>
              <w:rPr>
                <w:rFonts w:hAnsiTheme="minorEastAsia" w:eastAsiaTheme="minorEastAsia"/>
                <w:kern w:val="0"/>
                <w:sz w:val="24"/>
              </w:rPr>
              <w:t>年版），废</w:t>
            </w:r>
            <w:r>
              <w:rPr>
                <w:rFonts w:eastAsiaTheme="minorEastAsia"/>
                <w:kern w:val="0"/>
                <w:sz w:val="24"/>
              </w:rPr>
              <w:t>CTP</w:t>
            </w:r>
            <w:r>
              <w:rPr>
                <w:rFonts w:hAnsiTheme="minorEastAsia" w:eastAsiaTheme="minorEastAsia"/>
                <w:kern w:val="0"/>
                <w:sz w:val="24"/>
              </w:rPr>
              <w:t>版属于</w:t>
            </w:r>
            <w:r>
              <w:rPr>
                <w:rFonts w:eastAsiaTheme="minorEastAsia"/>
                <w:kern w:val="0"/>
                <w:sz w:val="24"/>
              </w:rPr>
              <w:t xml:space="preserve">HW16 </w:t>
            </w:r>
            <w:r>
              <w:rPr>
                <w:rFonts w:hAnsiTheme="minorEastAsia" w:eastAsiaTheme="minorEastAsia"/>
                <w:kern w:val="0"/>
                <w:sz w:val="24"/>
              </w:rPr>
              <w:t>感光材料废物，废物代码为</w:t>
            </w:r>
            <w:r>
              <w:rPr>
                <w:rFonts w:eastAsiaTheme="minorEastAsia"/>
                <w:kern w:val="0"/>
                <w:sz w:val="24"/>
              </w:rPr>
              <w:t>231-002-16</w:t>
            </w:r>
            <w:r>
              <w:rPr>
                <w:rFonts w:hAnsiTheme="minorEastAsia" w:eastAsiaTheme="minorEastAsia"/>
                <w:kern w:val="0"/>
                <w:sz w:val="24"/>
              </w:rPr>
              <w:t>，危险特性为</w:t>
            </w:r>
            <w:r>
              <w:rPr>
                <w:rFonts w:eastAsiaTheme="minorEastAsia"/>
                <w:kern w:val="0"/>
                <w:sz w:val="24"/>
              </w:rPr>
              <w:t>T</w:t>
            </w:r>
            <w:r>
              <w:rPr>
                <w:rFonts w:hAnsiTheme="minorEastAsia" w:eastAsiaTheme="minorEastAsia"/>
                <w:kern w:val="0"/>
                <w:sz w:val="24"/>
              </w:rPr>
              <w:t>。</w:t>
            </w:r>
          </w:p>
          <w:p w14:paraId="624B3092">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sz w:val="24"/>
              </w:rPr>
              <w:t>⑤</w:t>
            </w:r>
            <w:r>
              <w:rPr>
                <w:rFonts w:hAnsiTheme="minorEastAsia" w:eastAsiaTheme="minorEastAsia"/>
                <w:kern w:val="0"/>
                <w:sz w:val="24"/>
                <w:lang w:val="zh-CN"/>
              </w:rPr>
              <w:t>废润滑油：在生产过程中，会使用润滑油定期对设备进行保养，</w:t>
            </w:r>
            <w:r>
              <w:rPr>
                <w:rFonts w:hAnsiTheme="minorEastAsia" w:eastAsiaTheme="minorEastAsia"/>
                <w:kern w:val="0"/>
                <w:sz w:val="24"/>
              </w:rPr>
              <w:t>损耗量按</w:t>
            </w:r>
            <w:r>
              <w:rPr>
                <w:rFonts w:eastAsiaTheme="minorEastAsia"/>
                <w:kern w:val="0"/>
                <w:sz w:val="24"/>
              </w:rPr>
              <w:t>40%</w:t>
            </w:r>
            <w:r>
              <w:rPr>
                <w:rFonts w:hAnsiTheme="minorEastAsia" w:eastAsiaTheme="minorEastAsia"/>
                <w:kern w:val="0"/>
                <w:sz w:val="24"/>
              </w:rPr>
              <w:t>计；本项目润滑油使用量为</w:t>
            </w:r>
            <w:r>
              <w:rPr>
                <w:rFonts w:hint="eastAsia" w:eastAsiaTheme="minorEastAsia"/>
                <w:kern w:val="0"/>
                <w:sz w:val="24"/>
              </w:rPr>
              <w:t>0.34</w:t>
            </w:r>
            <w:r>
              <w:rPr>
                <w:rFonts w:eastAsiaTheme="minorEastAsia"/>
                <w:kern w:val="0"/>
                <w:sz w:val="24"/>
              </w:rPr>
              <w:t>t/a</w:t>
            </w:r>
            <w:r>
              <w:rPr>
                <w:rFonts w:hAnsiTheme="minorEastAsia" w:eastAsiaTheme="minorEastAsia"/>
                <w:kern w:val="0"/>
                <w:sz w:val="24"/>
              </w:rPr>
              <w:t>，则废润滑油的产生量为</w:t>
            </w:r>
            <w:r>
              <w:rPr>
                <w:rFonts w:hint="eastAsia" w:eastAsiaTheme="minorEastAsia"/>
                <w:kern w:val="0"/>
                <w:sz w:val="24"/>
              </w:rPr>
              <w:t>0.136</w:t>
            </w:r>
            <w:r>
              <w:rPr>
                <w:rFonts w:eastAsiaTheme="minorEastAsia"/>
                <w:kern w:val="0"/>
                <w:sz w:val="24"/>
              </w:rPr>
              <w:t>t/a</w:t>
            </w:r>
            <w:r>
              <w:rPr>
                <w:rFonts w:hAnsiTheme="minorEastAsia" w:eastAsiaTheme="minorEastAsia"/>
                <w:kern w:val="0"/>
                <w:sz w:val="24"/>
              </w:rPr>
              <w:t>。根据《国家危险废物名录》（</w:t>
            </w:r>
            <w:r>
              <w:rPr>
                <w:rFonts w:eastAsiaTheme="minorEastAsia"/>
                <w:kern w:val="0"/>
                <w:sz w:val="24"/>
              </w:rPr>
              <w:t xml:space="preserve">2021 </w:t>
            </w:r>
            <w:r>
              <w:rPr>
                <w:rFonts w:hAnsiTheme="minorEastAsia" w:eastAsiaTheme="minorEastAsia"/>
                <w:kern w:val="0"/>
                <w:sz w:val="24"/>
              </w:rPr>
              <w:t>年版），属于</w:t>
            </w:r>
            <w:r>
              <w:rPr>
                <w:rFonts w:eastAsiaTheme="minorEastAsia"/>
                <w:kern w:val="0"/>
                <w:sz w:val="24"/>
              </w:rPr>
              <w:t xml:space="preserve">HW08 </w:t>
            </w:r>
            <w:r>
              <w:rPr>
                <w:rFonts w:hAnsiTheme="minorEastAsia" w:eastAsiaTheme="minorEastAsia"/>
                <w:kern w:val="0"/>
                <w:sz w:val="24"/>
              </w:rPr>
              <w:t>废矿物油与含矿物油废物，废物代码为</w:t>
            </w:r>
            <w:r>
              <w:rPr>
                <w:rFonts w:eastAsiaTheme="minorEastAsia"/>
                <w:kern w:val="0"/>
                <w:sz w:val="24"/>
              </w:rPr>
              <w:t>900-214-08</w:t>
            </w:r>
            <w:r>
              <w:rPr>
                <w:rFonts w:hAnsiTheme="minorEastAsia" w:eastAsiaTheme="minorEastAsia"/>
                <w:kern w:val="0"/>
                <w:sz w:val="24"/>
              </w:rPr>
              <w:t>，危险特性为</w:t>
            </w:r>
            <w:r>
              <w:rPr>
                <w:rFonts w:eastAsiaTheme="minorEastAsia"/>
                <w:kern w:val="0"/>
                <w:sz w:val="24"/>
              </w:rPr>
              <w:t>T</w:t>
            </w:r>
            <w:r>
              <w:rPr>
                <w:rFonts w:hAnsiTheme="minorEastAsia" w:eastAsiaTheme="minorEastAsia"/>
                <w:kern w:val="0"/>
                <w:sz w:val="24"/>
              </w:rPr>
              <w:t>，</w:t>
            </w:r>
            <w:r>
              <w:rPr>
                <w:rFonts w:eastAsiaTheme="minorEastAsia"/>
                <w:kern w:val="0"/>
                <w:sz w:val="24"/>
              </w:rPr>
              <w:t>I</w:t>
            </w:r>
            <w:r>
              <w:rPr>
                <w:rFonts w:hAnsiTheme="minorEastAsia" w:eastAsiaTheme="minorEastAsia"/>
                <w:kern w:val="0"/>
                <w:sz w:val="24"/>
              </w:rPr>
              <w:t>。</w:t>
            </w:r>
          </w:p>
          <w:p w14:paraId="0431843C">
            <w:pPr>
              <w:autoSpaceDE w:val="0"/>
              <w:autoSpaceDN w:val="0"/>
              <w:adjustRightInd w:val="0"/>
              <w:spacing w:line="480" w:lineRule="exact"/>
              <w:ind w:firstLine="480" w:firstLineChars="200"/>
              <w:jc w:val="left"/>
              <w:rPr>
                <w:rFonts w:eastAsiaTheme="minorEastAsia"/>
                <w:sz w:val="24"/>
              </w:rPr>
            </w:pPr>
            <w:r>
              <w:rPr>
                <w:rFonts w:hint="eastAsia" w:ascii="宋体" w:hAnsi="宋体"/>
                <w:sz w:val="24"/>
              </w:rPr>
              <w:t>⑥</w:t>
            </w:r>
            <w:r>
              <w:rPr>
                <w:rFonts w:hAnsi="宋体"/>
                <w:sz w:val="24"/>
              </w:rPr>
              <w:t>废活性炭：</w:t>
            </w:r>
            <w:r>
              <w:rPr>
                <w:rFonts w:hAnsi="宋体"/>
                <w:kern w:val="0"/>
                <w:sz w:val="24"/>
                <w:lang w:val="zh-CN"/>
              </w:rPr>
              <w:t>活性炭饱和吸附量取</w:t>
            </w:r>
            <w:r>
              <w:rPr>
                <w:kern w:val="0"/>
                <w:sz w:val="24"/>
                <w:lang w:val="zh-CN"/>
              </w:rPr>
              <w:t>0.25g/g</w:t>
            </w:r>
            <w:r>
              <w:rPr>
                <w:rFonts w:hAnsi="宋体"/>
                <w:kern w:val="0"/>
                <w:sz w:val="24"/>
                <w:lang w:val="zh-CN"/>
              </w:rPr>
              <w:t>，</w:t>
            </w:r>
            <w:r>
              <w:rPr>
                <w:rFonts w:hint="eastAsia" w:hAnsi="宋体"/>
                <w:kern w:val="0"/>
                <w:sz w:val="24"/>
                <w:lang w:val="zh-CN"/>
              </w:rPr>
              <w:t>根据工程分析，项目1套活性炭吸附设备吸附的有机废气量为</w:t>
            </w:r>
            <w:r>
              <w:rPr>
                <w:rFonts w:hint="eastAsia"/>
                <w:kern w:val="0"/>
                <w:sz w:val="24"/>
              </w:rPr>
              <w:t>0.764</w:t>
            </w:r>
            <w:r>
              <w:rPr>
                <w:kern w:val="0"/>
                <w:sz w:val="24"/>
              </w:rPr>
              <w:t>t/a</w:t>
            </w:r>
            <w:r>
              <w:rPr>
                <w:rFonts w:hAnsi="宋体"/>
                <w:kern w:val="0"/>
                <w:sz w:val="24"/>
                <w:lang w:val="zh-CN"/>
              </w:rPr>
              <w:t>，则营运期废活性炭产生量约</w:t>
            </w:r>
            <w:r>
              <w:rPr>
                <w:rFonts w:hint="eastAsia"/>
                <w:kern w:val="0"/>
                <w:sz w:val="24"/>
                <w:lang w:val="zh-CN"/>
              </w:rPr>
              <w:t>3.82</w:t>
            </w:r>
            <w:r>
              <w:rPr>
                <w:kern w:val="0"/>
                <w:sz w:val="24"/>
                <w:lang w:val="zh-CN"/>
              </w:rPr>
              <w:t>t/a</w:t>
            </w:r>
            <w:r>
              <w:rPr>
                <w:rFonts w:hint="eastAsia"/>
                <w:kern w:val="0"/>
                <w:sz w:val="24"/>
                <w:lang w:val="zh-CN"/>
              </w:rPr>
              <w:t>。</w:t>
            </w:r>
            <w:r>
              <w:rPr>
                <w:rFonts w:hint="eastAsia" w:hAnsi="宋体"/>
                <w:bCs/>
                <w:sz w:val="24"/>
              </w:rPr>
              <w:t>建议生产车间废气处理措施活性炭3个月更换一次。项目产生的</w:t>
            </w:r>
            <w:r>
              <w:rPr>
                <w:rFonts w:hAnsi="宋体"/>
                <w:kern w:val="0"/>
                <w:sz w:val="24"/>
                <w:lang w:val="zh-CN"/>
              </w:rPr>
              <w:t>废活性炭</w:t>
            </w:r>
            <w:r>
              <w:rPr>
                <w:rFonts w:hint="eastAsia" w:hAnsi="宋体"/>
                <w:kern w:val="0"/>
                <w:sz w:val="24"/>
                <w:lang w:val="zh-CN"/>
              </w:rPr>
              <w:t>经</w:t>
            </w:r>
            <w:r>
              <w:rPr>
                <w:rFonts w:hAnsi="宋体"/>
                <w:kern w:val="0"/>
                <w:sz w:val="24"/>
                <w:lang w:val="zh-CN"/>
              </w:rPr>
              <w:t>收集后暂存于危废暂存间，定期交有危废处理资质的单位处置。</w:t>
            </w:r>
            <w:r>
              <w:rPr>
                <w:rFonts w:hAnsi="宋体"/>
                <w:kern w:val="0"/>
                <w:sz w:val="24"/>
              </w:rPr>
              <w:t>评价要求对建设单位应做活性炭更换记录，并对活性炭的填装时间、填装量进行记录进行管理。</w:t>
            </w:r>
          </w:p>
          <w:p w14:paraId="0C72BA4C">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kern w:val="0"/>
                <w:sz w:val="24"/>
              </w:rPr>
              <w:t>《</w:t>
            </w:r>
            <w:r>
              <w:rPr>
                <w:rFonts w:eastAsiaTheme="minorEastAsia"/>
                <w:kern w:val="0"/>
                <w:sz w:val="24"/>
              </w:rPr>
              <w:t xml:space="preserve">2020 </w:t>
            </w:r>
            <w:r>
              <w:rPr>
                <w:rFonts w:hAnsiTheme="minorEastAsia" w:eastAsiaTheme="minorEastAsia"/>
                <w:kern w:val="0"/>
                <w:sz w:val="24"/>
              </w:rPr>
              <w:t>年挥发性有机物治理攻坚方案》提出</w:t>
            </w:r>
            <w:r>
              <w:rPr>
                <w:rFonts w:eastAsiaTheme="minorEastAsia"/>
                <w:kern w:val="0"/>
                <w:sz w:val="24"/>
              </w:rPr>
              <w:t>“</w:t>
            </w:r>
            <w:r>
              <w:rPr>
                <w:rFonts w:hAnsiTheme="minorEastAsia" w:eastAsiaTheme="minorEastAsia"/>
                <w:kern w:val="0"/>
                <w:sz w:val="24"/>
              </w:rPr>
              <w:t>采用活性炭吸附技术的，应选择碘值不低于</w:t>
            </w:r>
            <w:r>
              <w:rPr>
                <w:rFonts w:eastAsiaTheme="minorEastAsia"/>
                <w:kern w:val="0"/>
                <w:sz w:val="24"/>
              </w:rPr>
              <w:t xml:space="preserve">800 </w:t>
            </w:r>
            <w:r>
              <w:rPr>
                <w:rFonts w:hAnsiTheme="minorEastAsia" w:eastAsiaTheme="minorEastAsia"/>
                <w:kern w:val="0"/>
                <w:sz w:val="24"/>
              </w:rPr>
              <w:t>毫克</w:t>
            </w:r>
            <w:r>
              <w:rPr>
                <w:rFonts w:eastAsiaTheme="minorEastAsia"/>
                <w:kern w:val="0"/>
                <w:sz w:val="24"/>
              </w:rPr>
              <w:t>/</w:t>
            </w:r>
            <w:r>
              <w:rPr>
                <w:rFonts w:hAnsiTheme="minorEastAsia" w:eastAsiaTheme="minorEastAsia"/>
                <w:kern w:val="0"/>
                <w:sz w:val="24"/>
              </w:rPr>
              <w:t>克的活性炭</w:t>
            </w:r>
            <w:r>
              <w:rPr>
                <w:rFonts w:eastAsiaTheme="minorEastAsia"/>
                <w:kern w:val="0"/>
                <w:sz w:val="24"/>
              </w:rPr>
              <w:t>”</w:t>
            </w:r>
            <w:r>
              <w:rPr>
                <w:rFonts w:hAnsiTheme="minorEastAsia" w:eastAsiaTheme="minorEastAsia"/>
                <w:kern w:val="0"/>
                <w:sz w:val="24"/>
              </w:rPr>
              <w:t>，目的是引导企业主动使用吸附效率高的活性炭，实现</w:t>
            </w:r>
            <w:r>
              <w:rPr>
                <w:rFonts w:eastAsiaTheme="minorEastAsia"/>
                <w:kern w:val="0"/>
                <w:sz w:val="24"/>
              </w:rPr>
              <w:t xml:space="preserve">VOCs </w:t>
            </w:r>
            <w:r>
              <w:rPr>
                <w:rFonts w:hAnsiTheme="minorEastAsia" w:eastAsiaTheme="minorEastAsia"/>
                <w:kern w:val="0"/>
                <w:sz w:val="24"/>
              </w:rPr>
              <w:t>有效减排。对于采用颗粒状、柱状等活性炭吸附的，应选择碘值不低于</w:t>
            </w:r>
            <w:r>
              <w:rPr>
                <w:rFonts w:eastAsiaTheme="minorEastAsia"/>
                <w:kern w:val="0"/>
                <w:sz w:val="24"/>
              </w:rPr>
              <w:t xml:space="preserve">800 </w:t>
            </w:r>
            <w:r>
              <w:rPr>
                <w:rFonts w:hAnsiTheme="minorEastAsia" w:eastAsiaTheme="minorEastAsia"/>
                <w:kern w:val="0"/>
                <w:sz w:val="24"/>
              </w:rPr>
              <w:t>毫克</w:t>
            </w:r>
            <w:r>
              <w:rPr>
                <w:rFonts w:eastAsiaTheme="minorEastAsia"/>
                <w:kern w:val="0"/>
                <w:sz w:val="24"/>
              </w:rPr>
              <w:t>/</w:t>
            </w:r>
            <w:r>
              <w:rPr>
                <w:rFonts w:hAnsiTheme="minorEastAsia" w:eastAsiaTheme="minorEastAsia"/>
                <w:kern w:val="0"/>
                <w:sz w:val="24"/>
              </w:rPr>
              <w:t>克的活性炭；采用蜂窝状活性炭吸附的，建议选择与碘值</w:t>
            </w:r>
            <w:r>
              <w:rPr>
                <w:rFonts w:eastAsiaTheme="minorEastAsia"/>
                <w:kern w:val="0"/>
                <w:sz w:val="24"/>
              </w:rPr>
              <w:t xml:space="preserve">800 </w:t>
            </w:r>
            <w:r>
              <w:rPr>
                <w:rFonts w:hAnsiTheme="minorEastAsia" w:eastAsiaTheme="minorEastAsia"/>
                <w:kern w:val="0"/>
                <w:sz w:val="24"/>
              </w:rPr>
              <w:t>毫克</w:t>
            </w:r>
            <w:r>
              <w:rPr>
                <w:rFonts w:eastAsiaTheme="minorEastAsia"/>
                <w:kern w:val="0"/>
                <w:sz w:val="24"/>
              </w:rPr>
              <w:t>/</w:t>
            </w:r>
            <w:r>
              <w:rPr>
                <w:rFonts w:hAnsiTheme="minorEastAsia" w:eastAsiaTheme="minorEastAsia"/>
                <w:kern w:val="0"/>
                <w:sz w:val="24"/>
              </w:rPr>
              <w:t>克颗粒状、柱状等活性炭吸附效率相当的蜂窝状活性炭，并按照设计要求足量添加、及时更换。本项目采用蜂窝状活性炭进行吸附，应选用与碘值</w:t>
            </w:r>
            <w:r>
              <w:rPr>
                <w:rFonts w:eastAsiaTheme="minorEastAsia"/>
                <w:kern w:val="0"/>
                <w:sz w:val="24"/>
              </w:rPr>
              <w:t xml:space="preserve">800 </w:t>
            </w:r>
            <w:r>
              <w:rPr>
                <w:rFonts w:hAnsiTheme="minorEastAsia" w:eastAsiaTheme="minorEastAsia"/>
                <w:kern w:val="0"/>
                <w:sz w:val="24"/>
              </w:rPr>
              <w:t>毫克</w:t>
            </w:r>
            <w:r>
              <w:rPr>
                <w:rFonts w:eastAsiaTheme="minorEastAsia"/>
                <w:kern w:val="0"/>
                <w:sz w:val="24"/>
              </w:rPr>
              <w:t>/</w:t>
            </w:r>
            <w:r>
              <w:rPr>
                <w:rFonts w:hAnsiTheme="minorEastAsia" w:eastAsiaTheme="minorEastAsia"/>
                <w:kern w:val="0"/>
                <w:sz w:val="24"/>
              </w:rPr>
              <w:t>克颗粒状、柱状等活性炭吸附效率相当的蜂窝状活性炭，并及时更换。</w:t>
            </w:r>
          </w:p>
          <w:p w14:paraId="12839E09">
            <w:pPr>
              <w:adjustRightInd w:val="0"/>
              <w:snapToGrid w:val="0"/>
              <w:spacing w:line="480" w:lineRule="exact"/>
              <w:ind w:firstLine="482" w:firstLineChars="200"/>
              <w:rPr>
                <w:b/>
                <w:sz w:val="24"/>
              </w:rPr>
            </w:pPr>
            <w:r>
              <w:rPr>
                <w:rFonts w:hint="eastAsia"/>
                <w:b/>
                <w:sz w:val="24"/>
              </w:rPr>
              <w:t>（3）生活垃圾</w:t>
            </w:r>
          </w:p>
          <w:p w14:paraId="414F9A58">
            <w:pPr>
              <w:adjustRightInd w:val="0"/>
              <w:snapToGrid w:val="0"/>
              <w:spacing w:line="480" w:lineRule="exact"/>
              <w:ind w:firstLine="480" w:firstLineChars="200"/>
              <w:rPr>
                <w:sz w:val="24"/>
              </w:rPr>
            </w:pPr>
            <w:r>
              <w:rPr>
                <w:rFonts w:hint="eastAsia"/>
                <w:sz w:val="24"/>
              </w:rPr>
              <w:t>拟建项目营运期员工人数约1000人，生活垃圾产生量按0.5kg/人</w:t>
            </w:r>
            <w:r>
              <w:rPr>
                <w:rFonts w:hint="eastAsia" w:ascii="宋体" w:hAnsi="宋体"/>
                <w:sz w:val="24"/>
              </w:rPr>
              <w:t>﹒</w:t>
            </w:r>
            <w:r>
              <w:rPr>
                <w:rFonts w:hint="eastAsia"/>
                <w:sz w:val="24"/>
              </w:rPr>
              <w:t>d计算，则产生量为500kg/d，折合为125t/a，统一收集后交由环卫部门处置。</w:t>
            </w:r>
          </w:p>
          <w:p w14:paraId="3FE61B1B">
            <w:pPr>
              <w:adjustRightInd w:val="0"/>
              <w:snapToGrid w:val="0"/>
              <w:spacing w:line="480" w:lineRule="exact"/>
              <w:ind w:firstLine="482" w:firstLineChars="200"/>
              <w:rPr>
                <w:b/>
                <w:sz w:val="24"/>
              </w:rPr>
            </w:pPr>
            <w:r>
              <w:rPr>
                <w:rFonts w:hint="eastAsia"/>
                <w:b/>
                <w:sz w:val="24"/>
              </w:rPr>
              <w:t>（4）餐厨垃圾</w:t>
            </w:r>
          </w:p>
          <w:p w14:paraId="3227880A">
            <w:pPr>
              <w:adjustRightInd w:val="0"/>
              <w:snapToGrid w:val="0"/>
              <w:spacing w:line="480" w:lineRule="exact"/>
              <w:ind w:firstLine="480" w:firstLineChars="200"/>
              <w:rPr>
                <w:sz w:val="24"/>
              </w:rPr>
            </w:pPr>
            <w:r>
              <w:rPr>
                <w:rFonts w:hint="eastAsia"/>
                <w:sz w:val="24"/>
              </w:rPr>
              <w:t>拟建项目食堂在运营过程中会产生餐厨垃圾，产生量按每人0.2kg/d计，就餐人数为1000人，则餐厨垃圾产生量为200kg/d，折合为50t/a。设置餐厨垃圾收集桶，将餐厨垃圾收集后交由有资质的单位处置。</w:t>
            </w:r>
          </w:p>
          <w:p w14:paraId="327EDA69">
            <w:pPr>
              <w:adjustRightInd w:val="0"/>
              <w:snapToGrid w:val="0"/>
              <w:spacing w:line="480" w:lineRule="exact"/>
              <w:ind w:firstLine="482" w:firstLineChars="200"/>
              <w:rPr>
                <w:b/>
                <w:sz w:val="24"/>
              </w:rPr>
            </w:pPr>
            <w:r>
              <w:rPr>
                <w:rFonts w:hint="eastAsia"/>
                <w:b/>
                <w:sz w:val="24"/>
              </w:rPr>
              <w:t xml:space="preserve">（5）生化池污泥 </w:t>
            </w:r>
          </w:p>
          <w:p w14:paraId="014529DD">
            <w:pPr>
              <w:adjustRightInd w:val="0"/>
              <w:snapToGrid w:val="0"/>
              <w:spacing w:line="480" w:lineRule="exact"/>
              <w:ind w:firstLine="480" w:firstLineChars="200"/>
              <w:rPr>
                <w:sz w:val="24"/>
              </w:rPr>
            </w:pPr>
            <w:r>
              <w:rPr>
                <w:rFonts w:hint="eastAsia"/>
                <w:sz w:val="24"/>
              </w:rPr>
              <w:t>生化池污泥产生量按去除1kgCOD产生0.3kg干污泥计，则生化池污泥产生量约为3.8t/a。生化池污泥定期清掏，交环卫部门处理。</w:t>
            </w:r>
          </w:p>
          <w:p w14:paraId="67C6494C">
            <w:pPr>
              <w:adjustRightInd w:val="0"/>
              <w:snapToGrid w:val="0"/>
              <w:rPr>
                <w:rFonts w:ascii="宋体" w:hAnsi="宋体" w:cs="宋体"/>
                <w:b/>
                <w:bCs/>
                <w:spacing w:val="-10"/>
                <w:sz w:val="24"/>
              </w:rPr>
            </w:pPr>
          </w:p>
          <w:p w14:paraId="17E3124F">
            <w:pPr>
              <w:adjustRightInd w:val="0"/>
              <w:snapToGrid w:val="0"/>
              <w:rPr>
                <w:rFonts w:ascii="宋体" w:hAnsi="宋体" w:cs="宋体"/>
                <w:b/>
                <w:bCs/>
                <w:spacing w:val="-10"/>
                <w:sz w:val="24"/>
              </w:rPr>
            </w:pPr>
          </w:p>
          <w:p w14:paraId="0F103AD2">
            <w:pPr>
              <w:overflowPunct w:val="0"/>
              <w:jc w:val="center"/>
              <w:rPr>
                <w:sz w:val="24"/>
              </w:rPr>
            </w:pPr>
          </w:p>
        </w:tc>
      </w:tr>
    </w:tbl>
    <w:p w14:paraId="1189215C">
      <w:pPr>
        <w:pStyle w:val="20"/>
        <w:jc w:val="center"/>
        <w:outlineLvl w:val="0"/>
        <w:rPr>
          <w:rFonts w:ascii="黑体" w:hAnsi="黑体" w:eastAsia="黑体"/>
          <w:snapToGrid w:val="0"/>
          <w:sz w:val="30"/>
          <w:szCs w:val="30"/>
        </w:rPr>
        <w:sectPr>
          <w:pgSz w:w="11906" w:h="16838"/>
          <w:pgMar w:top="1701" w:right="1531" w:bottom="1701" w:left="1531" w:header="851" w:footer="851" w:gutter="0"/>
          <w:cols w:space="720" w:num="1"/>
          <w:docGrid w:linePitch="312" w:charSpace="0"/>
        </w:sectPr>
      </w:pPr>
    </w:p>
    <w:tbl>
      <w:tblPr>
        <w:tblStyle w:val="24"/>
        <w:tblW w:w="149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14602"/>
      </w:tblGrid>
      <w:tr w14:paraId="602C4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386" w:type="dxa"/>
            <w:tcMar>
              <w:left w:w="28" w:type="dxa"/>
              <w:right w:w="28" w:type="dxa"/>
            </w:tcMar>
            <w:vAlign w:val="center"/>
          </w:tcPr>
          <w:p w14:paraId="66A5F514">
            <w:pPr>
              <w:adjustRightInd w:val="0"/>
              <w:snapToGrid w:val="0"/>
              <w:jc w:val="center"/>
              <w:rPr>
                <w:rFonts w:ascii="宋体" w:hAnsi="宋体" w:cs="宋体"/>
                <w:bCs/>
                <w:sz w:val="24"/>
              </w:rPr>
            </w:pPr>
          </w:p>
          <w:p w14:paraId="63F40168">
            <w:pPr>
              <w:adjustRightInd w:val="0"/>
              <w:snapToGrid w:val="0"/>
              <w:jc w:val="center"/>
              <w:rPr>
                <w:rFonts w:ascii="宋体" w:hAnsi="宋体" w:cs="宋体"/>
                <w:bCs/>
                <w:sz w:val="24"/>
              </w:rPr>
            </w:pPr>
            <w:r>
              <w:rPr>
                <w:rFonts w:hint="eastAsia" w:ascii="宋体" w:hAnsi="宋体" w:cs="宋体"/>
                <w:bCs/>
                <w:sz w:val="24"/>
              </w:rPr>
              <w:t>期环</w:t>
            </w:r>
          </w:p>
          <w:p w14:paraId="5A5415CD">
            <w:pPr>
              <w:adjustRightInd w:val="0"/>
              <w:snapToGrid w:val="0"/>
              <w:jc w:val="center"/>
              <w:rPr>
                <w:rFonts w:ascii="宋体" w:hAnsi="宋体" w:cs="宋体"/>
                <w:bCs/>
                <w:sz w:val="24"/>
              </w:rPr>
            </w:pPr>
            <w:r>
              <w:rPr>
                <w:rFonts w:hint="eastAsia" w:ascii="宋体" w:hAnsi="宋体" w:cs="宋体"/>
                <w:bCs/>
                <w:sz w:val="24"/>
              </w:rPr>
              <w:t>境影</w:t>
            </w:r>
          </w:p>
          <w:p w14:paraId="6E804D58">
            <w:pPr>
              <w:adjustRightInd w:val="0"/>
              <w:snapToGrid w:val="0"/>
              <w:jc w:val="center"/>
              <w:rPr>
                <w:rFonts w:ascii="宋体" w:hAnsi="宋体" w:cs="宋体"/>
                <w:bCs/>
                <w:sz w:val="24"/>
              </w:rPr>
            </w:pPr>
            <w:r>
              <w:rPr>
                <w:rFonts w:hint="eastAsia" w:ascii="宋体" w:hAnsi="宋体" w:cs="宋体"/>
                <w:bCs/>
                <w:sz w:val="24"/>
              </w:rPr>
              <w:t>响和</w:t>
            </w:r>
          </w:p>
          <w:p w14:paraId="112CD65C">
            <w:pPr>
              <w:adjustRightInd w:val="0"/>
              <w:snapToGrid w:val="0"/>
              <w:jc w:val="center"/>
              <w:rPr>
                <w:rFonts w:ascii="宋体" w:hAnsi="宋体" w:cs="宋体"/>
                <w:bCs/>
                <w:sz w:val="24"/>
              </w:rPr>
            </w:pPr>
            <w:r>
              <w:rPr>
                <w:rFonts w:hint="eastAsia" w:ascii="宋体" w:hAnsi="宋体" w:cs="宋体"/>
                <w:bCs/>
                <w:sz w:val="24"/>
              </w:rPr>
              <w:t>保护</w:t>
            </w:r>
          </w:p>
          <w:p w14:paraId="3D82B38F">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14602" w:type="dxa"/>
            <w:vAlign w:val="center"/>
          </w:tcPr>
          <w:p w14:paraId="7A492796">
            <w:pPr>
              <w:adjustRightInd w:val="0"/>
              <w:snapToGrid w:val="0"/>
              <w:spacing w:line="440" w:lineRule="exact"/>
              <w:jc w:val="center"/>
              <w:rPr>
                <w:b/>
                <w:bCs/>
                <w:szCs w:val="21"/>
              </w:rPr>
            </w:pPr>
            <w:r>
              <w:rPr>
                <w:rFonts w:hint="eastAsia"/>
                <w:b/>
                <w:bCs/>
                <w:szCs w:val="21"/>
              </w:rPr>
              <w:t>表4.2-18  固体废物污染源源强核算结果及相关参数一览表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25"/>
              <w:gridCol w:w="2269"/>
              <w:gridCol w:w="1558"/>
              <w:gridCol w:w="1987"/>
              <w:gridCol w:w="1984"/>
              <w:gridCol w:w="2616"/>
            </w:tblGrid>
            <w:tr w14:paraId="1956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1C392252">
                  <w:pPr>
                    <w:adjustRightInd w:val="0"/>
                    <w:snapToGrid w:val="0"/>
                    <w:jc w:val="center"/>
                    <w:rPr>
                      <w:rFonts w:eastAsiaTheme="minorEastAsia"/>
                      <w:bCs/>
                      <w:szCs w:val="21"/>
                    </w:rPr>
                  </w:pPr>
                  <w:r>
                    <w:rPr>
                      <w:rFonts w:hAnsiTheme="minorEastAsia" w:eastAsiaTheme="minorEastAsia"/>
                      <w:bCs/>
                      <w:szCs w:val="21"/>
                    </w:rPr>
                    <w:t>工序</w:t>
                  </w:r>
                </w:p>
              </w:tc>
              <w:tc>
                <w:tcPr>
                  <w:tcW w:w="739" w:type="pct"/>
                  <w:vAlign w:val="center"/>
                </w:tcPr>
                <w:p w14:paraId="50804AC9">
                  <w:pPr>
                    <w:adjustRightInd w:val="0"/>
                    <w:snapToGrid w:val="0"/>
                    <w:jc w:val="center"/>
                    <w:rPr>
                      <w:rFonts w:eastAsiaTheme="minorEastAsia"/>
                      <w:bCs/>
                      <w:szCs w:val="21"/>
                    </w:rPr>
                  </w:pPr>
                  <w:r>
                    <w:rPr>
                      <w:rFonts w:hAnsiTheme="minorEastAsia" w:eastAsiaTheme="minorEastAsia"/>
                      <w:bCs/>
                      <w:szCs w:val="21"/>
                    </w:rPr>
                    <w:t>产生源</w:t>
                  </w:r>
                </w:p>
              </w:tc>
              <w:tc>
                <w:tcPr>
                  <w:tcW w:w="789" w:type="pct"/>
                  <w:vAlign w:val="center"/>
                </w:tcPr>
                <w:p w14:paraId="7280BDA1">
                  <w:pPr>
                    <w:adjustRightInd w:val="0"/>
                    <w:snapToGrid w:val="0"/>
                    <w:jc w:val="center"/>
                    <w:rPr>
                      <w:rFonts w:eastAsiaTheme="minorEastAsia"/>
                      <w:bCs/>
                      <w:szCs w:val="21"/>
                    </w:rPr>
                  </w:pPr>
                  <w:r>
                    <w:rPr>
                      <w:rFonts w:hAnsiTheme="minorEastAsia" w:eastAsiaTheme="minorEastAsia"/>
                      <w:bCs/>
                      <w:szCs w:val="21"/>
                    </w:rPr>
                    <w:t>固体废物名称</w:t>
                  </w:r>
                </w:p>
              </w:tc>
              <w:tc>
                <w:tcPr>
                  <w:tcW w:w="542" w:type="pct"/>
                  <w:vAlign w:val="center"/>
                </w:tcPr>
                <w:p w14:paraId="12C43CCA">
                  <w:pPr>
                    <w:adjustRightInd w:val="0"/>
                    <w:snapToGrid w:val="0"/>
                    <w:jc w:val="center"/>
                    <w:rPr>
                      <w:rFonts w:eastAsiaTheme="minorEastAsia"/>
                      <w:bCs/>
                      <w:szCs w:val="21"/>
                    </w:rPr>
                  </w:pPr>
                  <w:r>
                    <w:rPr>
                      <w:rFonts w:hint="eastAsia" w:eastAsiaTheme="minorEastAsia"/>
                      <w:bCs/>
                      <w:szCs w:val="21"/>
                    </w:rPr>
                    <w:t>固废属性</w:t>
                  </w:r>
                </w:p>
              </w:tc>
              <w:tc>
                <w:tcPr>
                  <w:tcW w:w="691" w:type="pct"/>
                  <w:vAlign w:val="center"/>
                </w:tcPr>
                <w:p w14:paraId="26A55688">
                  <w:pPr>
                    <w:adjustRightInd w:val="0"/>
                    <w:snapToGrid w:val="0"/>
                    <w:jc w:val="center"/>
                    <w:rPr>
                      <w:rFonts w:eastAsiaTheme="minorEastAsia"/>
                      <w:bCs/>
                      <w:szCs w:val="21"/>
                    </w:rPr>
                  </w:pPr>
                  <w:r>
                    <w:rPr>
                      <w:rFonts w:hAnsiTheme="minorEastAsia" w:eastAsiaTheme="minorEastAsia"/>
                      <w:bCs/>
                      <w:szCs w:val="21"/>
                    </w:rPr>
                    <w:t>产生量（</w:t>
                  </w:r>
                  <w:r>
                    <w:rPr>
                      <w:rFonts w:eastAsiaTheme="minorEastAsia"/>
                      <w:bCs/>
                      <w:szCs w:val="21"/>
                    </w:rPr>
                    <w:t>t/a</w:t>
                  </w:r>
                  <w:r>
                    <w:rPr>
                      <w:rFonts w:hAnsiTheme="minorEastAsia" w:eastAsiaTheme="minorEastAsia"/>
                      <w:bCs/>
                      <w:szCs w:val="21"/>
                    </w:rPr>
                    <w:t>）</w:t>
                  </w:r>
                </w:p>
              </w:tc>
              <w:tc>
                <w:tcPr>
                  <w:tcW w:w="690" w:type="pct"/>
                  <w:vAlign w:val="center"/>
                </w:tcPr>
                <w:p w14:paraId="5774220A">
                  <w:pPr>
                    <w:adjustRightInd w:val="0"/>
                    <w:snapToGrid w:val="0"/>
                    <w:jc w:val="center"/>
                    <w:rPr>
                      <w:rFonts w:eastAsiaTheme="minorEastAsia"/>
                      <w:bCs/>
                      <w:szCs w:val="21"/>
                    </w:rPr>
                  </w:pPr>
                  <w:r>
                    <w:rPr>
                      <w:rFonts w:hAnsiTheme="minorEastAsia" w:eastAsiaTheme="minorEastAsia"/>
                      <w:bCs/>
                      <w:szCs w:val="21"/>
                    </w:rPr>
                    <w:t>处置量（</w:t>
                  </w:r>
                  <w:r>
                    <w:rPr>
                      <w:rFonts w:eastAsiaTheme="minorEastAsia"/>
                      <w:bCs/>
                      <w:szCs w:val="21"/>
                    </w:rPr>
                    <w:t>t/a</w:t>
                  </w:r>
                  <w:r>
                    <w:rPr>
                      <w:rFonts w:hAnsiTheme="minorEastAsia" w:eastAsiaTheme="minorEastAsia"/>
                      <w:bCs/>
                      <w:szCs w:val="21"/>
                    </w:rPr>
                    <w:t>）</w:t>
                  </w:r>
                </w:p>
              </w:tc>
              <w:tc>
                <w:tcPr>
                  <w:tcW w:w="910" w:type="pct"/>
                  <w:vAlign w:val="center"/>
                </w:tcPr>
                <w:p w14:paraId="5008E778">
                  <w:pPr>
                    <w:adjustRightInd w:val="0"/>
                    <w:snapToGrid w:val="0"/>
                    <w:jc w:val="center"/>
                    <w:rPr>
                      <w:rFonts w:eastAsiaTheme="minorEastAsia"/>
                      <w:bCs/>
                      <w:szCs w:val="21"/>
                    </w:rPr>
                  </w:pPr>
                  <w:r>
                    <w:rPr>
                      <w:rFonts w:hAnsiTheme="minorEastAsia" w:eastAsiaTheme="minorEastAsia"/>
                      <w:bCs/>
                      <w:szCs w:val="21"/>
                    </w:rPr>
                    <w:t>最终去向</w:t>
                  </w:r>
                </w:p>
              </w:tc>
            </w:tr>
            <w:tr w14:paraId="2F98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7EA148A3">
                  <w:pPr>
                    <w:adjustRightInd w:val="0"/>
                    <w:snapToGrid w:val="0"/>
                    <w:jc w:val="center"/>
                    <w:rPr>
                      <w:rFonts w:eastAsiaTheme="minorEastAsia"/>
                      <w:bCs/>
                      <w:szCs w:val="21"/>
                    </w:rPr>
                  </w:pPr>
                  <w:r>
                    <w:rPr>
                      <w:rFonts w:hAnsiTheme="minorEastAsia" w:eastAsiaTheme="minorEastAsia"/>
                      <w:bCs/>
                      <w:szCs w:val="21"/>
                    </w:rPr>
                    <w:t>裁切、模切</w:t>
                  </w:r>
                </w:p>
              </w:tc>
              <w:tc>
                <w:tcPr>
                  <w:tcW w:w="739" w:type="pct"/>
                  <w:vAlign w:val="center"/>
                </w:tcPr>
                <w:p w14:paraId="4BD74BF1">
                  <w:pPr>
                    <w:adjustRightInd w:val="0"/>
                    <w:snapToGrid w:val="0"/>
                    <w:jc w:val="center"/>
                    <w:rPr>
                      <w:rFonts w:eastAsiaTheme="minorEastAsia"/>
                      <w:bCs/>
                      <w:szCs w:val="21"/>
                    </w:rPr>
                  </w:pPr>
                  <w:r>
                    <w:rPr>
                      <w:rFonts w:hAnsiTheme="minorEastAsia" w:eastAsiaTheme="minorEastAsia"/>
                      <w:bCs/>
                      <w:szCs w:val="21"/>
                    </w:rPr>
                    <w:t>裁切机、模切机</w:t>
                  </w:r>
                </w:p>
              </w:tc>
              <w:tc>
                <w:tcPr>
                  <w:tcW w:w="789" w:type="pct"/>
                  <w:vAlign w:val="center"/>
                </w:tcPr>
                <w:p w14:paraId="18C6147B">
                  <w:pPr>
                    <w:adjustRightInd w:val="0"/>
                    <w:snapToGrid w:val="0"/>
                    <w:jc w:val="center"/>
                    <w:rPr>
                      <w:rFonts w:eastAsiaTheme="minorEastAsia"/>
                      <w:bCs/>
                      <w:szCs w:val="21"/>
                    </w:rPr>
                  </w:pPr>
                  <w:r>
                    <w:rPr>
                      <w:rFonts w:hAnsiTheme="minorEastAsia" w:eastAsiaTheme="minorEastAsia"/>
                      <w:bCs/>
                      <w:szCs w:val="21"/>
                    </w:rPr>
                    <w:t>废纸、废边角料</w:t>
                  </w:r>
                </w:p>
              </w:tc>
              <w:tc>
                <w:tcPr>
                  <w:tcW w:w="542" w:type="pct"/>
                  <w:vMerge w:val="restart"/>
                  <w:vAlign w:val="center"/>
                </w:tcPr>
                <w:p w14:paraId="57A816E0">
                  <w:pPr>
                    <w:adjustRightInd w:val="0"/>
                    <w:snapToGrid w:val="0"/>
                    <w:jc w:val="center"/>
                    <w:rPr>
                      <w:rFonts w:eastAsiaTheme="minorEastAsia"/>
                      <w:bCs/>
                      <w:szCs w:val="21"/>
                    </w:rPr>
                  </w:pPr>
                  <w:r>
                    <w:rPr>
                      <w:rFonts w:hint="eastAsia" w:eastAsiaTheme="minorEastAsia"/>
                      <w:bCs/>
                      <w:szCs w:val="21"/>
                    </w:rPr>
                    <w:t>一般工业固废</w:t>
                  </w:r>
                </w:p>
              </w:tc>
              <w:tc>
                <w:tcPr>
                  <w:tcW w:w="691" w:type="pct"/>
                  <w:vAlign w:val="center"/>
                </w:tcPr>
                <w:p w14:paraId="553C9B88">
                  <w:pPr>
                    <w:adjustRightInd w:val="0"/>
                    <w:snapToGrid w:val="0"/>
                    <w:jc w:val="center"/>
                    <w:rPr>
                      <w:rFonts w:eastAsiaTheme="minorEastAsia"/>
                      <w:bCs/>
                      <w:szCs w:val="21"/>
                    </w:rPr>
                  </w:pPr>
                  <w:r>
                    <w:rPr>
                      <w:rFonts w:hint="eastAsia" w:eastAsiaTheme="minorEastAsia"/>
                      <w:bCs/>
                      <w:szCs w:val="21"/>
                    </w:rPr>
                    <w:t>100</w:t>
                  </w:r>
                </w:p>
              </w:tc>
              <w:tc>
                <w:tcPr>
                  <w:tcW w:w="690" w:type="pct"/>
                  <w:vAlign w:val="center"/>
                </w:tcPr>
                <w:p w14:paraId="2CA801A1">
                  <w:pPr>
                    <w:adjustRightInd w:val="0"/>
                    <w:snapToGrid w:val="0"/>
                    <w:jc w:val="center"/>
                    <w:rPr>
                      <w:rFonts w:eastAsiaTheme="minorEastAsia"/>
                      <w:bCs/>
                      <w:szCs w:val="21"/>
                    </w:rPr>
                  </w:pPr>
                  <w:r>
                    <w:rPr>
                      <w:rFonts w:hint="eastAsia" w:eastAsiaTheme="minorEastAsia"/>
                      <w:bCs/>
                      <w:szCs w:val="21"/>
                    </w:rPr>
                    <w:t>100</w:t>
                  </w:r>
                </w:p>
              </w:tc>
              <w:tc>
                <w:tcPr>
                  <w:tcW w:w="910" w:type="pct"/>
                  <w:vMerge w:val="restart"/>
                  <w:vAlign w:val="center"/>
                </w:tcPr>
                <w:p w14:paraId="544689CA">
                  <w:pPr>
                    <w:adjustRightInd w:val="0"/>
                    <w:snapToGrid w:val="0"/>
                    <w:jc w:val="center"/>
                    <w:rPr>
                      <w:rFonts w:eastAsiaTheme="minorEastAsia"/>
                      <w:bCs/>
                      <w:szCs w:val="21"/>
                    </w:rPr>
                  </w:pPr>
                  <w:r>
                    <w:rPr>
                      <w:rFonts w:hint="eastAsia" w:eastAsiaTheme="minorEastAsia"/>
                      <w:bCs/>
                      <w:szCs w:val="21"/>
                    </w:rPr>
                    <w:t>一般固废暂存间暂存后定期交废品回收单位回收利用</w:t>
                  </w:r>
                </w:p>
              </w:tc>
            </w:tr>
            <w:tr w14:paraId="1954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248D1892">
                  <w:pPr>
                    <w:adjustRightInd w:val="0"/>
                    <w:snapToGrid w:val="0"/>
                    <w:jc w:val="center"/>
                    <w:rPr>
                      <w:rFonts w:eastAsiaTheme="minorEastAsia"/>
                      <w:bCs/>
                      <w:szCs w:val="21"/>
                    </w:rPr>
                  </w:pPr>
                  <w:r>
                    <w:rPr>
                      <w:rFonts w:hint="eastAsia" w:eastAsiaTheme="minorEastAsia"/>
                      <w:bCs/>
                      <w:szCs w:val="21"/>
                    </w:rPr>
                    <w:t>全检</w:t>
                  </w:r>
                </w:p>
              </w:tc>
              <w:tc>
                <w:tcPr>
                  <w:tcW w:w="739" w:type="pct"/>
                  <w:vAlign w:val="center"/>
                </w:tcPr>
                <w:p w14:paraId="58B357FB">
                  <w:pPr>
                    <w:adjustRightInd w:val="0"/>
                    <w:snapToGrid w:val="0"/>
                    <w:jc w:val="center"/>
                    <w:rPr>
                      <w:rFonts w:eastAsiaTheme="minorEastAsia"/>
                      <w:bCs/>
                      <w:szCs w:val="21"/>
                    </w:rPr>
                  </w:pPr>
                  <w:r>
                    <w:rPr>
                      <w:rFonts w:hint="eastAsia" w:eastAsiaTheme="minorEastAsia"/>
                      <w:bCs/>
                      <w:szCs w:val="21"/>
                    </w:rPr>
                    <w:t>全检</w:t>
                  </w:r>
                </w:p>
              </w:tc>
              <w:tc>
                <w:tcPr>
                  <w:tcW w:w="789" w:type="pct"/>
                  <w:vAlign w:val="center"/>
                </w:tcPr>
                <w:p w14:paraId="4FE6D899">
                  <w:pPr>
                    <w:adjustRightInd w:val="0"/>
                    <w:snapToGrid w:val="0"/>
                    <w:jc w:val="center"/>
                    <w:rPr>
                      <w:rFonts w:eastAsiaTheme="minorEastAsia"/>
                      <w:bCs/>
                      <w:szCs w:val="21"/>
                    </w:rPr>
                  </w:pPr>
                  <w:r>
                    <w:rPr>
                      <w:rFonts w:hint="eastAsia" w:eastAsiaTheme="minorEastAsia"/>
                      <w:bCs/>
                      <w:szCs w:val="21"/>
                    </w:rPr>
                    <w:t>不合格产品</w:t>
                  </w:r>
                </w:p>
              </w:tc>
              <w:tc>
                <w:tcPr>
                  <w:tcW w:w="542" w:type="pct"/>
                  <w:vMerge w:val="continue"/>
                  <w:vAlign w:val="center"/>
                </w:tcPr>
                <w:p w14:paraId="0B06676F">
                  <w:pPr>
                    <w:adjustRightInd w:val="0"/>
                    <w:snapToGrid w:val="0"/>
                    <w:jc w:val="center"/>
                    <w:rPr>
                      <w:rFonts w:eastAsiaTheme="minorEastAsia"/>
                      <w:bCs/>
                      <w:szCs w:val="21"/>
                    </w:rPr>
                  </w:pPr>
                </w:p>
              </w:tc>
              <w:tc>
                <w:tcPr>
                  <w:tcW w:w="691" w:type="pct"/>
                  <w:vAlign w:val="center"/>
                </w:tcPr>
                <w:p w14:paraId="781673B6">
                  <w:pPr>
                    <w:adjustRightInd w:val="0"/>
                    <w:snapToGrid w:val="0"/>
                    <w:jc w:val="center"/>
                    <w:rPr>
                      <w:rFonts w:eastAsiaTheme="minorEastAsia"/>
                      <w:bCs/>
                      <w:szCs w:val="21"/>
                    </w:rPr>
                  </w:pPr>
                  <w:r>
                    <w:rPr>
                      <w:rFonts w:hint="eastAsia" w:eastAsiaTheme="minorEastAsia"/>
                      <w:bCs/>
                      <w:szCs w:val="21"/>
                    </w:rPr>
                    <w:t>4</w:t>
                  </w:r>
                </w:p>
              </w:tc>
              <w:tc>
                <w:tcPr>
                  <w:tcW w:w="690" w:type="pct"/>
                  <w:vAlign w:val="center"/>
                </w:tcPr>
                <w:p w14:paraId="743FB4AF">
                  <w:pPr>
                    <w:adjustRightInd w:val="0"/>
                    <w:snapToGrid w:val="0"/>
                    <w:jc w:val="center"/>
                    <w:rPr>
                      <w:rFonts w:eastAsiaTheme="minorEastAsia"/>
                      <w:bCs/>
                      <w:szCs w:val="21"/>
                    </w:rPr>
                  </w:pPr>
                  <w:r>
                    <w:rPr>
                      <w:rFonts w:hint="eastAsia" w:eastAsiaTheme="minorEastAsia"/>
                      <w:bCs/>
                      <w:szCs w:val="21"/>
                    </w:rPr>
                    <w:t>4</w:t>
                  </w:r>
                </w:p>
              </w:tc>
              <w:tc>
                <w:tcPr>
                  <w:tcW w:w="910" w:type="pct"/>
                  <w:vMerge w:val="continue"/>
                  <w:vAlign w:val="center"/>
                </w:tcPr>
                <w:p w14:paraId="0C229521">
                  <w:pPr>
                    <w:adjustRightInd w:val="0"/>
                    <w:snapToGrid w:val="0"/>
                    <w:jc w:val="center"/>
                    <w:rPr>
                      <w:rFonts w:eastAsiaTheme="minorEastAsia"/>
                      <w:bCs/>
                      <w:szCs w:val="21"/>
                    </w:rPr>
                  </w:pPr>
                </w:p>
              </w:tc>
            </w:tr>
            <w:tr w14:paraId="01E1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142AF6F1">
                  <w:pPr>
                    <w:adjustRightInd w:val="0"/>
                    <w:snapToGrid w:val="0"/>
                    <w:jc w:val="center"/>
                    <w:rPr>
                      <w:rFonts w:eastAsiaTheme="minorEastAsia"/>
                      <w:bCs/>
                      <w:szCs w:val="21"/>
                    </w:rPr>
                  </w:pPr>
                  <w:r>
                    <w:rPr>
                      <w:rFonts w:hint="eastAsia" w:eastAsiaTheme="minorEastAsia"/>
                      <w:bCs/>
                      <w:szCs w:val="21"/>
                    </w:rPr>
                    <w:t>全工序</w:t>
                  </w:r>
                </w:p>
              </w:tc>
              <w:tc>
                <w:tcPr>
                  <w:tcW w:w="739" w:type="pct"/>
                  <w:vAlign w:val="center"/>
                </w:tcPr>
                <w:p w14:paraId="0CB0098F">
                  <w:pPr>
                    <w:adjustRightInd w:val="0"/>
                    <w:snapToGrid w:val="0"/>
                    <w:jc w:val="center"/>
                    <w:rPr>
                      <w:rFonts w:eastAsiaTheme="minorEastAsia"/>
                      <w:bCs/>
                      <w:szCs w:val="21"/>
                    </w:rPr>
                  </w:pPr>
                  <w:r>
                    <w:rPr>
                      <w:rFonts w:hint="eastAsia" w:eastAsiaTheme="minorEastAsia"/>
                      <w:bCs/>
                      <w:szCs w:val="21"/>
                    </w:rPr>
                    <w:t>全工序</w:t>
                  </w:r>
                </w:p>
              </w:tc>
              <w:tc>
                <w:tcPr>
                  <w:tcW w:w="789" w:type="pct"/>
                  <w:vAlign w:val="center"/>
                </w:tcPr>
                <w:p w14:paraId="7629E4FF">
                  <w:pPr>
                    <w:adjustRightInd w:val="0"/>
                    <w:snapToGrid w:val="0"/>
                    <w:jc w:val="center"/>
                    <w:rPr>
                      <w:rFonts w:eastAsiaTheme="minorEastAsia"/>
                      <w:bCs/>
                      <w:szCs w:val="21"/>
                    </w:rPr>
                  </w:pPr>
                  <w:r>
                    <w:rPr>
                      <w:rFonts w:hint="eastAsia" w:eastAsiaTheme="minorEastAsia"/>
                      <w:bCs/>
                      <w:szCs w:val="21"/>
                    </w:rPr>
                    <w:t>废包装材料</w:t>
                  </w:r>
                </w:p>
              </w:tc>
              <w:tc>
                <w:tcPr>
                  <w:tcW w:w="542" w:type="pct"/>
                  <w:vMerge w:val="continue"/>
                  <w:vAlign w:val="center"/>
                </w:tcPr>
                <w:p w14:paraId="24D02E68">
                  <w:pPr>
                    <w:adjustRightInd w:val="0"/>
                    <w:snapToGrid w:val="0"/>
                    <w:jc w:val="center"/>
                    <w:rPr>
                      <w:rFonts w:eastAsiaTheme="minorEastAsia"/>
                      <w:bCs/>
                      <w:szCs w:val="21"/>
                    </w:rPr>
                  </w:pPr>
                </w:p>
              </w:tc>
              <w:tc>
                <w:tcPr>
                  <w:tcW w:w="691" w:type="pct"/>
                  <w:vAlign w:val="center"/>
                </w:tcPr>
                <w:p w14:paraId="48FEAACE">
                  <w:pPr>
                    <w:adjustRightInd w:val="0"/>
                    <w:snapToGrid w:val="0"/>
                    <w:jc w:val="center"/>
                    <w:rPr>
                      <w:rFonts w:eastAsiaTheme="minorEastAsia"/>
                      <w:bCs/>
                      <w:szCs w:val="21"/>
                    </w:rPr>
                  </w:pPr>
                  <w:r>
                    <w:rPr>
                      <w:rFonts w:hint="eastAsia" w:eastAsiaTheme="minorEastAsia"/>
                      <w:bCs/>
                      <w:szCs w:val="21"/>
                    </w:rPr>
                    <w:t>2</w:t>
                  </w:r>
                </w:p>
              </w:tc>
              <w:tc>
                <w:tcPr>
                  <w:tcW w:w="690" w:type="pct"/>
                  <w:vAlign w:val="center"/>
                </w:tcPr>
                <w:p w14:paraId="525A1800">
                  <w:pPr>
                    <w:adjustRightInd w:val="0"/>
                    <w:snapToGrid w:val="0"/>
                    <w:jc w:val="center"/>
                    <w:rPr>
                      <w:rFonts w:eastAsiaTheme="minorEastAsia"/>
                      <w:bCs/>
                      <w:szCs w:val="21"/>
                    </w:rPr>
                  </w:pPr>
                  <w:r>
                    <w:rPr>
                      <w:rFonts w:hint="eastAsia" w:eastAsiaTheme="minorEastAsia"/>
                      <w:bCs/>
                      <w:szCs w:val="21"/>
                    </w:rPr>
                    <w:t>2</w:t>
                  </w:r>
                </w:p>
              </w:tc>
              <w:tc>
                <w:tcPr>
                  <w:tcW w:w="910" w:type="pct"/>
                  <w:vMerge w:val="continue"/>
                  <w:vAlign w:val="center"/>
                </w:tcPr>
                <w:p w14:paraId="59E4762B">
                  <w:pPr>
                    <w:adjustRightInd w:val="0"/>
                    <w:snapToGrid w:val="0"/>
                    <w:jc w:val="center"/>
                    <w:rPr>
                      <w:rFonts w:eastAsiaTheme="minorEastAsia"/>
                      <w:bCs/>
                      <w:szCs w:val="21"/>
                    </w:rPr>
                  </w:pPr>
                </w:p>
              </w:tc>
            </w:tr>
            <w:tr w14:paraId="37C3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9" w:type="pct"/>
                  <w:gridSpan w:val="4"/>
                  <w:vAlign w:val="center"/>
                </w:tcPr>
                <w:p w14:paraId="53BF3792">
                  <w:pPr>
                    <w:adjustRightInd w:val="0"/>
                    <w:snapToGrid w:val="0"/>
                    <w:jc w:val="center"/>
                    <w:rPr>
                      <w:rFonts w:eastAsiaTheme="minorEastAsia"/>
                      <w:bCs/>
                      <w:szCs w:val="21"/>
                    </w:rPr>
                  </w:pPr>
                  <w:r>
                    <w:rPr>
                      <w:rFonts w:hint="eastAsia" w:eastAsiaTheme="minorEastAsia"/>
                      <w:bCs/>
                      <w:szCs w:val="21"/>
                    </w:rPr>
                    <w:t>小计</w:t>
                  </w:r>
                </w:p>
              </w:tc>
              <w:tc>
                <w:tcPr>
                  <w:tcW w:w="691" w:type="pct"/>
                  <w:vAlign w:val="center"/>
                </w:tcPr>
                <w:p w14:paraId="5339C7AB">
                  <w:pPr>
                    <w:adjustRightInd w:val="0"/>
                    <w:snapToGrid w:val="0"/>
                    <w:jc w:val="center"/>
                    <w:rPr>
                      <w:rFonts w:eastAsiaTheme="minorEastAsia"/>
                      <w:bCs/>
                      <w:szCs w:val="21"/>
                    </w:rPr>
                  </w:pPr>
                  <w:r>
                    <w:rPr>
                      <w:rFonts w:hint="eastAsia" w:eastAsiaTheme="minorEastAsia"/>
                      <w:bCs/>
                      <w:szCs w:val="21"/>
                    </w:rPr>
                    <w:t>106</w:t>
                  </w:r>
                </w:p>
              </w:tc>
              <w:tc>
                <w:tcPr>
                  <w:tcW w:w="690" w:type="pct"/>
                  <w:vAlign w:val="center"/>
                </w:tcPr>
                <w:p w14:paraId="478F041E">
                  <w:pPr>
                    <w:adjustRightInd w:val="0"/>
                    <w:snapToGrid w:val="0"/>
                    <w:jc w:val="center"/>
                    <w:rPr>
                      <w:rFonts w:eastAsiaTheme="minorEastAsia"/>
                      <w:bCs/>
                      <w:szCs w:val="21"/>
                    </w:rPr>
                  </w:pPr>
                  <w:r>
                    <w:rPr>
                      <w:rFonts w:hint="eastAsia" w:eastAsiaTheme="minorEastAsia"/>
                      <w:bCs/>
                      <w:szCs w:val="21"/>
                    </w:rPr>
                    <w:t>106</w:t>
                  </w:r>
                </w:p>
              </w:tc>
              <w:tc>
                <w:tcPr>
                  <w:tcW w:w="910" w:type="pct"/>
                  <w:vAlign w:val="center"/>
                </w:tcPr>
                <w:p w14:paraId="78217A78">
                  <w:pPr>
                    <w:adjustRightInd w:val="0"/>
                    <w:snapToGrid w:val="0"/>
                    <w:jc w:val="center"/>
                    <w:rPr>
                      <w:rFonts w:eastAsiaTheme="minorEastAsia"/>
                      <w:bCs/>
                      <w:szCs w:val="21"/>
                    </w:rPr>
                  </w:pPr>
                  <w:r>
                    <w:rPr>
                      <w:rFonts w:hint="eastAsia" w:eastAsiaTheme="minorEastAsia"/>
                      <w:bCs/>
                      <w:szCs w:val="21"/>
                    </w:rPr>
                    <w:t>/</w:t>
                  </w:r>
                </w:p>
              </w:tc>
            </w:tr>
            <w:tr w14:paraId="6E54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156E12D5">
                  <w:pPr>
                    <w:adjustRightInd w:val="0"/>
                    <w:snapToGrid w:val="0"/>
                    <w:jc w:val="center"/>
                    <w:rPr>
                      <w:rFonts w:eastAsiaTheme="minorEastAsia"/>
                      <w:bCs/>
                      <w:szCs w:val="21"/>
                    </w:rPr>
                  </w:pPr>
                  <w:r>
                    <w:rPr>
                      <w:rFonts w:hint="eastAsia" w:eastAsiaTheme="minorEastAsia"/>
                      <w:bCs/>
                      <w:szCs w:val="21"/>
                    </w:rPr>
                    <w:t>印刷</w:t>
                  </w:r>
                </w:p>
              </w:tc>
              <w:tc>
                <w:tcPr>
                  <w:tcW w:w="739" w:type="pct"/>
                  <w:vAlign w:val="center"/>
                </w:tcPr>
                <w:p w14:paraId="071B0DE9">
                  <w:pPr>
                    <w:adjustRightInd w:val="0"/>
                    <w:snapToGrid w:val="0"/>
                    <w:jc w:val="center"/>
                    <w:rPr>
                      <w:rFonts w:eastAsiaTheme="minorEastAsia"/>
                      <w:bCs/>
                      <w:szCs w:val="21"/>
                    </w:rPr>
                  </w:pPr>
                  <w:r>
                    <w:rPr>
                      <w:rFonts w:hint="eastAsia" w:eastAsiaTheme="minorEastAsia"/>
                      <w:bCs/>
                      <w:szCs w:val="21"/>
                    </w:rPr>
                    <w:t>印刷</w:t>
                  </w:r>
                </w:p>
              </w:tc>
              <w:tc>
                <w:tcPr>
                  <w:tcW w:w="789" w:type="pct"/>
                  <w:vAlign w:val="center"/>
                </w:tcPr>
                <w:p w14:paraId="3FAD555E">
                  <w:pPr>
                    <w:adjustRightInd w:val="0"/>
                    <w:snapToGrid w:val="0"/>
                    <w:jc w:val="center"/>
                    <w:rPr>
                      <w:rFonts w:eastAsiaTheme="minorEastAsia"/>
                      <w:bCs/>
                      <w:szCs w:val="21"/>
                    </w:rPr>
                  </w:pPr>
                  <w:r>
                    <w:rPr>
                      <w:rFonts w:hint="eastAsia" w:eastAsiaTheme="minorEastAsia"/>
                      <w:bCs/>
                      <w:szCs w:val="21"/>
                    </w:rPr>
                    <w:t>废润版液</w:t>
                  </w:r>
                </w:p>
              </w:tc>
              <w:tc>
                <w:tcPr>
                  <w:tcW w:w="542" w:type="pct"/>
                  <w:vMerge w:val="restart"/>
                  <w:vAlign w:val="center"/>
                </w:tcPr>
                <w:p w14:paraId="1C9519A8">
                  <w:pPr>
                    <w:adjustRightInd w:val="0"/>
                    <w:snapToGrid w:val="0"/>
                    <w:jc w:val="center"/>
                    <w:rPr>
                      <w:rFonts w:eastAsiaTheme="minorEastAsia"/>
                      <w:bCs/>
                      <w:szCs w:val="21"/>
                    </w:rPr>
                  </w:pPr>
                  <w:r>
                    <w:rPr>
                      <w:rFonts w:hint="eastAsia" w:eastAsiaTheme="minorEastAsia"/>
                      <w:bCs/>
                      <w:szCs w:val="21"/>
                    </w:rPr>
                    <w:t>危险废物</w:t>
                  </w:r>
                </w:p>
              </w:tc>
              <w:tc>
                <w:tcPr>
                  <w:tcW w:w="691" w:type="pct"/>
                  <w:vAlign w:val="center"/>
                </w:tcPr>
                <w:p w14:paraId="4A194F5E">
                  <w:pPr>
                    <w:adjustRightInd w:val="0"/>
                    <w:snapToGrid w:val="0"/>
                    <w:jc w:val="center"/>
                    <w:rPr>
                      <w:rFonts w:eastAsiaTheme="minorEastAsia"/>
                      <w:bCs/>
                      <w:szCs w:val="21"/>
                    </w:rPr>
                  </w:pPr>
                  <w:r>
                    <w:rPr>
                      <w:rFonts w:hint="eastAsia" w:eastAsiaTheme="minorEastAsia"/>
                      <w:bCs/>
                      <w:szCs w:val="21"/>
                    </w:rPr>
                    <w:t>1.6</w:t>
                  </w:r>
                </w:p>
              </w:tc>
              <w:tc>
                <w:tcPr>
                  <w:tcW w:w="690" w:type="pct"/>
                  <w:vAlign w:val="center"/>
                </w:tcPr>
                <w:p w14:paraId="3DAD45BC">
                  <w:pPr>
                    <w:adjustRightInd w:val="0"/>
                    <w:snapToGrid w:val="0"/>
                    <w:jc w:val="center"/>
                    <w:rPr>
                      <w:rFonts w:eastAsiaTheme="minorEastAsia"/>
                      <w:bCs/>
                      <w:szCs w:val="21"/>
                    </w:rPr>
                  </w:pPr>
                  <w:r>
                    <w:rPr>
                      <w:rFonts w:hint="eastAsia" w:eastAsiaTheme="minorEastAsia"/>
                      <w:bCs/>
                      <w:szCs w:val="21"/>
                    </w:rPr>
                    <w:t>1.6</w:t>
                  </w:r>
                </w:p>
              </w:tc>
              <w:tc>
                <w:tcPr>
                  <w:tcW w:w="910" w:type="pct"/>
                  <w:vMerge w:val="restart"/>
                  <w:vAlign w:val="center"/>
                </w:tcPr>
                <w:p w14:paraId="131A54F4">
                  <w:pPr>
                    <w:autoSpaceDE w:val="0"/>
                    <w:autoSpaceDN w:val="0"/>
                    <w:adjustRightInd w:val="0"/>
                    <w:jc w:val="left"/>
                    <w:rPr>
                      <w:rFonts w:eastAsiaTheme="minorEastAsia"/>
                      <w:bCs/>
                      <w:szCs w:val="21"/>
                    </w:rPr>
                  </w:pPr>
                  <w:r>
                    <w:rPr>
                      <w:rFonts w:hint="eastAsia" w:ascii="宋体" w:cs="宋体"/>
                      <w:kern w:val="0"/>
                      <w:szCs w:val="21"/>
                    </w:rPr>
                    <w:t>分类收集暂存于危废暂存间，定期交有相应危险废物处理资质的单位回收处理</w:t>
                  </w:r>
                </w:p>
              </w:tc>
            </w:tr>
            <w:tr w14:paraId="6731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26F3D2E3">
                  <w:pPr>
                    <w:adjustRightInd w:val="0"/>
                    <w:snapToGrid w:val="0"/>
                    <w:jc w:val="center"/>
                    <w:rPr>
                      <w:rFonts w:eastAsiaTheme="minorEastAsia"/>
                      <w:bCs/>
                      <w:szCs w:val="21"/>
                    </w:rPr>
                  </w:pPr>
                  <w:r>
                    <w:rPr>
                      <w:rFonts w:hint="eastAsia" w:eastAsiaTheme="minorEastAsia"/>
                      <w:bCs/>
                      <w:szCs w:val="21"/>
                    </w:rPr>
                    <w:t>清洁</w:t>
                  </w:r>
                </w:p>
              </w:tc>
              <w:tc>
                <w:tcPr>
                  <w:tcW w:w="739" w:type="pct"/>
                  <w:vAlign w:val="center"/>
                </w:tcPr>
                <w:p w14:paraId="2F470253">
                  <w:pPr>
                    <w:adjustRightInd w:val="0"/>
                    <w:snapToGrid w:val="0"/>
                    <w:jc w:val="center"/>
                    <w:rPr>
                      <w:rFonts w:eastAsiaTheme="minorEastAsia"/>
                      <w:bCs/>
                      <w:szCs w:val="21"/>
                    </w:rPr>
                  </w:pPr>
                  <w:r>
                    <w:rPr>
                      <w:rFonts w:hint="eastAsia" w:eastAsiaTheme="minorEastAsia"/>
                      <w:bCs/>
                      <w:szCs w:val="21"/>
                    </w:rPr>
                    <w:t>擦拭</w:t>
                  </w:r>
                </w:p>
              </w:tc>
              <w:tc>
                <w:tcPr>
                  <w:tcW w:w="789" w:type="pct"/>
                  <w:vAlign w:val="center"/>
                </w:tcPr>
                <w:p w14:paraId="45CF41F6">
                  <w:pPr>
                    <w:adjustRightInd w:val="0"/>
                    <w:snapToGrid w:val="0"/>
                    <w:jc w:val="center"/>
                    <w:rPr>
                      <w:rFonts w:eastAsiaTheme="minorEastAsia"/>
                      <w:bCs/>
                      <w:szCs w:val="21"/>
                    </w:rPr>
                  </w:pPr>
                  <w:r>
                    <w:rPr>
                      <w:rFonts w:hint="eastAsia" w:eastAsiaTheme="minorEastAsia"/>
                      <w:bCs/>
                      <w:szCs w:val="21"/>
                    </w:rPr>
                    <w:t>废棉纱布</w:t>
                  </w:r>
                </w:p>
              </w:tc>
              <w:tc>
                <w:tcPr>
                  <w:tcW w:w="542" w:type="pct"/>
                  <w:vMerge w:val="continue"/>
                  <w:vAlign w:val="center"/>
                </w:tcPr>
                <w:p w14:paraId="509FE3BC">
                  <w:pPr>
                    <w:adjustRightInd w:val="0"/>
                    <w:snapToGrid w:val="0"/>
                    <w:jc w:val="center"/>
                    <w:rPr>
                      <w:rFonts w:eastAsiaTheme="minorEastAsia"/>
                      <w:bCs/>
                      <w:szCs w:val="21"/>
                    </w:rPr>
                  </w:pPr>
                </w:p>
              </w:tc>
              <w:tc>
                <w:tcPr>
                  <w:tcW w:w="691" w:type="pct"/>
                  <w:vAlign w:val="center"/>
                </w:tcPr>
                <w:p w14:paraId="04906A0B">
                  <w:pPr>
                    <w:adjustRightInd w:val="0"/>
                    <w:snapToGrid w:val="0"/>
                    <w:jc w:val="center"/>
                    <w:rPr>
                      <w:rFonts w:eastAsiaTheme="minorEastAsia"/>
                      <w:bCs/>
                      <w:szCs w:val="21"/>
                    </w:rPr>
                  </w:pPr>
                  <w:r>
                    <w:rPr>
                      <w:rFonts w:hint="eastAsia" w:eastAsiaTheme="minorEastAsia"/>
                      <w:bCs/>
                      <w:szCs w:val="21"/>
                    </w:rPr>
                    <w:t>0.2</w:t>
                  </w:r>
                </w:p>
              </w:tc>
              <w:tc>
                <w:tcPr>
                  <w:tcW w:w="690" w:type="pct"/>
                  <w:vAlign w:val="center"/>
                </w:tcPr>
                <w:p w14:paraId="189F79F9">
                  <w:pPr>
                    <w:adjustRightInd w:val="0"/>
                    <w:snapToGrid w:val="0"/>
                    <w:jc w:val="center"/>
                    <w:rPr>
                      <w:rFonts w:eastAsiaTheme="minorEastAsia"/>
                      <w:bCs/>
                      <w:szCs w:val="21"/>
                    </w:rPr>
                  </w:pPr>
                  <w:r>
                    <w:rPr>
                      <w:rFonts w:hint="eastAsia" w:eastAsiaTheme="minorEastAsia"/>
                      <w:bCs/>
                      <w:szCs w:val="21"/>
                    </w:rPr>
                    <w:t>0.2</w:t>
                  </w:r>
                </w:p>
              </w:tc>
              <w:tc>
                <w:tcPr>
                  <w:tcW w:w="910" w:type="pct"/>
                  <w:vMerge w:val="continue"/>
                  <w:vAlign w:val="center"/>
                </w:tcPr>
                <w:p w14:paraId="5100ADB6">
                  <w:pPr>
                    <w:adjustRightInd w:val="0"/>
                    <w:snapToGrid w:val="0"/>
                    <w:jc w:val="center"/>
                    <w:rPr>
                      <w:rFonts w:eastAsiaTheme="minorEastAsia"/>
                      <w:bCs/>
                      <w:szCs w:val="21"/>
                    </w:rPr>
                  </w:pPr>
                </w:p>
              </w:tc>
            </w:tr>
            <w:tr w14:paraId="4309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296C631F">
                  <w:pPr>
                    <w:adjustRightInd w:val="0"/>
                    <w:snapToGrid w:val="0"/>
                    <w:jc w:val="center"/>
                    <w:rPr>
                      <w:rFonts w:eastAsiaTheme="minorEastAsia"/>
                      <w:bCs/>
                      <w:szCs w:val="21"/>
                    </w:rPr>
                  </w:pPr>
                  <w:r>
                    <w:rPr>
                      <w:rFonts w:hint="eastAsia" w:eastAsiaTheme="minorEastAsia"/>
                      <w:bCs/>
                      <w:szCs w:val="21"/>
                    </w:rPr>
                    <w:t>全工序</w:t>
                  </w:r>
                </w:p>
              </w:tc>
              <w:tc>
                <w:tcPr>
                  <w:tcW w:w="739" w:type="pct"/>
                  <w:vAlign w:val="center"/>
                </w:tcPr>
                <w:p w14:paraId="75B8B64F">
                  <w:pPr>
                    <w:adjustRightInd w:val="0"/>
                    <w:snapToGrid w:val="0"/>
                    <w:jc w:val="center"/>
                    <w:rPr>
                      <w:rFonts w:eastAsiaTheme="minorEastAsia"/>
                      <w:bCs/>
                      <w:szCs w:val="21"/>
                    </w:rPr>
                  </w:pPr>
                  <w:r>
                    <w:rPr>
                      <w:rFonts w:hint="eastAsia" w:eastAsiaTheme="minorEastAsia"/>
                      <w:bCs/>
                      <w:szCs w:val="21"/>
                    </w:rPr>
                    <w:t>全工序</w:t>
                  </w:r>
                </w:p>
              </w:tc>
              <w:tc>
                <w:tcPr>
                  <w:tcW w:w="789" w:type="pct"/>
                  <w:vAlign w:val="center"/>
                </w:tcPr>
                <w:p w14:paraId="42C76574">
                  <w:pPr>
                    <w:adjustRightInd w:val="0"/>
                    <w:snapToGrid w:val="0"/>
                    <w:jc w:val="center"/>
                    <w:rPr>
                      <w:rFonts w:eastAsiaTheme="minorEastAsia"/>
                      <w:bCs/>
                      <w:szCs w:val="21"/>
                    </w:rPr>
                  </w:pPr>
                  <w:r>
                    <w:rPr>
                      <w:rFonts w:hint="eastAsia" w:eastAsiaTheme="minorEastAsia"/>
                      <w:bCs/>
                      <w:szCs w:val="21"/>
                    </w:rPr>
                    <w:t>废包装桶</w:t>
                  </w:r>
                </w:p>
              </w:tc>
              <w:tc>
                <w:tcPr>
                  <w:tcW w:w="542" w:type="pct"/>
                  <w:vMerge w:val="continue"/>
                  <w:vAlign w:val="center"/>
                </w:tcPr>
                <w:p w14:paraId="6A4EE0A5">
                  <w:pPr>
                    <w:adjustRightInd w:val="0"/>
                    <w:snapToGrid w:val="0"/>
                    <w:jc w:val="center"/>
                    <w:rPr>
                      <w:rFonts w:eastAsiaTheme="minorEastAsia"/>
                      <w:bCs/>
                      <w:szCs w:val="21"/>
                    </w:rPr>
                  </w:pPr>
                </w:p>
              </w:tc>
              <w:tc>
                <w:tcPr>
                  <w:tcW w:w="691" w:type="pct"/>
                  <w:vAlign w:val="center"/>
                </w:tcPr>
                <w:p w14:paraId="4F213E12">
                  <w:pPr>
                    <w:adjustRightInd w:val="0"/>
                    <w:snapToGrid w:val="0"/>
                    <w:jc w:val="center"/>
                    <w:rPr>
                      <w:rFonts w:eastAsiaTheme="minorEastAsia"/>
                      <w:bCs/>
                      <w:szCs w:val="21"/>
                    </w:rPr>
                  </w:pPr>
                  <w:r>
                    <w:rPr>
                      <w:rFonts w:hint="eastAsia" w:eastAsiaTheme="minorEastAsia"/>
                      <w:bCs/>
                      <w:szCs w:val="21"/>
                    </w:rPr>
                    <w:t>22.235</w:t>
                  </w:r>
                </w:p>
              </w:tc>
              <w:tc>
                <w:tcPr>
                  <w:tcW w:w="690" w:type="pct"/>
                  <w:vAlign w:val="center"/>
                </w:tcPr>
                <w:p w14:paraId="04F19DB2">
                  <w:pPr>
                    <w:adjustRightInd w:val="0"/>
                    <w:snapToGrid w:val="0"/>
                    <w:jc w:val="center"/>
                    <w:rPr>
                      <w:rFonts w:eastAsiaTheme="minorEastAsia"/>
                      <w:bCs/>
                      <w:szCs w:val="21"/>
                    </w:rPr>
                  </w:pPr>
                  <w:r>
                    <w:rPr>
                      <w:rFonts w:hint="eastAsia" w:eastAsiaTheme="minorEastAsia"/>
                      <w:bCs/>
                      <w:szCs w:val="21"/>
                    </w:rPr>
                    <w:t>22.235</w:t>
                  </w:r>
                </w:p>
              </w:tc>
              <w:tc>
                <w:tcPr>
                  <w:tcW w:w="910" w:type="pct"/>
                  <w:vMerge w:val="continue"/>
                  <w:vAlign w:val="center"/>
                </w:tcPr>
                <w:p w14:paraId="29F2133F">
                  <w:pPr>
                    <w:adjustRightInd w:val="0"/>
                    <w:snapToGrid w:val="0"/>
                    <w:jc w:val="center"/>
                    <w:rPr>
                      <w:rFonts w:eastAsiaTheme="minorEastAsia"/>
                      <w:bCs/>
                      <w:szCs w:val="21"/>
                    </w:rPr>
                  </w:pPr>
                </w:p>
              </w:tc>
            </w:tr>
            <w:tr w14:paraId="31B3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9" w:type="pct"/>
                  <w:vAlign w:val="center"/>
                </w:tcPr>
                <w:p w14:paraId="05E43C8E">
                  <w:pPr>
                    <w:adjustRightInd w:val="0"/>
                    <w:snapToGrid w:val="0"/>
                    <w:jc w:val="center"/>
                    <w:rPr>
                      <w:rFonts w:eastAsiaTheme="minorEastAsia"/>
                      <w:bCs/>
                      <w:szCs w:val="21"/>
                    </w:rPr>
                  </w:pPr>
                  <w:r>
                    <w:rPr>
                      <w:rFonts w:hint="eastAsia" w:eastAsiaTheme="minorEastAsia"/>
                      <w:bCs/>
                      <w:szCs w:val="21"/>
                    </w:rPr>
                    <w:t>制版</w:t>
                  </w:r>
                </w:p>
              </w:tc>
              <w:tc>
                <w:tcPr>
                  <w:tcW w:w="739" w:type="pct"/>
                  <w:vAlign w:val="center"/>
                </w:tcPr>
                <w:p w14:paraId="52328776">
                  <w:pPr>
                    <w:adjustRightInd w:val="0"/>
                    <w:snapToGrid w:val="0"/>
                    <w:jc w:val="center"/>
                    <w:rPr>
                      <w:rFonts w:eastAsiaTheme="minorEastAsia"/>
                      <w:bCs/>
                      <w:szCs w:val="21"/>
                    </w:rPr>
                  </w:pPr>
                  <w:r>
                    <w:rPr>
                      <w:rFonts w:hint="eastAsia" w:eastAsiaTheme="minorEastAsia"/>
                      <w:bCs/>
                      <w:szCs w:val="21"/>
                    </w:rPr>
                    <w:t>制版机</w:t>
                  </w:r>
                </w:p>
              </w:tc>
              <w:tc>
                <w:tcPr>
                  <w:tcW w:w="789" w:type="pct"/>
                  <w:vAlign w:val="center"/>
                </w:tcPr>
                <w:p w14:paraId="0B81BC31">
                  <w:pPr>
                    <w:adjustRightInd w:val="0"/>
                    <w:snapToGrid w:val="0"/>
                    <w:jc w:val="center"/>
                    <w:rPr>
                      <w:rFonts w:eastAsiaTheme="minorEastAsia"/>
                      <w:bCs/>
                      <w:szCs w:val="21"/>
                    </w:rPr>
                  </w:pPr>
                  <w:r>
                    <w:rPr>
                      <w:rFonts w:hint="eastAsia" w:eastAsiaTheme="minorEastAsia"/>
                      <w:bCs/>
                      <w:szCs w:val="21"/>
                    </w:rPr>
                    <w:t>废CTP版</w:t>
                  </w:r>
                </w:p>
              </w:tc>
              <w:tc>
                <w:tcPr>
                  <w:tcW w:w="542" w:type="pct"/>
                  <w:vMerge w:val="continue"/>
                  <w:vAlign w:val="center"/>
                </w:tcPr>
                <w:p w14:paraId="322B3505">
                  <w:pPr>
                    <w:adjustRightInd w:val="0"/>
                    <w:snapToGrid w:val="0"/>
                    <w:jc w:val="center"/>
                    <w:rPr>
                      <w:rFonts w:eastAsiaTheme="minorEastAsia"/>
                      <w:bCs/>
                      <w:szCs w:val="21"/>
                    </w:rPr>
                  </w:pPr>
                </w:p>
              </w:tc>
              <w:tc>
                <w:tcPr>
                  <w:tcW w:w="691" w:type="pct"/>
                  <w:vAlign w:val="center"/>
                </w:tcPr>
                <w:p w14:paraId="22AC1BFD">
                  <w:pPr>
                    <w:adjustRightInd w:val="0"/>
                    <w:snapToGrid w:val="0"/>
                    <w:jc w:val="center"/>
                    <w:rPr>
                      <w:rFonts w:eastAsiaTheme="minorEastAsia"/>
                      <w:bCs/>
                      <w:szCs w:val="21"/>
                    </w:rPr>
                  </w:pPr>
                  <w:r>
                    <w:rPr>
                      <w:rFonts w:hint="eastAsia" w:eastAsiaTheme="minorEastAsia"/>
                      <w:bCs/>
                      <w:szCs w:val="21"/>
                    </w:rPr>
                    <w:t>1</w:t>
                  </w:r>
                </w:p>
              </w:tc>
              <w:tc>
                <w:tcPr>
                  <w:tcW w:w="690" w:type="pct"/>
                  <w:vAlign w:val="center"/>
                </w:tcPr>
                <w:p w14:paraId="26FCEE0D">
                  <w:pPr>
                    <w:adjustRightInd w:val="0"/>
                    <w:snapToGrid w:val="0"/>
                    <w:jc w:val="center"/>
                    <w:rPr>
                      <w:rFonts w:eastAsiaTheme="minorEastAsia"/>
                      <w:bCs/>
                      <w:szCs w:val="21"/>
                    </w:rPr>
                  </w:pPr>
                  <w:r>
                    <w:rPr>
                      <w:rFonts w:hint="eastAsia" w:eastAsiaTheme="minorEastAsia"/>
                      <w:bCs/>
                      <w:szCs w:val="21"/>
                    </w:rPr>
                    <w:t>1</w:t>
                  </w:r>
                </w:p>
              </w:tc>
              <w:tc>
                <w:tcPr>
                  <w:tcW w:w="910" w:type="pct"/>
                  <w:vMerge w:val="continue"/>
                  <w:vAlign w:val="center"/>
                </w:tcPr>
                <w:p w14:paraId="5116CB53">
                  <w:pPr>
                    <w:adjustRightInd w:val="0"/>
                    <w:snapToGrid w:val="0"/>
                    <w:jc w:val="center"/>
                    <w:rPr>
                      <w:rFonts w:eastAsiaTheme="minorEastAsia"/>
                      <w:bCs/>
                      <w:szCs w:val="21"/>
                    </w:rPr>
                  </w:pPr>
                </w:p>
              </w:tc>
            </w:tr>
            <w:tr w14:paraId="2D5F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5BEF1763">
                  <w:pPr>
                    <w:adjustRightInd w:val="0"/>
                    <w:snapToGrid w:val="0"/>
                    <w:jc w:val="center"/>
                    <w:rPr>
                      <w:rFonts w:eastAsiaTheme="minorEastAsia"/>
                      <w:bCs/>
                      <w:szCs w:val="21"/>
                    </w:rPr>
                  </w:pPr>
                  <w:r>
                    <w:rPr>
                      <w:rFonts w:hint="eastAsia" w:eastAsiaTheme="minorEastAsia"/>
                      <w:bCs/>
                      <w:szCs w:val="21"/>
                    </w:rPr>
                    <w:t>设备润滑</w:t>
                  </w:r>
                </w:p>
              </w:tc>
              <w:tc>
                <w:tcPr>
                  <w:tcW w:w="739" w:type="pct"/>
                  <w:vAlign w:val="center"/>
                </w:tcPr>
                <w:p w14:paraId="7B861A88">
                  <w:pPr>
                    <w:adjustRightInd w:val="0"/>
                    <w:snapToGrid w:val="0"/>
                    <w:jc w:val="center"/>
                    <w:rPr>
                      <w:rFonts w:eastAsiaTheme="minorEastAsia"/>
                      <w:bCs/>
                      <w:szCs w:val="21"/>
                    </w:rPr>
                  </w:pPr>
                  <w:r>
                    <w:rPr>
                      <w:rFonts w:hint="eastAsia" w:eastAsiaTheme="minorEastAsia"/>
                      <w:bCs/>
                      <w:szCs w:val="21"/>
                    </w:rPr>
                    <w:t>设备润滑</w:t>
                  </w:r>
                </w:p>
              </w:tc>
              <w:tc>
                <w:tcPr>
                  <w:tcW w:w="789" w:type="pct"/>
                  <w:vAlign w:val="center"/>
                </w:tcPr>
                <w:p w14:paraId="4C379DE8">
                  <w:pPr>
                    <w:adjustRightInd w:val="0"/>
                    <w:snapToGrid w:val="0"/>
                    <w:jc w:val="center"/>
                    <w:rPr>
                      <w:rFonts w:eastAsiaTheme="minorEastAsia"/>
                      <w:bCs/>
                      <w:szCs w:val="21"/>
                    </w:rPr>
                  </w:pPr>
                  <w:r>
                    <w:rPr>
                      <w:rFonts w:hint="eastAsia" w:eastAsiaTheme="minorEastAsia"/>
                      <w:bCs/>
                      <w:szCs w:val="21"/>
                    </w:rPr>
                    <w:t>废润滑油</w:t>
                  </w:r>
                </w:p>
              </w:tc>
              <w:tc>
                <w:tcPr>
                  <w:tcW w:w="542" w:type="pct"/>
                  <w:vMerge w:val="continue"/>
                  <w:vAlign w:val="center"/>
                </w:tcPr>
                <w:p w14:paraId="2803209A">
                  <w:pPr>
                    <w:adjustRightInd w:val="0"/>
                    <w:snapToGrid w:val="0"/>
                    <w:jc w:val="center"/>
                    <w:rPr>
                      <w:rFonts w:eastAsiaTheme="minorEastAsia"/>
                      <w:bCs/>
                      <w:szCs w:val="21"/>
                    </w:rPr>
                  </w:pPr>
                </w:p>
              </w:tc>
              <w:tc>
                <w:tcPr>
                  <w:tcW w:w="691" w:type="pct"/>
                  <w:vAlign w:val="center"/>
                </w:tcPr>
                <w:p w14:paraId="051DCCC6">
                  <w:pPr>
                    <w:adjustRightInd w:val="0"/>
                    <w:snapToGrid w:val="0"/>
                    <w:jc w:val="center"/>
                    <w:rPr>
                      <w:rFonts w:eastAsiaTheme="minorEastAsia"/>
                      <w:bCs/>
                      <w:szCs w:val="21"/>
                    </w:rPr>
                  </w:pPr>
                  <w:r>
                    <w:rPr>
                      <w:rFonts w:hint="eastAsia" w:eastAsiaTheme="minorEastAsia"/>
                      <w:bCs/>
                      <w:szCs w:val="21"/>
                    </w:rPr>
                    <w:t>0.136</w:t>
                  </w:r>
                </w:p>
              </w:tc>
              <w:tc>
                <w:tcPr>
                  <w:tcW w:w="690" w:type="pct"/>
                  <w:vAlign w:val="center"/>
                </w:tcPr>
                <w:p w14:paraId="037F6A71">
                  <w:pPr>
                    <w:adjustRightInd w:val="0"/>
                    <w:snapToGrid w:val="0"/>
                    <w:jc w:val="center"/>
                    <w:rPr>
                      <w:rFonts w:eastAsiaTheme="minorEastAsia"/>
                      <w:bCs/>
                      <w:szCs w:val="21"/>
                    </w:rPr>
                  </w:pPr>
                  <w:r>
                    <w:rPr>
                      <w:rFonts w:hint="eastAsia" w:eastAsiaTheme="minorEastAsia"/>
                      <w:bCs/>
                      <w:szCs w:val="21"/>
                    </w:rPr>
                    <w:t>0.136</w:t>
                  </w:r>
                </w:p>
              </w:tc>
              <w:tc>
                <w:tcPr>
                  <w:tcW w:w="910" w:type="pct"/>
                  <w:vMerge w:val="continue"/>
                  <w:vAlign w:val="center"/>
                </w:tcPr>
                <w:p w14:paraId="7702C590">
                  <w:pPr>
                    <w:adjustRightInd w:val="0"/>
                    <w:snapToGrid w:val="0"/>
                    <w:jc w:val="center"/>
                    <w:rPr>
                      <w:rFonts w:eastAsiaTheme="minorEastAsia"/>
                      <w:bCs/>
                      <w:szCs w:val="21"/>
                    </w:rPr>
                  </w:pPr>
                </w:p>
              </w:tc>
            </w:tr>
            <w:tr w14:paraId="06BA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090D6572">
                  <w:pPr>
                    <w:adjustRightInd w:val="0"/>
                    <w:snapToGrid w:val="0"/>
                    <w:jc w:val="center"/>
                    <w:rPr>
                      <w:rFonts w:eastAsiaTheme="minorEastAsia"/>
                      <w:bCs/>
                      <w:szCs w:val="21"/>
                    </w:rPr>
                  </w:pPr>
                  <w:r>
                    <w:rPr>
                      <w:rFonts w:hint="eastAsia" w:eastAsiaTheme="minorEastAsia"/>
                      <w:bCs/>
                      <w:szCs w:val="21"/>
                    </w:rPr>
                    <w:t>废气处理</w:t>
                  </w:r>
                </w:p>
              </w:tc>
              <w:tc>
                <w:tcPr>
                  <w:tcW w:w="739" w:type="pct"/>
                  <w:vAlign w:val="center"/>
                </w:tcPr>
                <w:p w14:paraId="525DA58F">
                  <w:pPr>
                    <w:adjustRightInd w:val="0"/>
                    <w:snapToGrid w:val="0"/>
                    <w:jc w:val="center"/>
                    <w:rPr>
                      <w:rFonts w:eastAsiaTheme="minorEastAsia"/>
                      <w:bCs/>
                      <w:szCs w:val="21"/>
                    </w:rPr>
                  </w:pPr>
                  <w:r>
                    <w:rPr>
                      <w:rFonts w:hint="eastAsia" w:eastAsiaTheme="minorEastAsia"/>
                      <w:bCs/>
                      <w:szCs w:val="21"/>
                    </w:rPr>
                    <w:t>废气处理设施</w:t>
                  </w:r>
                </w:p>
              </w:tc>
              <w:tc>
                <w:tcPr>
                  <w:tcW w:w="789" w:type="pct"/>
                  <w:vAlign w:val="center"/>
                </w:tcPr>
                <w:p w14:paraId="69ECCB75">
                  <w:pPr>
                    <w:adjustRightInd w:val="0"/>
                    <w:snapToGrid w:val="0"/>
                    <w:jc w:val="center"/>
                    <w:rPr>
                      <w:rFonts w:eastAsiaTheme="minorEastAsia"/>
                      <w:bCs/>
                      <w:szCs w:val="21"/>
                    </w:rPr>
                  </w:pPr>
                  <w:r>
                    <w:rPr>
                      <w:rFonts w:hint="eastAsia" w:eastAsiaTheme="minorEastAsia"/>
                      <w:bCs/>
                      <w:szCs w:val="21"/>
                    </w:rPr>
                    <w:t>废活性炭</w:t>
                  </w:r>
                </w:p>
              </w:tc>
              <w:tc>
                <w:tcPr>
                  <w:tcW w:w="542" w:type="pct"/>
                  <w:vMerge w:val="continue"/>
                  <w:vAlign w:val="center"/>
                </w:tcPr>
                <w:p w14:paraId="15E22B9E">
                  <w:pPr>
                    <w:adjustRightInd w:val="0"/>
                    <w:snapToGrid w:val="0"/>
                    <w:jc w:val="center"/>
                    <w:rPr>
                      <w:rFonts w:eastAsiaTheme="minorEastAsia"/>
                      <w:bCs/>
                      <w:szCs w:val="21"/>
                    </w:rPr>
                  </w:pPr>
                </w:p>
              </w:tc>
              <w:tc>
                <w:tcPr>
                  <w:tcW w:w="691" w:type="pct"/>
                  <w:vAlign w:val="center"/>
                </w:tcPr>
                <w:p w14:paraId="2D5C58F1">
                  <w:pPr>
                    <w:adjustRightInd w:val="0"/>
                    <w:snapToGrid w:val="0"/>
                    <w:jc w:val="center"/>
                    <w:rPr>
                      <w:rFonts w:eastAsiaTheme="minorEastAsia"/>
                      <w:bCs/>
                      <w:szCs w:val="21"/>
                    </w:rPr>
                  </w:pPr>
                  <w:r>
                    <w:rPr>
                      <w:rFonts w:hint="eastAsia" w:eastAsiaTheme="minorEastAsia"/>
                      <w:bCs/>
                      <w:szCs w:val="21"/>
                    </w:rPr>
                    <w:t>3.82</w:t>
                  </w:r>
                </w:p>
              </w:tc>
              <w:tc>
                <w:tcPr>
                  <w:tcW w:w="690" w:type="pct"/>
                  <w:vAlign w:val="center"/>
                </w:tcPr>
                <w:p w14:paraId="5E1F984C">
                  <w:pPr>
                    <w:adjustRightInd w:val="0"/>
                    <w:snapToGrid w:val="0"/>
                    <w:jc w:val="center"/>
                    <w:rPr>
                      <w:rFonts w:eastAsiaTheme="minorEastAsia"/>
                      <w:bCs/>
                      <w:szCs w:val="21"/>
                    </w:rPr>
                  </w:pPr>
                  <w:r>
                    <w:rPr>
                      <w:rFonts w:hint="eastAsia" w:eastAsiaTheme="minorEastAsia"/>
                      <w:bCs/>
                      <w:szCs w:val="21"/>
                    </w:rPr>
                    <w:t>3.82</w:t>
                  </w:r>
                </w:p>
              </w:tc>
              <w:tc>
                <w:tcPr>
                  <w:tcW w:w="910" w:type="pct"/>
                  <w:vMerge w:val="continue"/>
                  <w:vAlign w:val="center"/>
                </w:tcPr>
                <w:p w14:paraId="3ED8D655">
                  <w:pPr>
                    <w:adjustRightInd w:val="0"/>
                    <w:snapToGrid w:val="0"/>
                    <w:jc w:val="center"/>
                    <w:rPr>
                      <w:rFonts w:eastAsiaTheme="minorEastAsia"/>
                      <w:bCs/>
                      <w:szCs w:val="21"/>
                    </w:rPr>
                  </w:pPr>
                </w:p>
              </w:tc>
            </w:tr>
            <w:tr w14:paraId="2B8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pct"/>
                  <w:gridSpan w:val="4"/>
                  <w:vAlign w:val="center"/>
                </w:tcPr>
                <w:p w14:paraId="6F59AB94">
                  <w:pPr>
                    <w:adjustRightInd w:val="0"/>
                    <w:snapToGrid w:val="0"/>
                    <w:jc w:val="center"/>
                    <w:rPr>
                      <w:rFonts w:eastAsiaTheme="minorEastAsia"/>
                      <w:bCs/>
                      <w:szCs w:val="21"/>
                    </w:rPr>
                  </w:pPr>
                  <w:r>
                    <w:rPr>
                      <w:rFonts w:hint="eastAsia" w:eastAsiaTheme="minorEastAsia"/>
                      <w:bCs/>
                      <w:szCs w:val="21"/>
                    </w:rPr>
                    <w:t>小计</w:t>
                  </w:r>
                </w:p>
              </w:tc>
              <w:tc>
                <w:tcPr>
                  <w:tcW w:w="691" w:type="pct"/>
                  <w:vAlign w:val="center"/>
                </w:tcPr>
                <w:p w14:paraId="558FC59A">
                  <w:pPr>
                    <w:adjustRightInd w:val="0"/>
                    <w:snapToGrid w:val="0"/>
                    <w:jc w:val="center"/>
                    <w:rPr>
                      <w:rFonts w:eastAsiaTheme="minorEastAsia"/>
                      <w:bCs/>
                      <w:szCs w:val="21"/>
                    </w:rPr>
                  </w:pPr>
                  <w:r>
                    <w:rPr>
                      <w:rFonts w:hint="eastAsia" w:eastAsiaTheme="minorEastAsia"/>
                      <w:bCs/>
                      <w:szCs w:val="21"/>
                    </w:rPr>
                    <w:t>28.991</w:t>
                  </w:r>
                </w:p>
              </w:tc>
              <w:tc>
                <w:tcPr>
                  <w:tcW w:w="690" w:type="pct"/>
                  <w:vAlign w:val="center"/>
                </w:tcPr>
                <w:p w14:paraId="791E42E9">
                  <w:pPr>
                    <w:adjustRightInd w:val="0"/>
                    <w:snapToGrid w:val="0"/>
                    <w:jc w:val="center"/>
                    <w:rPr>
                      <w:rFonts w:eastAsiaTheme="minorEastAsia"/>
                      <w:bCs/>
                      <w:szCs w:val="21"/>
                    </w:rPr>
                  </w:pPr>
                  <w:r>
                    <w:rPr>
                      <w:rFonts w:hint="eastAsia" w:eastAsiaTheme="minorEastAsia"/>
                      <w:bCs/>
                      <w:szCs w:val="21"/>
                    </w:rPr>
                    <w:t>28.991</w:t>
                  </w:r>
                </w:p>
              </w:tc>
              <w:tc>
                <w:tcPr>
                  <w:tcW w:w="910" w:type="pct"/>
                  <w:vAlign w:val="center"/>
                </w:tcPr>
                <w:p w14:paraId="11098060">
                  <w:pPr>
                    <w:adjustRightInd w:val="0"/>
                    <w:snapToGrid w:val="0"/>
                    <w:jc w:val="center"/>
                    <w:rPr>
                      <w:rFonts w:eastAsiaTheme="minorEastAsia"/>
                      <w:bCs/>
                      <w:szCs w:val="21"/>
                    </w:rPr>
                  </w:pPr>
                  <w:r>
                    <w:rPr>
                      <w:rFonts w:hint="eastAsia" w:eastAsiaTheme="minorEastAsia"/>
                      <w:bCs/>
                      <w:szCs w:val="21"/>
                    </w:rPr>
                    <w:t>/</w:t>
                  </w:r>
                </w:p>
              </w:tc>
            </w:tr>
            <w:tr w14:paraId="6CBD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6022E7A7">
                  <w:pPr>
                    <w:adjustRightInd w:val="0"/>
                    <w:snapToGrid w:val="0"/>
                    <w:jc w:val="center"/>
                    <w:rPr>
                      <w:rFonts w:eastAsiaTheme="minorEastAsia"/>
                      <w:bCs/>
                      <w:szCs w:val="21"/>
                    </w:rPr>
                  </w:pPr>
                  <w:r>
                    <w:rPr>
                      <w:rFonts w:hint="eastAsia" w:eastAsiaTheme="minorEastAsia"/>
                      <w:bCs/>
                      <w:szCs w:val="21"/>
                    </w:rPr>
                    <w:t>职工生活</w:t>
                  </w:r>
                </w:p>
              </w:tc>
              <w:tc>
                <w:tcPr>
                  <w:tcW w:w="739" w:type="pct"/>
                  <w:vAlign w:val="center"/>
                </w:tcPr>
                <w:p w14:paraId="39BDD58E">
                  <w:pPr>
                    <w:adjustRightInd w:val="0"/>
                    <w:snapToGrid w:val="0"/>
                    <w:jc w:val="center"/>
                    <w:rPr>
                      <w:rFonts w:eastAsiaTheme="minorEastAsia"/>
                      <w:bCs/>
                      <w:szCs w:val="21"/>
                    </w:rPr>
                  </w:pPr>
                  <w:r>
                    <w:rPr>
                      <w:rFonts w:hint="eastAsia" w:eastAsiaTheme="minorEastAsia"/>
                      <w:bCs/>
                      <w:szCs w:val="21"/>
                    </w:rPr>
                    <w:t>职工</w:t>
                  </w:r>
                </w:p>
              </w:tc>
              <w:tc>
                <w:tcPr>
                  <w:tcW w:w="789" w:type="pct"/>
                  <w:vAlign w:val="center"/>
                </w:tcPr>
                <w:p w14:paraId="75EBB948">
                  <w:pPr>
                    <w:adjustRightInd w:val="0"/>
                    <w:snapToGrid w:val="0"/>
                    <w:jc w:val="center"/>
                    <w:rPr>
                      <w:rFonts w:eastAsiaTheme="minorEastAsia"/>
                      <w:bCs/>
                      <w:szCs w:val="21"/>
                    </w:rPr>
                  </w:pPr>
                  <w:r>
                    <w:rPr>
                      <w:rFonts w:hint="eastAsia" w:eastAsiaTheme="minorEastAsia"/>
                      <w:bCs/>
                      <w:szCs w:val="21"/>
                    </w:rPr>
                    <w:t>生活垃圾</w:t>
                  </w:r>
                </w:p>
              </w:tc>
              <w:tc>
                <w:tcPr>
                  <w:tcW w:w="542" w:type="pct"/>
                  <w:vAlign w:val="center"/>
                </w:tcPr>
                <w:p w14:paraId="6800916B">
                  <w:pPr>
                    <w:adjustRightInd w:val="0"/>
                    <w:snapToGrid w:val="0"/>
                    <w:jc w:val="center"/>
                    <w:rPr>
                      <w:rFonts w:eastAsiaTheme="minorEastAsia"/>
                      <w:bCs/>
                      <w:szCs w:val="21"/>
                    </w:rPr>
                  </w:pPr>
                  <w:r>
                    <w:rPr>
                      <w:rFonts w:hint="eastAsia" w:eastAsiaTheme="minorEastAsia"/>
                      <w:bCs/>
                      <w:szCs w:val="21"/>
                    </w:rPr>
                    <w:t>/</w:t>
                  </w:r>
                </w:p>
              </w:tc>
              <w:tc>
                <w:tcPr>
                  <w:tcW w:w="691" w:type="pct"/>
                  <w:vAlign w:val="center"/>
                </w:tcPr>
                <w:p w14:paraId="1D1E0B7A">
                  <w:pPr>
                    <w:adjustRightInd w:val="0"/>
                    <w:snapToGrid w:val="0"/>
                    <w:jc w:val="center"/>
                    <w:rPr>
                      <w:rFonts w:eastAsiaTheme="minorEastAsia"/>
                      <w:bCs/>
                      <w:szCs w:val="21"/>
                    </w:rPr>
                  </w:pPr>
                  <w:r>
                    <w:rPr>
                      <w:rFonts w:hint="eastAsia" w:eastAsiaTheme="minorEastAsia"/>
                      <w:bCs/>
                      <w:szCs w:val="21"/>
                    </w:rPr>
                    <w:t>125</w:t>
                  </w:r>
                </w:p>
              </w:tc>
              <w:tc>
                <w:tcPr>
                  <w:tcW w:w="690" w:type="pct"/>
                  <w:vAlign w:val="center"/>
                </w:tcPr>
                <w:p w14:paraId="2DD6BF4B">
                  <w:pPr>
                    <w:adjustRightInd w:val="0"/>
                    <w:snapToGrid w:val="0"/>
                    <w:jc w:val="center"/>
                    <w:rPr>
                      <w:rFonts w:eastAsiaTheme="minorEastAsia"/>
                      <w:bCs/>
                      <w:szCs w:val="21"/>
                    </w:rPr>
                  </w:pPr>
                  <w:r>
                    <w:rPr>
                      <w:rFonts w:hint="eastAsia" w:eastAsiaTheme="minorEastAsia"/>
                      <w:bCs/>
                      <w:szCs w:val="21"/>
                    </w:rPr>
                    <w:t>125</w:t>
                  </w:r>
                </w:p>
              </w:tc>
              <w:tc>
                <w:tcPr>
                  <w:tcW w:w="910" w:type="pct"/>
                  <w:vAlign w:val="center"/>
                </w:tcPr>
                <w:p w14:paraId="296983EF">
                  <w:pPr>
                    <w:autoSpaceDE w:val="0"/>
                    <w:autoSpaceDN w:val="0"/>
                    <w:adjustRightInd w:val="0"/>
                    <w:jc w:val="left"/>
                    <w:rPr>
                      <w:rFonts w:ascii="宋体" w:cs="宋体"/>
                      <w:kern w:val="0"/>
                      <w:szCs w:val="21"/>
                    </w:rPr>
                  </w:pPr>
                  <w:r>
                    <w:rPr>
                      <w:rFonts w:hint="eastAsia" w:ascii="宋体" w:cs="宋体"/>
                      <w:kern w:val="0"/>
                      <w:szCs w:val="21"/>
                    </w:rPr>
                    <w:t>交由当地环卫部门统一</w:t>
                  </w:r>
                </w:p>
                <w:p w14:paraId="79F02774">
                  <w:pPr>
                    <w:adjustRightInd w:val="0"/>
                    <w:snapToGrid w:val="0"/>
                    <w:jc w:val="center"/>
                    <w:rPr>
                      <w:rFonts w:eastAsiaTheme="minorEastAsia"/>
                      <w:bCs/>
                      <w:szCs w:val="21"/>
                    </w:rPr>
                  </w:pPr>
                  <w:r>
                    <w:rPr>
                      <w:rFonts w:hint="eastAsia" w:ascii="宋体" w:cs="宋体"/>
                      <w:kern w:val="0"/>
                      <w:szCs w:val="21"/>
                    </w:rPr>
                    <w:t>收集处理</w:t>
                  </w:r>
                </w:p>
              </w:tc>
            </w:tr>
            <w:tr w14:paraId="0CB8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725691D3">
                  <w:pPr>
                    <w:adjustRightInd w:val="0"/>
                    <w:snapToGrid w:val="0"/>
                    <w:jc w:val="center"/>
                    <w:rPr>
                      <w:rFonts w:eastAsiaTheme="minorEastAsia"/>
                      <w:bCs/>
                      <w:szCs w:val="21"/>
                    </w:rPr>
                  </w:pPr>
                  <w:r>
                    <w:rPr>
                      <w:rFonts w:hint="eastAsia" w:eastAsiaTheme="minorEastAsia"/>
                      <w:bCs/>
                      <w:szCs w:val="21"/>
                    </w:rPr>
                    <w:t>食堂</w:t>
                  </w:r>
                </w:p>
              </w:tc>
              <w:tc>
                <w:tcPr>
                  <w:tcW w:w="739" w:type="pct"/>
                  <w:vAlign w:val="center"/>
                </w:tcPr>
                <w:p w14:paraId="78765D86">
                  <w:pPr>
                    <w:adjustRightInd w:val="0"/>
                    <w:snapToGrid w:val="0"/>
                    <w:jc w:val="center"/>
                    <w:rPr>
                      <w:rFonts w:eastAsiaTheme="minorEastAsia"/>
                      <w:bCs/>
                      <w:szCs w:val="21"/>
                    </w:rPr>
                  </w:pPr>
                  <w:r>
                    <w:rPr>
                      <w:rFonts w:hint="eastAsia" w:eastAsiaTheme="minorEastAsia"/>
                      <w:bCs/>
                      <w:szCs w:val="21"/>
                    </w:rPr>
                    <w:t>食堂</w:t>
                  </w:r>
                </w:p>
              </w:tc>
              <w:tc>
                <w:tcPr>
                  <w:tcW w:w="789" w:type="pct"/>
                  <w:vAlign w:val="center"/>
                </w:tcPr>
                <w:p w14:paraId="338128A6">
                  <w:pPr>
                    <w:adjustRightInd w:val="0"/>
                    <w:snapToGrid w:val="0"/>
                    <w:jc w:val="center"/>
                    <w:rPr>
                      <w:rFonts w:eastAsiaTheme="minorEastAsia"/>
                      <w:bCs/>
                      <w:szCs w:val="21"/>
                    </w:rPr>
                  </w:pPr>
                  <w:r>
                    <w:rPr>
                      <w:rFonts w:hint="eastAsia" w:eastAsiaTheme="minorEastAsia"/>
                      <w:bCs/>
                      <w:szCs w:val="21"/>
                    </w:rPr>
                    <w:t>餐厨垃圾</w:t>
                  </w:r>
                </w:p>
              </w:tc>
              <w:tc>
                <w:tcPr>
                  <w:tcW w:w="542" w:type="pct"/>
                  <w:vAlign w:val="center"/>
                </w:tcPr>
                <w:p w14:paraId="32996856">
                  <w:pPr>
                    <w:adjustRightInd w:val="0"/>
                    <w:snapToGrid w:val="0"/>
                    <w:jc w:val="center"/>
                    <w:rPr>
                      <w:rFonts w:eastAsiaTheme="minorEastAsia"/>
                      <w:bCs/>
                      <w:szCs w:val="21"/>
                    </w:rPr>
                  </w:pPr>
                  <w:r>
                    <w:rPr>
                      <w:rFonts w:hint="eastAsia" w:eastAsiaTheme="minorEastAsia"/>
                      <w:bCs/>
                      <w:szCs w:val="21"/>
                    </w:rPr>
                    <w:t>/</w:t>
                  </w:r>
                </w:p>
              </w:tc>
              <w:tc>
                <w:tcPr>
                  <w:tcW w:w="691" w:type="pct"/>
                  <w:vAlign w:val="center"/>
                </w:tcPr>
                <w:p w14:paraId="023F7682">
                  <w:pPr>
                    <w:adjustRightInd w:val="0"/>
                    <w:snapToGrid w:val="0"/>
                    <w:jc w:val="center"/>
                    <w:rPr>
                      <w:rFonts w:eastAsiaTheme="minorEastAsia"/>
                      <w:bCs/>
                      <w:szCs w:val="21"/>
                    </w:rPr>
                  </w:pPr>
                  <w:r>
                    <w:rPr>
                      <w:rFonts w:hint="eastAsia" w:eastAsiaTheme="minorEastAsia"/>
                      <w:bCs/>
                      <w:szCs w:val="21"/>
                    </w:rPr>
                    <w:t>50</w:t>
                  </w:r>
                </w:p>
              </w:tc>
              <w:tc>
                <w:tcPr>
                  <w:tcW w:w="690" w:type="pct"/>
                  <w:vAlign w:val="center"/>
                </w:tcPr>
                <w:p w14:paraId="097F2CDA">
                  <w:pPr>
                    <w:adjustRightInd w:val="0"/>
                    <w:snapToGrid w:val="0"/>
                    <w:jc w:val="center"/>
                    <w:rPr>
                      <w:rFonts w:eastAsiaTheme="minorEastAsia"/>
                      <w:bCs/>
                      <w:szCs w:val="21"/>
                    </w:rPr>
                  </w:pPr>
                  <w:r>
                    <w:rPr>
                      <w:rFonts w:hint="eastAsia" w:eastAsiaTheme="minorEastAsia"/>
                      <w:bCs/>
                      <w:szCs w:val="21"/>
                    </w:rPr>
                    <w:t>50</w:t>
                  </w:r>
                </w:p>
              </w:tc>
              <w:tc>
                <w:tcPr>
                  <w:tcW w:w="910" w:type="pct"/>
                  <w:vAlign w:val="center"/>
                </w:tcPr>
                <w:p w14:paraId="65E138BD">
                  <w:pPr>
                    <w:adjustRightInd w:val="0"/>
                    <w:snapToGrid w:val="0"/>
                    <w:jc w:val="center"/>
                    <w:rPr>
                      <w:rFonts w:eastAsiaTheme="minorEastAsia"/>
                      <w:bCs/>
                      <w:szCs w:val="21"/>
                    </w:rPr>
                  </w:pPr>
                  <w:r>
                    <w:rPr>
                      <w:rFonts w:hint="eastAsia" w:eastAsiaTheme="minorEastAsia"/>
                      <w:bCs/>
                      <w:szCs w:val="21"/>
                    </w:rPr>
                    <w:t>交有资质单位处置</w:t>
                  </w:r>
                </w:p>
              </w:tc>
            </w:tr>
            <w:tr w14:paraId="2830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355DF82C">
                  <w:pPr>
                    <w:adjustRightInd w:val="0"/>
                    <w:snapToGrid w:val="0"/>
                    <w:jc w:val="center"/>
                    <w:rPr>
                      <w:rFonts w:eastAsiaTheme="minorEastAsia"/>
                      <w:bCs/>
                      <w:szCs w:val="21"/>
                    </w:rPr>
                  </w:pPr>
                  <w:r>
                    <w:rPr>
                      <w:rFonts w:hint="eastAsia" w:eastAsiaTheme="minorEastAsia"/>
                      <w:bCs/>
                      <w:szCs w:val="21"/>
                    </w:rPr>
                    <w:t>废水处理</w:t>
                  </w:r>
                </w:p>
              </w:tc>
              <w:tc>
                <w:tcPr>
                  <w:tcW w:w="739" w:type="pct"/>
                  <w:vAlign w:val="center"/>
                </w:tcPr>
                <w:p w14:paraId="09FDE20F">
                  <w:pPr>
                    <w:adjustRightInd w:val="0"/>
                    <w:snapToGrid w:val="0"/>
                    <w:jc w:val="center"/>
                    <w:rPr>
                      <w:rFonts w:eastAsiaTheme="minorEastAsia"/>
                      <w:bCs/>
                      <w:szCs w:val="21"/>
                    </w:rPr>
                  </w:pPr>
                  <w:r>
                    <w:rPr>
                      <w:rFonts w:hint="eastAsia" w:eastAsiaTheme="minorEastAsia"/>
                      <w:bCs/>
                      <w:szCs w:val="21"/>
                    </w:rPr>
                    <w:t>生化池</w:t>
                  </w:r>
                </w:p>
              </w:tc>
              <w:tc>
                <w:tcPr>
                  <w:tcW w:w="789" w:type="pct"/>
                  <w:vAlign w:val="center"/>
                </w:tcPr>
                <w:p w14:paraId="3F4AB64C">
                  <w:pPr>
                    <w:adjustRightInd w:val="0"/>
                    <w:snapToGrid w:val="0"/>
                    <w:jc w:val="center"/>
                    <w:rPr>
                      <w:rFonts w:eastAsiaTheme="minorEastAsia"/>
                      <w:bCs/>
                      <w:szCs w:val="21"/>
                    </w:rPr>
                  </w:pPr>
                  <w:r>
                    <w:rPr>
                      <w:rFonts w:hint="eastAsia" w:eastAsiaTheme="minorEastAsia"/>
                      <w:bCs/>
                      <w:szCs w:val="21"/>
                    </w:rPr>
                    <w:t>生化池污泥</w:t>
                  </w:r>
                </w:p>
              </w:tc>
              <w:tc>
                <w:tcPr>
                  <w:tcW w:w="542" w:type="pct"/>
                  <w:vAlign w:val="center"/>
                </w:tcPr>
                <w:p w14:paraId="5D73F461">
                  <w:pPr>
                    <w:adjustRightInd w:val="0"/>
                    <w:snapToGrid w:val="0"/>
                    <w:jc w:val="center"/>
                    <w:rPr>
                      <w:rFonts w:eastAsiaTheme="minorEastAsia"/>
                      <w:bCs/>
                      <w:szCs w:val="21"/>
                    </w:rPr>
                  </w:pPr>
                  <w:r>
                    <w:rPr>
                      <w:rFonts w:hint="eastAsia" w:eastAsiaTheme="minorEastAsia"/>
                      <w:bCs/>
                      <w:szCs w:val="21"/>
                    </w:rPr>
                    <w:t>/</w:t>
                  </w:r>
                </w:p>
              </w:tc>
              <w:tc>
                <w:tcPr>
                  <w:tcW w:w="691" w:type="pct"/>
                  <w:vAlign w:val="center"/>
                </w:tcPr>
                <w:p w14:paraId="3596662A">
                  <w:pPr>
                    <w:adjustRightInd w:val="0"/>
                    <w:snapToGrid w:val="0"/>
                    <w:jc w:val="center"/>
                    <w:rPr>
                      <w:rFonts w:eastAsiaTheme="minorEastAsia"/>
                      <w:bCs/>
                      <w:szCs w:val="21"/>
                    </w:rPr>
                  </w:pPr>
                  <w:r>
                    <w:rPr>
                      <w:rFonts w:hint="eastAsia" w:eastAsiaTheme="minorEastAsia"/>
                      <w:bCs/>
                      <w:szCs w:val="21"/>
                    </w:rPr>
                    <w:t>3.8</w:t>
                  </w:r>
                </w:p>
              </w:tc>
              <w:tc>
                <w:tcPr>
                  <w:tcW w:w="690" w:type="pct"/>
                  <w:vAlign w:val="center"/>
                </w:tcPr>
                <w:p w14:paraId="1A8B863C">
                  <w:pPr>
                    <w:adjustRightInd w:val="0"/>
                    <w:snapToGrid w:val="0"/>
                    <w:jc w:val="center"/>
                    <w:rPr>
                      <w:rFonts w:eastAsiaTheme="minorEastAsia"/>
                      <w:bCs/>
                      <w:szCs w:val="21"/>
                    </w:rPr>
                  </w:pPr>
                  <w:r>
                    <w:rPr>
                      <w:rFonts w:hint="eastAsia" w:eastAsiaTheme="minorEastAsia"/>
                      <w:bCs/>
                      <w:szCs w:val="21"/>
                    </w:rPr>
                    <w:t>3.8</w:t>
                  </w:r>
                </w:p>
              </w:tc>
              <w:tc>
                <w:tcPr>
                  <w:tcW w:w="910" w:type="pct"/>
                  <w:vAlign w:val="center"/>
                </w:tcPr>
                <w:p w14:paraId="4045DE8A">
                  <w:pPr>
                    <w:adjustRightInd w:val="0"/>
                    <w:snapToGrid w:val="0"/>
                    <w:jc w:val="center"/>
                    <w:rPr>
                      <w:rFonts w:eastAsiaTheme="minorEastAsia"/>
                      <w:bCs/>
                      <w:szCs w:val="21"/>
                    </w:rPr>
                  </w:pPr>
                  <w:r>
                    <w:rPr>
                      <w:rFonts w:hint="eastAsia"/>
                      <w:sz w:val="24"/>
                    </w:rPr>
                    <w:t>定期交环卫部门处理</w:t>
                  </w:r>
                </w:p>
              </w:tc>
            </w:tr>
          </w:tbl>
          <w:p w14:paraId="67F6480C">
            <w:pPr>
              <w:adjustRightInd w:val="0"/>
              <w:snapToGrid w:val="0"/>
              <w:spacing w:line="440" w:lineRule="exact"/>
              <w:jc w:val="center"/>
              <w:rPr>
                <w:b/>
                <w:bCs/>
                <w:szCs w:val="21"/>
              </w:rPr>
            </w:pPr>
            <w:r>
              <w:rPr>
                <w:rFonts w:hint="eastAsia"/>
                <w:b/>
                <w:bCs/>
                <w:szCs w:val="21"/>
              </w:rPr>
              <w:t>表4.2-19  危险废物汇总表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659"/>
              <w:gridCol w:w="1186"/>
              <w:gridCol w:w="1426"/>
              <w:gridCol w:w="1176"/>
              <w:gridCol w:w="1176"/>
              <w:gridCol w:w="1176"/>
              <w:gridCol w:w="1176"/>
              <w:gridCol w:w="1176"/>
              <w:gridCol w:w="1177"/>
              <w:gridCol w:w="1177"/>
              <w:gridCol w:w="1177"/>
            </w:tblGrid>
            <w:tr w14:paraId="3DD9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10D1DCC9">
                  <w:pPr>
                    <w:adjustRightInd w:val="0"/>
                    <w:snapToGrid w:val="0"/>
                    <w:jc w:val="center"/>
                    <w:rPr>
                      <w:rFonts w:eastAsiaTheme="minorEastAsia"/>
                      <w:bCs/>
                      <w:szCs w:val="21"/>
                    </w:rPr>
                  </w:pPr>
                  <w:r>
                    <w:rPr>
                      <w:rFonts w:hAnsiTheme="minorEastAsia" w:eastAsiaTheme="minorEastAsia"/>
                      <w:bCs/>
                      <w:szCs w:val="21"/>
                    </w:rPr>
                    <w:t>序号</w:t>
                  </w:r>
                </w:p>
              </w:tc>
              <w:tc>
                <w:tcPr>
                  <w:tcW w:w="1659" w:type="dxa"/>
                  <w:vAlign w:val="center"/>
                </w:tcPr>
                <w:p w14:paraId="79DCF6D6">
                  <w:pPr>
                    <w:adjustRightInd w:val="0"/>
                    <w:snapToGrid w:val="0"/>
                    <w:jc w:val="center"/>
                    <w:rPr>
                      <w:rFonts w:eastAsiaTheme="minorEastAsia"/>
                      <w:bCs/>
                      <w:szCs w:val="21"/>
                    </w:rPr>
                  </w:pPr>
                  <w:r>
                    <w:rPr>
                      <w:rFonts w:hAnsiTheme="minorEastAsia" w:eastAsiaTheme="minorEastAsia"/>
                      <w:bCs/>
                      <w:szCs w:val="21"/>
                    </w:rPr>
                    <w:t>名称</w:t>
                  </w:r>
                </w:p>
              </w:tc>
              <w:tc>
                <w:tcPr>
                  <w:tcW w:w="1186" w:type="dxa"/>
                  <w:vAlign w:val="center"/>
                </w:tcPr>
                <w:p w14:paraId="47B81F81">
                  <w:pPr>
                    <w:adjustRightInd w:val="0"/>
                    <w:snapToGrid w:val="0"/>
                    <w:jc w:val="center"/>
                    <w:rPr>
                      <w:rFonts w:eastAsiaTheme="minorEastAsia"/>
                      <w:bCs/>
                      <w:szCs w:val="21"/>
                    </w:rPr>
                  </w:pPr>
                  <w:r>
                    <w:rPr>
                      <w:rFonts w:hAnsiTheme="minorEastAsia" w:eastAsiaTheme="minorEastAsia"/>
                      <w:bCs/>
                      <w:szCs w:val="21"/>
                    </w:rPr>
                    <w:t>类别</w:t>
                  </w:r>
                </w:p>
              </w:tc>
              <w:tc>
                <w:tcPr>
                  <w:tcW w:w="1426" w:type="dxa"/>
                  <w:vAlign w:val="center"/>
                </w:tcPr>
                <w:p w14:paraId="6A0F6751">
                  <w:pPr>
                    <w:adjustRightInd w:val="0"/>
                    <w:snapToGrid w:val="0"/>
                    <w:jc w:val="center"/>
                    <w:rPr>
                      <w:rFonts w:eastAsiaTheme="minorEastAsia"/>
                      <w:bCs/>
                      <w:szCs w:val="21"/>
                    </w:rPr>
                  </w:pPr>
                  <w:r>
                    <w:rPr>
                      <w:rFonts w:hAnsiTheme="minorEastAsia" w:eastAsiaTheme="minorEastAsia"/>
                      <w:bCs/>
                      <w:szCs w:val="21"/>
                    </w:rPr>
                    <w:t>代码</w:t>
                  </w:r>
                </w:p>
              </w:tc>
              <w:tc>
                <w:tcPr>
                  <w:tcW w:w="1176" w:type="dxa"/>
                  <w:vAlign w:val="center"/>
                </w:tcPr>
                <w:p w14:paraId="2470A874">
                  <w:pPr>
                    <w:adjustRightInd w:val="0"/>
                    <w:snapToGrid w:val="0"/>
                    <w:jc w:val="center"/>
                    <w:rPr>
                      <w:rFonts w:eastAsiaTheme="minorEastAsia"/>
                      <w:bCs/>
                      <w:szCs w:val="21"/>
                    </w:rPr>
                  </w:pPr>
                  <w:r>
                    <w:rPr>
                      <w:rFonts w:hAnsiTheme="minorEastAsia" w:eastAsiaTheme="minorEastAsia"/>
                      <w:bCs/>
                      <w:szCs w:val="21"/>
                    </w:rPr>
                    <w:t>产生量</w:t>
                  </w:r>
                </w:p>
              </w:tc>
              <w:tc>
                <w:tcPr>
                  <w:tcW w:w="1176" w:type="dxa"/>
                  <w:vAlign w:val="center"/>
                </w:tcPr>
                <w:p w14:paraId="497C08EC">
                  <w:pPr>
                    <w:adjustRightInd w:val="0"/>
                    <w:snapToGrid w:val="0"/>
                    <w:jc w:val="center"/>
                    <w:rPr>
                      <w:rFonts w:eastAsiaTheme="minorEastAsia"/>
                      <w:bCs/>
                      <w:szCs w:val="21"/>
                    </w:rPr>
                  </w:pPr>
                  <w:r>
                    <w:rPr>
                      <w:rFonts w:hAnsiTheme="minorEastAsia" w:eastAsiaTheme="minorEastAsia"/>
                      <w:bCs/>
                      <w:szCs w:val="21"/>
                    </w:rPr>
                    <w:t>产生工序</w:t>
                  </w:r>
                </w:p>
              </w:tc>
              <w:tc>
                <w:tcPr>
                  <w:tcW w:w="1176" w:type="dxa"/>
                  <w:vAlign w:val="center"/>
                </w:tcPr>
                <w:p w14:paraId="42CD4828">
                  <w:pPr>
                    <w:adjustRightInd w:val="0"/>
                    <w:snapToGrid w:val="0"/>
                    <w:jc w:val="center"/>
                    <w:rPr>
                      <w:rFonts w:eastAsiaTheme="minorEastAsia"/>
                      <w:bCs/>
                      <w:szCs w:val="21"/>
                    </w:rPr>
                  </w:pPr>
                  <w:r>
                    <w:rPr>
                      <w:rFonts w:hAnsiTheme="minorEastAsia" w:eastAsiaTheme="minorEastAsia"/>
                      <w:bCs/>
                      <w:szCs w:val="21"/>
                    </w:rPr>
                    <w:t>形态</w:t>
                  </w:r>
                </w:p>
              </w:tc>
              <w:tc>
                <w:tcPr>
                  <w:tcW w:w="1176" w:type="dxa"/>
                  <w:vAlign w:val="center"/>
                </w:tcPr>
                <w:p w14:paraId="0F3E517C">
                  <w:pPr>
                    <w:adjustRightInd w:val="0"/>
                    <w:snapToGrid w:val="0"/>
                    <w:jc w:val="center"/>
                    <w:rPr>
                      <w:rFonts w:eastAsiaTheme="minorEastAsia"/>
                      <w:bCs/>
                      <w:szCs w:val="21"/>
                    </w:rPr>
                  </w:pPr>
                  <w:r>
                    <w:rPr>
                      <w:rFonts w:hAnsiTheme="minorEastAsia" w:eastAsiaTheme="minorEastAsia"/>
                      <w:bCs/>
                      <w:szCs w:val="21"/>
                    </w:rPr>
                    <w:t>主要成分</w:t>
                  </w:r>
                </w:p>
              </w:tc>
              <w:tc>
                <w:tcPr>
                  <w:tcW w:w="1176" w:type="dxa"/>
                  <w:vAlign w:val="center"/>
                </w:tcPr>
                <w:p w14:paraId="6CDBBBE5">
                  <w:pPr>
                    <w:adjustRightInd w:val="0"/>
                    <w:snapToGrid w:val="0"/>
                    <w:jc w:val="center"/>
                    <w:rPr>
                      <w:rFonts w:eastAsiaTheme="minorEastAsia"/>
                      <w:bCs/>
                      <w:szCs w:val="21"/>
                    </w:rPr>
                  </w:pPr>
                  <w:r>
                    <w:rPr>
                      <w:rFonts w:hAnsiTheme="minorEastAsia" w:eastAsiaTheme="minorEastAsia"/>
                      <w:bCs/>
                      <w:szCs w:val="21"/>
                    </w:rPr>
                    <w:t>有害成分</w:t>
                  </w:r>
                </w:p>
              </w:tc>
              <w:tc>
                <w:tcPr>
                  <w:tcW w:w="1177" w:type="dxa"/>
                  <w:vAlign w:val="center"/>
                </w:tcPr>
                <w:p w14:paraId="34F0CC6B">
                  <w:pPr>
                    <w:adjustRightInd w:val="0"/>
                    <w:snapToGrid w:val="0"/>
                    <w:jc w:val="center"/>
                    <w:rPr>
                      <w:rFonts w:eastAsiaTheme="minorEastAsia"/>
                      <w:bCs/>
                      <w:szCs w:val="21"/>
                    </w:rPr>
                  </w:pPr>
                  <w:r>
                    <w:rPr>
                      <w:rFonts w:hAnsiTheme="minorEastAsia" w:eastAsiaTheme="minorEastAsia"/>
                      <w:bCs/>
                      <w:szCs w:val="21"/>
                    </w:rPr>
                    <w:t>产废周期</w:t>
                  </w:r>
                </w:p>
              </w:tc>
              <w:tc>
                <w:tcPr>
                  <w:tcW w:w="1177" w:type="dxa"/>
                  <w:vAlign w:val="center"/>
                </w:tcPr>
                <w:p w14:paraId="52DD0E9E">
                  <w:pPr>
                    <w:adjustRightInd w:val="0"/>
                    <w:snapToGrid w:val="0"/>
                    <w:jc w:val="center"/>
                    <w:rPr>
                      <w:rFonts w:eastAsiaTheme="minorEastAsia"/>
                      <w:bCs/>
                      <w:szCs w:val="21"/>
                    </w:rPr>
                  </w:pPr>
                  <w:r>
                    <w:rPr>
                      <w:rFonts w:hAnsiTheme="minorEastAsia" w:eastAsiaTheme="minorEastAsia"/>
                      <w:bCs/>
                      <w:szCs w:val="21"/>
                    </w:rPr>
                    <w:t>危险特性</w:t>
                  </w:r>
                </w:p>
              </w:tc>
              <w:tc>
                <w:tcPr>
                  <w:tcW w:w="1177" w:type="dxa"/>
                  <w:vAlign w:val="center"/>
                </w:tcPr>
                <w:p w14:paraId="4EACA6E1">
                  <w:pPr>
                    <w:adjustRightInd w:val="0"/>
                    <w:snapToGrid w:val="0"/>
                    <w:jc w:val="center"/>
                    <w:rPr>
                      <w:rFonts w:eastAsiaTheme="minorEastAsia"/>
                      <w:bCs/>
                      <w:szCs w:val="21"/>
                    </w:rPr>
                  </w:pPr>
                  <w:r>
                    <w:rPr>
                      <w:rFonts w:hAnsiTheme="minorEastAsia" w:eastAsiaTheme="minorEastAsia"/>
                      <w:bCs/>
                      <w:szCs w:val="21"/>
                    </w:rPr>
                    <w:t>防治措施</w:t>
                  </w:r>
                </w:p>
              </w:tc>
            </w:tr>
            <w:tr w14:paraId="0EC6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793F37FD">
                  <w:pPr>
                    <w:adjustRightInd w:val="0"/>
                    <w:snapToGrid w:val="0"/>
                    <w:jc w:val="center"/>
                    <w:rPr>
                      <w:rFonts w:eastAsiaTheme="minorEastAsia"/>
                      <w:bCs/>
                      <w:szCs w:val="21"/>
                    </w:rPr>
                  </w:pPr>
                  <w:r>
                    <w:rPr>
                      <w:rFonts w:eastAsiaTheme="minorEastAsia"/>
                      <w:bCs/>
                      <w:szCs w:val="21"/>
                    </w:rPr>
                    <w:t>1</w:t>
                  </w:r>
                </w:p>
              </w:tc>
              <w:tc>
                <w:tcPr>
                  <w:tcW w:w="1659" w:type="dxa"/>
                  <w:vAlign w:val="center"/>
                </w:tcPr>
                <w:p w14:paraId="0A3A182F">
                  <w:pPr>
                    <w:adjustRightInd w:val="0"/>
                    <w:snapToGrid w:val="0"/>
                    <w:jc w:val="center"/>
                    <w:rPr>
                      <w:rFonts w:eastAsiaTheme="minorEastAsia"/>
                      <w:bCs/>
                      <w:szCs w:val="21"/>
                    </w:rPr>
                  </w:pPr>
                  <w:r>
                    <w:rPr>
                      <w:rFonts w:hAnsiTheme="minorEastAsia" w:eastAsiaTheme="minorEastAsia"/>
                      <w:bCs/>
                      <w:szCs w:val="21"/>
                    </w:rPr>
                    <w:t>废润版液</w:t>
                  </w:r>
                </w:p>
              </w:tc>
              <w:tc>
                <w:tcPr>
                  <w:tcW w:w="1186" w:type="dxa"/>
                  <w:vAlign w:val="center"/>
                </w:tcPr>
                <w:p w14:paraId="7F4353EC">
                  <w:pPr>
                    <w:adjustRightInd w:val="0"/>
                    <w:snapToGrid w:val="0"/>
                    <w:jc w:val="center"/>
                    <w:rPr>
                      <w:rFonts w:eastAsiaTheme="minorEastAsia"/>
                      <w:bCs/>
                      <w:szCs w:val="21"/>
                    </w:rPr>
                  </w:pPr>
                  <w:r>
                    <w:rPr>
                      <w:rFonts w:eastAsiaTheme="minorEastAsia"/>
                      <w:bCs/>
                      <w:szCs w:val="21"/>
                    </w:rPr>
                    <w:t>HW06</w:t>
                  </w:r>
                </w:p>
              </w:tc>
              <w:tc>
                <w:tcPr>
                  <w:tcW w:w="1426" w:type="dxa"/>
                  <w:vAlign w:val="center"/>
                </w:tcPr>
                <w:p w14:paraId="5ED3C79E">
                  <w:pPr>
                    <w:adjustRightInd w:val="0"/>
                    <w:snapToGrid w:val="0"/>
                    <w:jc w:val="center"/>
                    <w:rPr>
                      <w:rFonts w:eastAsiaTheme="minorEastAsia"/>
                      <w:bCs/>
                      <w:szCs w:val="21"/>
                    </w:rPr>
                  </w:pPr>
                  <w:r>
                    <w:rPr>
                      <w:rFonts w:eastAsiaTheme="minorEastAsia"/>
                      <w:bCs/>
                      <w:szCs w:val="21"/>
                    </w:rPr>
                    <w:t>900-404-06</w:t>
                  </w:r>
                </w:p>
              </w:tc>
              <w:tc>
                <w:tcPr>
                  <w:tcW w:w="1176" w:type="dxa"/>
                  <w:vAlign w:val="center"/>
                </w:tcPr>
                <w:p w14:paraId="531D6605">
                  <w:pPr>
                    <w:adjustRightInd w:val="0"/>
                    <w:snapToGrid w:val="0"/>
                    <w:jc w:val="center"/>
                    <w:rPr>
                      <w:rFonts w:eastAsiaTheme="minorEastAsia"/>
                      <w:bCs/>
                      <w:szCs w:val="21"/>
                    </w:rPr>
                  </w:pPr>
                  <w:r>
                    <w:rPr>
                      <w:rFonts w:eastAsiaTheme="minorEastAsia"/>
                      <w:bCs/>
                      <w:szCs w:val="21"/>
                    </w:rPr>
                    <w:t>1.6</w:t>
                  </w:r>
                </w:p>
              </w:tc>
              <w:tc>
                <w:tcPr>
                  <w:tcW w:w="1176" w:type="dxa"/>
                  <w:vAlign w:val="center"/>
                </w:tcPr>
                <w:p w14:paraId="79958192">
                  <w:pPr>
                    <w:adjustRightInd w:val="0"/>
                    <w:snapToGrid w:val="0"/>
                    <w:jc w:val="center"/>
                    <w:rPr>
                      <w:rFonts w:eastAsiaTheme="minorEastAsia"/>
                      <w:bCs/>
                      <w:szCs w:val="21"/>
                    </w:rPr>
                  </w:pPr>
                  <w:r>
                    <w:rPr>
                      <w:rFonts w:hAnsiTheme="minorEastAsia" w:eastAsiaTheme="minorEastAsia"/>
                      <w:bCs/>
                      <w:szCs w:val="21"/>
                    </w:rPr>
                    <w:t>印刷</w:t>
                  </w:r>
                </w:p>
              </w:tc>
              <w:tc>
                <w:tcPr>
                  <w:tcW w:w="1176" w:type="dxa"/>
                  <w:vAlign w:val="center"/>
                </w:tcPr>
                <w:p w14:paraId="35A2DDD0">
                  <w:pPr>
                    <w:adjustRightInd w:val="0"/>
                    <w:snapToGrid w:val="0"/>
                    <w:jc w:val="center"/>
                    <w:rPr>
                      <w:rFonts w:eastAsiaTheme="minorEastAsia"/>
                      <w:bCs/>
                      <w:szCs w:val="21"/>
                    </w:rPr>
                  </w:pPr>
                  <w:r>
                    <w:rPr>
                      <w:rFonts w:hAnsiTheme="minorEastAsia" w:eastAsiaTheme="minorEastAsia"/>
                      <w:bCs/>
                      <w:szCs w:val="21"/>
                    </w:rPr>
                    <w:t>液态</w:t>
                  </w:r>
                </w:p>
              </w:tc>
              <w:tc>
                <w:tcPr>
                  <w:tcW w:w="1176" w:type="dxa"/>
                  <w:vAlign w:val="center"/>
                </w:tcPr>
                <w:p w14:paraId="1512FD2A">
                  <w:pPr>
                    <w:adjustRightInd w:val="0"/>
                    <w:snapToGrid w:val="0"/>
                    <w:jc w:val="center"/>
                    <w:rPr>
                      <w:rFonts w:eastAsiaTheme="minorEastAsia"/>
                      <w:bCs/>
                      <w:szCs w:val="21"/>
                    </w:rPr>
                  </w:pPr>
                  <w:r>
                    <w:rPr>
                      <w:rFonts w:hAnsiTheme="minorEastAsia" w:eastAsiaTheme="minorEastAsia"/>
                      <w:bCs/>
                      <w:szCs w:val="21"/>
                    </w:rPr>
                    <w:t>润版液</w:t>
                  </w:r>
                </w:p>
              </w:tc>
              <w:tc>
                <w:tcPr>
                  <w:tcW w:w="1176" w:type="dxa"/>
                  <w:vAlign w:val="center"/>
                </w:tcPr>
                <w:p w14:paraId="3A045E72">
                  <w:pPr>
                    <w:adjustRightInd w:val="0"/>
                    <w:snapToGrid w:val="0"/>
                    <w:jc w:val="center"/>
                    <w:rPr>
                      <w:rFonts w:eastAsiaTheme="minorEastAsia"/>
                      <w:bCs/>
                      <w:szCs w:val="21"/>
                    </w:rPr>
                  </w:pPr>
                  <w:r>
                    <w:rPr>
                      <w:rFonts w:hAnsiTheme="minorEastAsia" w:eastAsiaTheme="minorEastAsia"/>
                      <w:bCs/>
                      <w:szCs w:val="21"/>
                    </w:rPr>
                    <w:t>润版液</w:t>
                  </w:r>
                </w:p>
              </w:tc>
              <w:tc>
                <w:tcPr>
                  <w:tcW w:w="1177" w:type="dxa"/>
                  <w:vAlign w:val="center"/>
                </w:tcPr>
                <w:p w14:paraId="666C3343">
                  <w:pPr>
                    <w:adjustRightInd w:val="0"/>
                    <w:snapToGrid w:val="0"/>
                    <w:jc w:val="center"/>
                    <w:rPr>
                      <w:rFonts w:eastAsiaTheme="minorEastAsia"/>
                      <w:bCs/>
                      <w:szCs w:val="21"/>
                    </w:rPr>
                  </w:pPr>
                  <w:r>
                    <w:rPr>
                      <w:rFonts w:hAnsiTheme="minorEastAsia" w:eastAsiaTheme="minorEastAsia"/>
                      <w:bCs/>
                      <w:szCs w:val="21"/>
                    </w:rPr>
                    <w:t>间断</w:t>
                  </w:r>
                </w:p>
              </w:tc>
              <w:tc>
                <w:tcPr>
                  <w:tcW w:w="1177" w:type="dxa"/>
                  <w:vAlign w:val="center"/>
                </w:tcPr>
                <w:p w14:paraId="001895D6">
                  <w:pPr>
                    <w:adjustRightInd w:val="0"/>
                    <w:snapToGrid w:val="0"/>
                    <w:jc w:val="center"/>
                    <w:rPr>
                      <w:rFonts w:eastAsiaTheme="minorEastAsia"/>
                      <w:bCs/>
                      <w:szCs w:val="21"/>
                    </w:rPr>
                  </w:pPr>
                  <w:r>
                    <w:rPr>
                      <w:rFonts w:eastAsiaTheme="minorEastAsia"/>
                      <w:kern w:val="0"/>
                      <w:szCs w:val="21"/>
                    </w:rPr>
                    <w:t>T</w:t>
                  </w:r>
                  <w:r>
                    <w:rPr>
                      <w:rFonts w:hAnsiTheme="minorEastAsia" w:eastAsiaTheme="minorEastAsia"/>
                      <w:kern w:val="0"/>
                      <w:szCs w:val="21"/>
                    </w:rPr>
                    <w:t>，</w:t>
                  </w:r>
                  <w:r>
                    <w:rPr>
                      <w:rFonts w:eastAsiaTheme="minorEastAsia"/>
                      <w:kern w:val="0"/>
                      <w:szCs w:val="21"/>
                    </w:rPr>
                    <w:t>I</w:t>
                  </w:r>
                  <w:r>
                    <w:rPr>
                      <w:rFonts w:hAnsiTheme="minorEastAsia" w:eastAsiaTheme="minorEastAsia"/>
                      <w:kern w:val="0"/>
                      <w:szCs w:val="21"/>
                    </w:rPr>
                    <w:t>，</w:t>
                  </w:r>
                  <w:r>
                    <w:rPr>
                      <w:rFonts w:eastAsiaTheme="minorEastAsia"/>
                      <w:kern w:val="0"/>
                      <w:szCs w:val="21"/>
                    </w:rPr>
                    <w:t>R</w:t>
                  </w:r>
                </w:p>
              </w:tc>
              <w:tc>
                <w:tcPr>
                  <w:tcW w:w="1177" w:type="dxa"/>
                  <w:vMerge w:val="restart"/>
                  <w:vAlign w:val="center"/>
                </w:tcPr>
                <w:p w14:paraId="704D8DE2">
                  <w:pPr>
                    <w:adjustRightInd w:val="0"/>
                    <w:snapToGrid w:val="0"/>
                    <w:jc w:val="center"/>
                    <w:rPr>
                      <w:rFonts w:eastAsiaTheme="minorEastAsia"/>
                      <w:bCs/>
                      <w:szCs w:val="21"/>
                    </w:rPr>
                  </w:pPr>
                  <w:r>
                    <w:rPr>
                      <w:rFonts w:hAnsiTheme="minorEastAsia" w:eastAsiaTheme="minorEastAsia"/>
                      <w:bCs/>
                      <w:szCs w:val="21"/>
                    </w:rPr>
                    <w:t>危废暂存间分类暂存，定期交有资质单位收运处置</w:t>
                  </w:r>
                </w:p>
              </w:tc>
            </w:tr>
            <w:tr w14:paraId="5AE1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7BCE5DA3">
                  <w:pPr>
                    <w:adjustRightInd w:val="0"/>
                    <w:snapToGrid w:val="0"/>
                    <w:jc w:val="center"/>
                    <w:rPr>
                      <w:rFonts w:eastAsiaTheme="minorEastAsia"/>
                      <w:bCs/>
                      <w:szCs w:val="21"/>
                    </w:rPr>
                  </w:pPr>
                  <w:r>
                    <w:rPr>
                      <w:rFonts w:eastAsiaTheme="minorEastAsia"/>
                      <w:bCs/>
                      <w:szCs w:val="21"/>
                    </w:rPr>
                    <w:t>2</w:t>
                  </w:r>
                </w:p>
              </w:tc>
              <w:tc>
                <w:tcPr>
                  <w:tcW w:w="1659" w:type="dxa"/>
                  <w:vAlign w:val="center"/>
                </w:tcPr>
                <w:p w14:paraId="7333CC20">
                  <w:pPr>
                    <w:adjustRightInd w:val="0"/>
                    <w:snapToGrid w:val="0"/>
                    <w:jc w:val="center"/>
                    <w:rPr>
                      <w:rFonts w:eastAsiaTheme="minorEastAsia"/>
                      <w:bCs/>
                      <w:szCs w:val="21"/>
                    </w:rPr>
                  </w:pPr>
                  <w:r>
                    <w:rPr>
                      <w:rFonts w:hAnsiTheme="minorEastAsia" w:eastAsiaTheme="minorEastAsia"/>
                      <w:bCs/>
                      <w:szCs w:val="21"/>
                    </w:rPr>
                    <w:t>废棉纱布</w:t>
                  </w:r>
                </w:p>
              </w:tc>
              <w:tc>
                <w:tcPr>
                  <w:tcW w:w="1186" w:type="dxa"/>
                  <w:vAlign w:val="center"/>
                </w:tcPr>
                <w:p w14:paraId="4FCBF595">
                  <w:pPr>
                    <w:adjustRightInd w:val="0"/>
                    <w:snapToGrid w:val="0"/>
                    <w:jc w:val="center"/>
                    <w:rPr>
                      <w:rFonts w:eastAsiaTheme="minorEastAsia"/>
                      <w:bCs/>
                      <w:szCs w:val="21"/>
                    </w:rPr>
                  </w:pPr>
                  <w:r>
                    <w:rPr>
                      <w:rFonts w:eastAsiaTheme="minorEastAsia"/>
                      <w:bCs/>
                      <w:szCs w:val="21"/>
                    </w:rPr>
                    <w:t>HW06</w:t>
                  </w:r>
                </w:p>
              </w:tc>
              <w:tc>
                <w:tcPr>
                  <w:tcW w:w="1426" w:type="dxa"/>
                  <w:vAlign w:val="center"/>
                </w:tcPr>
                <w:p w14:paraId="074B80B7">
                  <w:pPr>
                    <w:adjustRightInd w:val="0"/>
                    <w:snapToGrid w:val="0"/>
                    <w:jc w:val="center"/>
                    <w:rPr>
                      <w:rFonts w:eastAsiaTheme="minorEastAsia"/>
                      <w:bCs/>
                      <w:szCs w:val="21"/>
                    </w:rPr>
                  </w:pPr>
                  <w:r>
                    <w:rPr>
                      <w:rFonts w:eastAsiaTheme="minorEastAsia"/>
                      <w:kern w:val="0"/>
                      <w:szCs w:val="21"/>
                    </w:rPr>
                    <w:t>900-404-06</w:t>
                  </w:r>
                </w:p>
              </w:tc>
              <w:tc>
                <w:tcPr>
                  <w:tcW w:w="1176" w:type="dxa"/>
                  <w:vAlign w:val="center"/>
                </w:tcPr>
                <w:p w14:paraId="2F380DE7">
                  <w:pPr>
                    <w:adjustRightInd w:val="0"/>
                    <w:snapToGrid w:val="0"/>
                    <w:jc w:val="center"/>
                    <w:rPr>
                      <w:rFonts w:eastAsiaTheme="minorEastAsia"/>
                      <w:bCs/>
                      <w:szCs w:val="21"/>
                    </w:rPr>
                  </w:pPr>
                  <w:r>
                    <w:rPr>
                      <w:rFonts w:eastAsiaTheme="minorEastAsia"/>
                      <w:bCs/>
                      <w:szCs w:val="21"/>
                    </w:rPr>
                    <w:t>0.2</w:t>
                  </w:r>
                </w:p>
              </w:tc>
              <w:tc>
                <w:tcPr>
                  <w:tcW w:w="1176" w:type="dxa"/>
                  <w:vAlign w:val="center"/>
                </w:tcPr>
                <w:p w14:paraId="5F4D4A5C">
                  <w:pPr>
                    <w:adjustRightInd w:val="0"/>
                    <w:snapToGrid w:val="0"/>
                    <w:jc w:val="center"/>
                    <w:rPr>
                      <w:rFonts w:eastAsiaTheme="minorEastAsia"/>
                      <w:bCs/>
                      <w:szCs w:val="21"/>
                    </w:rPr>
                  </w:pPr>
                  <w:r>
                    <w:rPr>
                      <w:rFonts w:hAnsiTheme="minorEastAsia" w:eastAsiaTheme="minorEastAsia"/>
                      <w:bCs/>
                      <w:szCs w:val="21"/>
                    </w:rPr>
                    <w:t>擦拭</w:t>
                  </w:r>
                </w:p>
              </w:tc>
              <w:tc>
                <w:tcPr>
                  <w:tcW w:w="1176" w:type="dxa"/>
                  <w:vAlign w:val="center"/>
                </w:tcPr>
                <w:p w14:paraId="727EAA47">
                  <w:pPr>
                    <w:adjustRightInd w:val="0"/>
                    <w:snapToGrid w:val="0"/>
                    <w:jc w:val="center"/>
                    <w:rPr>
                      <w:rFonts w:eastAsiaTheme="minorEastAsia"/>
                      <w:bCs/>
                      <w:szCs w:val="21"/>
                    </w:rPr>
                  </w:pPr>
                  <w:r>
                    <w:rPr>
                      <w:rFonts w:hAnsiTheme="minorEastAsia" w:eastAsiaTheme="minorEastAsia"/>
                      <w:bCs/>
                      <w:szCs w:val="21"/>
                    </w:rPr>
                    <w:t>固态</w:t>
                  </w:r>
                </w:p>
              </w:tc>
              <w:tc>
                <w:tcPr>
                  <w:tcW w:w="1176" w:type="dxa"/>
                  <w:vAlign w:val="center"/>
                </w:tcPr>
                <w:p w14:paraId="38AE1BF3">
                  <w:pPr>
                    <w:adjustRightInd w:val="0"/>
                    <w:snapToGrid w:val="0"/>
                    <w:jc w:val="center"/>
                    <w:rPr>
                      <w:rFonts w:eastAsiaTheme="minorEastAsia"/>
                      <w:bCs/>
                      <w:szCs w:val="21"/>
                    </w:rPr>
                  </w:pPr>
                  <w:r>
                    <w:rPr>
                      <w:rFonts w:hAnsiTheme="minorEastAsia" w:eastAsiaTheme="minorEastAsia"/>
                      <w:bCs/>
                      <w:szCs w:val="21"/>
                    </w:rPr>
                    <w:t>棉纱</w:t>
                  </w:r>
                </w:p>
              </w:tc>
              <w:tc>
                <w:tcPr>
                  <w:tcW w:w="1176" w:type="dxa"/>
                  <w:vAlign w:val="center"/>
                </w:tcPr>
                <w:p w14:paraId="4351E367">
                  <w:pPr>
                    <w:adjustRightInd w:val="0"/>
                    <w:snapToGrid w:val="0"/>
                    <w:jc w:val="center"/>
                    <w:rPr>
                      <w:rFonts w:eastAsiaTheme="minorEastAsia"/>
                      <w:bCs/>
                      <w:szCs w:val="21"/>
                    </w:rPr>
                  </w:pPr>
                  <w:r>
                    <w:rPr>
                      <w:rFonts w:hAnsiTheme="minorEastAsia" w:eastAsiaTheme="minorEastAsia"/>
                      <w:bCs/>
                      <w:szCs w:val="21"/>
                    </w:rPr>
                    <w:t>洗车水、油墨</w:t>
                  </w:r>
                </w:p>
              </w:tc>
              <w:tc>
                <w:tcPr>
                  <w:tcW w:w="1177" w:type="dxa"/>
                  <w:vAlign w:val="center"/>
                </w:tcPr>
                <w:p w14:paraId="5FF1E20D">
                  <w:pPr>
                    <w:adjustRightInd w:val="0"/>
                    <w:snapToGrid w:val="0"/>
                    <w:jc w:val="center"/>
                    <w:rPr>
                      <w:rFonts w:eastAsiaTheme="minorEastAsia"/>
                      <w:bCs/>
                      <w:szCs w:val="21"/>
                    </w:rPr>
                  </w:pPr>
                  <w:r>
                    <w:rPr>
                      <w:rFonts w:hAnsiTheme="minorEastAsia" w:eastAsiaTheme="minorEastAsia"/>
                      <w:bCs/>
                      <w:szCs w:val="21"/>
                    </w:rPr>
                    <w:t>间断</w:t>
                  </w:r>
                </w:p>
              </w:tc>
              <w:tc>
                <w:tcPr>
                  <w:tcW w:w="1177" w:type="dxa"/>
                  <w:vAlign w:val="center"/>
                </w:tcPr>
                <w:p w14:paraId="21C3BBDA">
                  <w:pPr>
                    <w:adjustRightInd w:val="0"/>
                    <w:snapToGrid w:val="0"/>
                    <w:jc w:val="center"/>
                    <w:rPr>
                      <w:rFonts w:eastAsiaTheme="minorEastAsia"/>
                      <w:bCs/>
                      <w:szCs w:val="21"/>
                    </w:rPr>
                  </w:pPr>
                  <w:r>
                    <w:rPr>
                      <w:rFonts w:eastAsiaTheme="minorEastAsia"/>
                      <w:kern w:val="0"/>
                      <w:szCs w:val="21"/>
                    </w:rPr>
                    <w:t>T</w:t>
                  </w:r>
                  <w:r>
                    <w:rPr>
                      <w:rFonts w:hAnsiTheme="minorEastAsia" w:eastAsiaTheme="minorEastAsia"/>
                      <w:kern w:val="0"/>
                      <w:szCs w:val="21"/>
                    </w:rPr>
                    <w:t>，</w:t>
                  </w:r>
                  <w:r>
                    <w:rPr>
                      <w:rFonts w:eastAsiaTheme="minorEastAsia"/>
                      <w:kern w:val="0"/>
                      <w:szCs w:val="21"/>
                    </w:rPr>
                    <w:t>I</w:t>
                  </w:r>
                  <w:r>
                    <w:rPr>
                      <w:rFonts w:hAnsiTheme="minorEastAsia" w:eastAsiaTheme="minorEastAsia"/>
                      <w:kern w:val="0"/>
                      <w:szCs w:val="21"/>
                    </w:rPr>
                    <w:t>，</w:t>
                  </w:r>
                  <w:r>
                    <w:rPr>
                      <w:rFonts w:eastAsiaTheme="minorEastAsia"/>
                      <w:kern w:val="0"/>
                      <w:szCs w:val="21"/>
                    </w:rPr>
                    <w:t>R</w:t>
                  </w:r>
                </w:p>
              </w:tc>
              <w:tc>
                <w:tcPr>
                  <w:tcW w:w="1177" w:type="dxa"/>
                  <w:vMerge w:val="continue"/>
                  <w:vAlign w:val="center"/>
                </w:tcPr>
                <w:p w14:paraId="7E3FA98B">
                  <w:pPr>
                    <w:adjustRightInd w:val="0"/>
                    <w:snapToGrid w:val="0"/>
                    <w:jc w:val="center"/>
                    <w:rPr>
                      <w:rFonts w:eastAsiaTheme="minorEastAsia"/>
                      <w:bCs/>
                      <w:szCs w:val="21"/>
                    </w:rPr>
                  </w:pPr>
                </w:p>
              </w:tc>
            </w:tr>
            <w:tr w14:paraId="4D35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13AF69DF">
                  <w:pPr>
                    <w:adjustRightInd w:val="0"/>
                    <w:snapToGrid w:val="0"/>
                    <w:jc w:val="center"/>
                    <w:rPr>
                      <w:rFonts w:eastAsiaTheme="minorEastAsia"/>
                      <w:bCs/>
                      <w:szCs w:val="21"/>
                    </w:rPr>
                  </w:pPr>
                  <w:r>
                    <w:rPr>
                      <w:rFonts w:eastAsiaTheme="minorEastAsia"/>
                      <w:bCs/>
                      <w:szCs w:val="21"/>
                    </w:rPr>
                    <w:t>3</w:t>
                  </w:r>
                </w:p>
              </w:tc>
              <w:tc>
                <w:tcPr>
                  <w:tcW w:w="1659" w:type="dxa"/>
                  <w:vAlign w:val="center"/>
                </w:tcPr>
                <w:p w14:paraId="7FAFB8AF">
                  <w:pPr>
                    <w:adjustRightInd w:val="0"/>
                    <w:snapToGrid w:val="0"/>
                    <w:jc w:val="center"/>
                    <w:rPr>
                      <w:rFonts w:eastAsiaTheme="minorEastAsia"/>
                      <w:bCs/>
                      <w:szCs w:val="21"/>
                    </w:rPr>
                  </w:pPr>
                  <w:r>
                    <w:rPr>
                      <w:rFonts w:hAnsiTheme="minorEastAsia" w:eastAsiaTheme="minorEastAsia"/>
                      <w:bCs/>
                      <w:szCs w:val="21"/>
                    </w:rPr>
                    <w:t>废包装桶</w:t>
                  </w:r>
                </w:p>
              </w:tc>
              <w:tc>
                <w:tcPr>
                  <w:tcW w:w="1186" w:type="dxa"/>
                  <w:vAlign w:val="center"/>
                </w:tcPr>
                <w:p w14:paraId="41C9B5DA">
                  <w:pPr>
                    <w:adjustRightInd w:val="0"/>
                    <w:snapToGrid w:val="0"/>
                    <w:jc w:val="center"/>
                    <w:rPr>
                      <w:rFonts w:eastAsiaTheme="minorEastAsia"/>
                      <w:bCs/>
                      <w:szCs w:val="21"/>
                    </w:rPr>
                  </w:pPr>
                  <w:r>
                    <w:rPr>
                      <w:rFonts w:eastAsiaTheme="minorEastAsia"/>
                      <w:kern w:val="0"/>
                      <w:szCs w:val="21"/>
                    </w:rPr>
                    <w:t>HW49</w:t>
                  </w:r>
                </w:p>
              </w:tc>
              <w:tc>
                <w:tcPr>
                  <w:tcW w:w="1426" w:type="dxa"/>
                  <w:vAlign w:val="center"/>
                </w:tcPr>
                <w:p w14:paraId="02DFDEF9">
                  <w:pPr>
                    <w:adjustRightInd w:val="0"/>
                    <w:snapToGrid w:val="0"/>
                    <w:jc w:val="center"/>
                    <w:rPr>
                      <w:rFonts w:eastAsiaTheme="minorEastAsia"/>
                      <w:bCs/>
                      <w:szCs w:val="21"/>
                    </w:rPr>
                  </w:pPr>
                  <w:r>
                    <w:rPr>
                      <w:rFonts w:eastAsiaTheme="minorEastAsia"/>
                      <w:kern w:val="0"/>
                      <w:szCs w:val="21"/>
                    </w:rPr>
                    <w:t>900-041-49</w:t>
                  </w:r>
                </w:p>
              </w:tc>
              <w:tc>
                <w:tcPr>
                  <w:tcW w:w="1176" w:type="dxa"/>
                  <w:vAlign w:val="center"/>
                </w:tcPr>
                <w:p w14:paraId="008CC4F7">
                  <w:pPr>
                    <w:adjustRightInd w:val="0"/>
                    <w:snapToGrid w:val="0"/>
                    <w:jc w:val="center"/>
                    <w:rPr>
                      <w:rFonts w:eastAsiaTheme="minorEastAsia"/>
                      <w:bCs/>
                      <w:szCs w:val="21"/>
                    </w:rPr>
                  </w:pPr>
                  <w:r>
                    <w:rPr>
                      <w:rFonts w:eastAsiaTheme="minorEastAsia"/>
                      <w:bCs/>
                      <w:szCs w:val="21"/>
                    </w:rPr>
                    <w:t>22.235</w:t>
                  </w:r>
                </w:p>
              </w:tc>
              <w:tc>
                <w:tcPr>
                  <w:tcW w:w="1176" w:type="dxa"/>
                  <w:vAlign w:val="center"/>
                </w:tcPr>
                <w:p w14:paraId="0D08E27C">
                  <w:pPr>
                    <w:adjustRightInd w:val="0"/>
                    <w:snapToGrid w:val="0"/>
                    <w:jc w:val="center"/>
                    <w:rPr>
                      <w:rFonts w:eastAsiaTheme="minorEastAsia"/>
                      <w:bCs/>
                      <w:szCs w:val="21"/>
                    </w:rPr>
                  </w:pPr>
                  <w:r>
                    <w:rPr>
                      <w:rFonts w:hAnsiTheme="minorEastAsia" w:eastAsiaTheme="minorEastAsia"/>
                      <w:bCs/>
                      <w:szCs w:val="21"/>
                    </w:rPr>
                    <w:t>全工序</w:t>
                  </w:r>
                </w:p>
              </w:tc>
              <w:tc>
                <w:tcPr>
                  <w:tcW w:w="1176" w:type="dxa"/>
                  <w:vAlign w:val="center"/>
                </w:tcPr>
                <w:p w14:paraId="6EA91277">
                  <w:pPr>
                    <w:jc w:val="center"/>
                    <w:rPr>
                      <w:rFonts w:eastAsiaTheme="minorEastAsia"/>
                      <w:szCs w:val="21"/>
                    </w:rPr>
                  </w:pPr>
                  <w:r>
                    <w:rPr>
                      <w:rFonts w:hAnsiTheme="minorEastAsia" w:eastAsiaTheme="minorEastAsia"/>
                      <w:bCs/>
                      <w:szCs w:val="21"/>
                    </w:rPr>
                    <w:t>固态</w:t>
                  </w:r>
                </w:p>
              </w:tc>
              <w:tc>
                <w:tcPr>
                  <w:tcW w:w="1176" w:type="dxa"/>
                  <w:vAlign w:val="center"/>
                </w:tcPr>
                <w:p w14:paraId="4F9C57C8">
                  <w:pPr>
                    <w:adjustRightInd w:val="0"/>
                    <w:snapToGrid w:val="0"/>
                    <w:jc w:val="center"/>
                    <w:rPr>
                      <w:rFonts w:eastAsiaTheme="minorEastAsia"/>
                      <w:bCs/>
                      <w:szCs w:val="21"/>
                    </w:rPr>
                  </w:pPr>
                  <w:r>
                    <w:rPr>
                      <w:rFonts w:hAnsiTheme="minorEastAsia" w:eastAsiaTheme="minorEastAsia"/>
                      <w:bCs/>
                      <w:szCs w:val="21"/>
                    </w:rPr>
                    <w:t>油墨、润版液、洗车水、水基性胶粘剂、润滑油</w:t>
                  </w:r>
                </w:p>
              </w:tc>
              <w:tc>
                <w:tcPr>
                  <w:tcW w:w="1176" w:type="dxa"/>
                  <w:vAlign w:val="center"/>
                </w:tcPr>
                <w:p w14:paraId="5BFBD915">
                  <w:pPr>
                    <w:adjustRightInd w:val="0"/>
                    <w:snapToGrid w:val="0"/>
                    <w:jc w:val="center"/>
                    <w:rPr>
                      <w:rFonts w:eastAsiaTheme="minorEastAsia"/>
                      <w:bCs/>
                      <w:szCs w:val="21"/>
                    </w:rPr>
                  </w:pPr>
                  <w:r>
                    <w:rPr>
                      <w:rFonts w:hAnsiTheme="minorEastAsia" w:eastAsiaTheme="minorEastAsia"/>
                      <w:bCs/>
                      <w:szCs w:val="21"/>
                    </w:rPr>
                    <w:t>油墨、润版液、洗车水、水基性胶粘剂、润滑油</w:t>
                  </w:r>
                </w:p>
              </w:tc>
              <w:tc>
                <w:tcPr>
                  <w:tcW w:w="1177" w:type="dxa"/>
                  <w:vAlign w:val="center"/>
                </w:tcPr>
                <w:p w14:paraId="65087D7B">
                  <w:pPr>
                    <w:adjustRightInd w:val="0"/>
                    <w:snapToGrid w:val="0"/>
                    <w:jc w:val="center"/>
                    <w:rPr>
                      <w:rFonts w:eastAsiaTheme="minorEastAsia"/>
                      <w:bCs/>
                      <w:szCs w:val="21"/>
                    </w:rPr>
                  </w:pPr>
                  <w:r>
                    <w:rPr>
                      <w:rFonts w:hAnsiTheme="minorEastAsia" w:eastAsiaTheme="minorEastAsia"/>
                      <w:bCs/>
                      <w:szCs w:val="21"/>
                    </w:rPr>
                    <w:t>连续</w:t>
                  </w:r>
                </w:p>
              </w:tc>
              <w:tc>
                <w:tcPr>
                  <w:tcW w:w="1177" w:type="dxa"/>
                  <w:vAlign w:val="center"/>
                </w:tcPr>
                <w:p w14:paraId="7A9E7BCC">
                  <w:pPr>
                    <w:adjustRightInd w:val="0"/>
                    <w:snapToGrid w:val="0"/>
                    <w:jc w:val="center"/>
                    <w:rPr>
                      <w:rFonts w:eastAsiaTheme="minorEastAsia"/>
                      <w:bCs/>
                      <w:szCs w:val="21"/>
                    </w:rPr>
                  </w:pPr>
                  <w:r>
                    <w:rPr>
                      <w:rFonts w:eastAsiaTheme="minorEastAsia"/>
                      <w:kern w:val="0"/>
                      <w:szCs w:val="21"/>
                    </w:rPr>
                    <w:t>T/In</w:t>
                  </w:r>
                </w:p>
              </w:tc>
              <w:tc>
                <w:tcPr>
                  <w:tcW w:w="1177" w:type="dxa"/>
                  <w:vMerge w:val="continue"/>
                  <w:vAlign w:val="center"/>
                </w:tcPr>
                <w:p w14:paraId="02D4A327">
                  <w:pPr>
                    <w:adjustRightInd w:val="0"/>
                    <w:snapToGrid w:val="0"/>
                    <w:jc w:val="center"/>
                    <w:rPr>
                      <w:rFonts w:eastAsiaTheme="minorEastAsia"/>
                      <w:bCs/>
                      <w:szCs w:val="21"/>
                    </w:rPr>
                  </w:pPr>
                </w:p>
              </w:tc>
            </w:tr>
            <w:tr w14:paraId="3D36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11CCFFC9">
                  <w:pPr>
                    <w:adjustRightInd w:val="0"/>
                    <w:snapToGrid w:val="0"/>
                    <w:jc w:val="center"/>
                    <w:rPr>
                      <w:rFonts w:eastAsiaTheme="minorEastAsia"/>
                      <w:bCs/>
                      <w:szCs w:val="21"/>
                    </w:rPr>
                  </w:pPr>
                  <w:r>
                    <w:rPr>
                      <w:rFonts w:eastAsiaTheme="minorEastAsia"/>
                      <w:bCs/>
                      <w:szCs w:val="21"/>
                    </w:rPr>
                    <w:t>4</w:t>
                  </w:r>
                </w:p>
              </w:tc>
              <w:tc>
                <w:tcPr>
                  <w:tcW w:w="1659" w:type="dxa"/>
                  <w:vAlign w:val="center"/>
                </w:tcPr>
                <w:p w14:paraId="31AEFCD9">
                  <w:pPr>
                    <w:adjustRightInd w:val="0"/>
                    <w:snapToGrid w:val="0"/>
                    <w:jc w:val="center"/>
                    <w:rPr>
                      <w:rFonts w:eastAsiaTheme="minorEastAsia"/>
                      <w:bCs/>
                      <w:szCs w:val="21"/>
                    </w:rPr>
                  </w:pPr>
                  <w:r>
                    <w:rPr>
                      <w:rFonts w:hAnsiTheme="minorEastAsia" w:eastAsiaTheme="minorEastAsia"/>
                      <w:bCs/>
                      <w:szCs w:val="21"/>
                    </w:rPr>
                    <w:t>废</w:t>
                  </w:r>
                  <w:r>
                    <w:rPr>
                      <w:rFonts w:eastAsiaTheme="minorEastAsia"/>
                      <w:bCs/>
                      <w:szCs w:val="21"/>
                    </w:rPr>
                    <w:t>CTP</w:t>
                  </w:r>
                  <w:r>
                    <w:rPr>
                      <w:rFonts w:hAnsiTheme="minorEastAsia" w:eastAsiaTheme="minorEastAsia"/>
                      <w:bCs/>
                      <w:szCs w:val="21"/>
                    </w:rPr>
                    <w:t>版</w:t>
                  </w:r>
                </w:p>
              </w:tc>
              <w:tc>
                <w:tcPr>
                  <w:tcW w:w="1186" w:type="dxa"/>
                  <w:vAlign w:val="center"/>
                </w:tcPr>
                <w:p w14:paraId="144C4398">
                  <w:pPr>
                    <w:adjustRightInd w:val="0"/>
                    <w:snapToGrid w:val="0"/>
                    <w:jc w:val="center"/>
                    <w:rPr>
                      <w:rFonts w:eastAsiaTheme="minorEastAsia"/>
                      <w:bCs/>
                      <w:szCs w:val="21"/>
                    </w:rPr>
                  </w:pPr>
                  <w:r>
                    <w:rPr>
                      <w:rFonts w:eastAsiaTheme="minorEastAsia"/>
                      <w:bCs/>
                      <w:szCs w:val="21"/>
                    </w:rPr>
                    <w:t>HW16</w:t>
                  </w:r>
                </w:p>
              </w:tc>
              <w:tc>
                <w:tcPr>
                  <w:tcW w:w="1426" w:type="dxa"/>
                  <w:vAlign w:val="center"/>
                </w:tcPr>
                <w:p w14:paraId="58468A95">
                  <w:pPr>
                    <w:adjustRightInd w:val="0"/>
                    <w:snapToGrid w:val="0"/>
                    <w:jc w:val="center"/>
                    <w:rPr>
                      <w:rFonts w:eastAsiaTheme="minorEastAsia"/>
                      <w:bCs/>
                      <w:szCs w:val="21"/>
                    </w:rPr>
                  </w:pPr>
                  <w:r>
                    <w:rPr>
                      <w:rFonts w:eastAsiaTheme="minorEastAsia"/>
                      <w:kern w:val="0"/>
                      <w:szCs w:val="21"/>
                    </w:rPr>
                    <w:t>231-002-16</w:t>
                  </w:r>
                </w:p>
              </w:tc>
              <w:tc>
                <w:tcPr>
                  <w:tcW w:w="1176" w:type="dxa"/>
                  <w:vAlign w:val="center"/>
                </w:tcPr>
                <w:p w14:paraId="66895BE5">
                  <w:pPr>
                    <w:adjustRightInd w:val="0"/>
                    <w:snapToGrid w:val="0"/>
                    <w:jc w:val="center"/>
                    <w:rPr>
                      <w:rFonts w:eastAsiaTheme="minorEastAsia"/>
                      <w:bCs/>
                      <w:szCs w:val="21"/>
                    </w:rPr>
                  </w:pPr>
                  <w:r>
                    <w:rPr>
                      <w:rFonts w:eastAsiaTheme="minorEastAsia"/>
                      <w:bCs/>
                      <w:szCs w:val="21"/>
                    </w:rPr>
                    <w:t>1</w:t>
                  </w:r>
                </w:p>
              </w:tc>
              <w:tc>
                <w:tcPr>
                  <w:tcW w:w="1176" w:type="dxa"/>
                  <w:vAlign w:val="center"/>
                </w:tcPr>
                <w:p w14:paraId="054F6D05">
                  <w:pPr>
                    <w:adjustRightInd w:val="0"/>
                    <w:snapToGrid w:val="0"/>
                    <w:jc w:val="center"/>
                    <w:rPr>
                      <w:rFonts w:eastAsiaTheme="minorEastAsia"/>
                      <w:bCs/>
                      <w:szCs w:val="21"/>
                    </w:rPr>
                  </w:pPr>
                  <w:r>
                    <w:rPr>
                      <w:rFonts w:hAnsiTheme="minorEastAsia" w:eastAsiaTheme="minorEastAsia"/>
                      <w:bCs/>
                      <w:szCs w:val="21"/>
                    </w:rPr>
                    <w:t>制版</w:t>
                  </w:r>
                </w:p>
              </w:tc>
              <w:tc>
                <w:tcPr>
                  <w:tcW w:w="1176" w:type="dxa"/>
                  <w:vAlign w:val="center"/>
                </w:tcPr>
                <w:p w14:paraId="4FBA788E">
                  <w:pPr>
                    <w:jc w:val="center"/>
                    <w:rPr>
                      <w:rFonts w:eastAsiaTheme="minorEastAsia"/>
                      <w:szCs w:val="21"/>
                    </w:rPr>
                  </w:pPr>
                  <w:r>
                    <w:rPr>
                      <w:rFonts w:hAnsiTheme="minorEastAsia" w:eastAsiaTheme="minorEastAsia"/>
                      <w:bCs/>
                      <w:szCs w:val="21"/>
                    </w:rPr>
                    <w:t>固态</w:t>
                  </w:r>
                </w:p>
              </w:tc>
              <w:tc>
                <w:tcPr>
                  <w:tcW w:w="1176" w:type="dxa"/>
                  <w:vAlign w:val="center"/>
                </w:tcPr>
                <w:p w14:paraId="53947FB9">
                  <w:pPr>
                    <w:adjustRightInd w:val="0"/>
                    <w:snapToGrid w:val="0"/>
                    <w:jc w:val="center"/>
                    <w:rPr>
                      <w:rFonts w:eastAsiaTheme="minorEastAsia"/>
                      <w:bCs/>
                      <w:szCs w:val="21"/>
                    </w:rPr>
                  </w:pPr>
                  <w:r>
                    <w:rPr>
                      <w:rFonts w:hAnsiTheme="minorEastAsia" w:eastAsiaTheme="minorEastAsia"/>
                      <w:bCs/>
                      <w:szCs w:val="21"/>
                    </w:rPr>
                    <w:t>感光材料</w:t>
                  </w:r>
                </w:p>
              </w:tc>
              <w:tc>
                <w:tcPr>
                  <w:tcW w:w="1176" w:type="dxa"/>
                  <w:vAlign w:val="center"/>
                </w:tcPr>
                <w:p w14:paraId="6DF8C309">
                  <w:pPr>
                    <w:adjustRightInd w:val="0"/>
                    <w:snapToGrid w:val="0"/>
                    <w:jc w:val="center"/>
                    <w:rPr>
                      <w:rFonts w:eastAsiaTheme="minorEastAsia"/>
                      <w:bCs/>
                      <w:szCs w:val="21"/>
                    </w:rPr>
                  </w:pPr>
                  <w:r>
                    <w:rPr>
                      <w:rFonts w:hAnsiTheme="minorEastAsia" w:eastAsiaTheme="minorEastAsia"/>
                      <w:bCs/>
                      <w:szCs w:val="21"/>
                    </w:rPr>
                    <w:t>感光材料</w:t>
                  </w:r>
                </w:p>
              </w:tc>
              <w:tc>
                <w:tcPr>
                  <w:tcW w:w="1177" w:type="dxa"/>
                  <w:vAlign w:val="center"/>
                </w:tcPr>
                <w:p w14:paraId="7AACF759">
                  <w:pPr>
                    <w:adjustRightInd w:val="0"/>
                    <w:snapToGrid w:val="0"/>
                    <w:jc w:val="center"/>
                    <w:rPr>
                      <w:rFonts w:eastAsiaTheme="minorEastAsia"/>
                      <w:bCs/>
                      <w:szCs w:val="21"/>
                    </w:rPr>
                  </w:pPr>
                  <w:r>
                    <w:rPr>
                      <w:rFonts w:hAnsiTheme="minorEastAsia" w:eastAsiaTheme="minorEastAsia"/>
                      <w:bCs/>
                      <w:szCs w:val="21"/>
                    </w:rPr>
                    <w:t>间断</w:t>
                  </w:r>
                </w:p>
              </w:tc>
              <w:tc>
                <w:tcPr>
                  <w:tcW w:w="1177" w:type="dxa"/>
                  <w:vAlign w:val="center"/>
                </w:tcPr>
                <w:p w14:paraId="0B025C61">
                  <w:pPr>
                    <w:adjustRightInd w:val="0"/>
                    <w:snapToGrid w:val="0"/>
                    <w:jc w:val="center"/>
                    <w:rPr>
                      <w:rFonts w:eastAsiaTheme="minorEastAsia"/>
                      <w:bCs/>
                      <w:szCs w:val="21"/>
                    </w:rPr>
                  </w:pPr>
                  <w:r>
                    <w:rPr>
                      <w:rFonts w:eastAsiaTheme="minorEastAsia"/>
                      <w:kern w:val="0"/>
                      <w:szCs w:val="21"/>
                    </w:rPr>
                    <w:t>T</w:t>
                  </w:r>
                </w:p>
              </w:tc>
              <w:tc>
                <w:tcPr>
                  <w:tcW w:w="1177" w:type="dxa"/>
                  <w:vMerge w:val="continue"/>
                  <w:vAlign w:val="center"/>
                </w:tcPr>
                <w:p w14:paraId="53077DCB">
                  <w:pPr>
                    <w:adjustRightInd w:val="0"/>
                    <w:snapToGrid w:val="0"/>
                    <w:jc w:val="center"/>
                    <w:rPr>
                      <w:rFonts w:eastAsiaTheme="minorEastAsia"/>
                      <w:bCs/>
                      <w:szCs w:val="21"/>
                    </w:rPr>
                  </w:pPr>
                </w:p>
              </w:tc>
            </w:tr>
            <w:tr w14:paraId="0814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463CDA4C">
                  <w:pPr>
                    <w:adjustRightInd w:val="0"/>
                    <w:snapToGrid w:val="0"/>
                    <w:jc w:val="center"/>
                    <w:rPr>
                      <w:rFonts w:eastAsiaTheme="minorEastAsia"/>
                      <w:bCs/>
                      <w:szCs w:val="21"/>
                    </w:rPr>
                  </w:pPr>
                  <w:r>
                    <w:rPr>
                      <w:rFonts w:eastAsiaTheme="minorEastAsia"/>
                      <w:bCs/>
                      <w:szCs w:val="21"/>
                    </w:rPr>
                    <w:t>5</w:t>
                  </w:r>
                </w:p>
              </w:tc>
              <w:tc>
                <w:tcPr>
                  <w:tcW w:w="1659" w:type="dxa"/>
                  <w:vAlign w:val="center"/>
                </w:tcPr>
                <w:p w14:paraId="26E2D75F">
                  <w:pPr>
                    <w:adjustRightInd w:val="0"/>
                    <w:snapToGrid w:val="0"/>
                    <w:jc w:val="center"/>
                    <w:rPr>
                      <w:rFonts w:eastAsiaTheme="minorEastAsia"/>
                      <w:bCs/>
                      <w:szCs w:val="21"/>
                    </w:rPr>
                  </w:pPr>
                  <w:r>
                    <w:rPr>
                      <w:rFonts w:hAnsiTheme="minorEastAsia" w:eastAsiaTheme="minorEastAsia"/>
                      <w:bCs/>
                      <w:szCs w:val="21"/>
                    </w:rPr>
                    <w:t>废润滑油</w:t>
                  </w:r>
                </w:p>
              </w:tc>
              <w:tc>
                <w:tcPr>
                  <w:tcW w:w="1186" w:type="dxa"/>
                  <w:vAlign w:val="center"/>
                </w:tcPr>
                <w:p w14:paraId="0CAF0C46">
                  <w:pPr>
                    <w:adjustRightInd w:val="0"/>
                    <w:snapToGrid w:val="0"/>
                    <w:jc w:val="center"/>
                    <w:rPr>
                      <w:rFonts w:eastAsiaTheme="minorEastAsia"/>
                      <w:bCs/>
                      <w:szCs w:val="21"/>
                    </w:rPr>
                  </w:pPr>
                  <w:r>
                    <w:rPr>
                      <w:rFonts w:eastAsiaTheme="minorEastAsia"/>
                      <w:kern w:val="0"/>
                      <w:szCs w:val="21"/>
                    </w:rPr>
                    <w:t>HW08</w:t>
                  </w:r>
                </w:p>
              </w:tc>
              <w:tc>
                <w:tcPr>
                  <w:tcW w:w="1426" w:type="dxa"/>
                  <w:vAlign w:val="center"/>
                </w:tcPr>
                <w:p w14:paraId="36D1E4DB">
                  <w:pPr>
                    <w:adjustRightInd w:val="0"/>
                    <w:snapToGrid w:val="0"/>
                    <w:jc w:val="center"/>
                    <w:rPr>
                      <w:rFonts w:eastAsiaTheme="minorEastAsia"/>
                      <w:bCs/>
                      <w:szCs w:val="21"/>
                    </w:rPr>
                  </w:pPr>
                  <w:r>
                    <w:rPr>
                      <w:rFonts w:eastAsiaTheme="minorEastAsia"/>
                      <w:kern w:val="0"/>
                      <w:szCs w:val="21"/>
                    </w:rPr>
                    <w:t>900-214-08</w:t>
                  </w:r>
                </w:p>
              </w:tc>
              <w:tc>
                <w:tcPr>
                  <w:tcW w:w="1176" w:type="dxa"/>
                  <w:vAlign w:val="center"/>
                </w:tcPr>
                <w:p w14:paraId="070C7AF4">
                  <w:pPr>
                    <w:adjustRightInd w:val="0"/>
                    <w:snapToGrid w:val="0"/>
                    <w:jc w:val="center"/>
                    <w:rPr>
                      <w:rFonts w:eastAsiaTheme="minorEastAsia"/>
                      <w:bCs/>
                      <w:szCs w:val="21"/>
                    </w:rPr>
                  </w:pPr>
                  <w:r>
                    <w:rPr>
                      <w:rFonts w:hint="eastAsia" w:eastAsiaTheme="minorEastAsia"/>
                      <w:bCs/>
                      <w:szCs w:val="21"/>
                    </w:rPr>
                    <w:t>0.136</w:t>
                  </w:r>
                </w:p>
              </w:tc>
              <w:tc>
                <w:tcPr>
                  <w:tcW w:w="1176" w:type="dxa"/>
                  <w:vAlign w:val="center"/>
                </w:tcPr>
                <w:p w14:paraId="432843DD">
                  <w:pPr>
                    <w:adjustRightInd w:val="0"/>
                    <w:snapToGrid w:val="0"/>
                    <w:jc w:val="center"/>
                    <w:rPr>
                      <w:rFonts w:eastAsiaTheme="minorEastAsia"/>
                      <w:bCs/>
                      <w:szCs w:val="21"/>
                    </w:rPr>
                  </w:pPr>
                  <w:r>
                    <w:rPr>
                      <w:rFonts w:hAnsiTheme="minorEastAsia" w:eastAsiaTheme="minorEastAsia"/>
                      <w:bCs/>
                      <w:szCs w:val="21"/>
                    </w:rPr>
                    <w:t>润滑</w:t>
                  </w:r>
                </w:p>
              </w:tc>
              <w:tc>
                <w:tcPr>
                  <w:tcW w:w="1176" w:type="dxa"/>
                  <w:vAlign w:val="center"/>
                </w:tcPr>
                <w:p w14:paraId="65C38D46">
                  <w:pPr>
                    <w:adjustRightInd w:val="0"/>
                    <w:snapToGrid w:val="0"/>
                    <w:jc w:val="center"/>
                    <w:rPr>
                      <w:rFonts w:eastAsiaTheme="minorEastAsia"/>
                      <w:bCs/>
                      <w:szCs w:val="21"/>
                    </w:rPr>
                  </w:pPr>
                  <w:r>
                    <w:rPr>
                      <w:rFonts w:hAnsiTheme="minorEastAsia" w:eastAsiaTheme="minorEastAsia"/>
                      <w:bCs/>
                      <w:szCs w:val="21"/>
                    </w:rPr>
                    <w:t>液态</w:t>
                  </w:r>
                </w:p>
              </w:tc>
              <w:tc>
                <w:tcPr>
                  <w:tcW w:w="1176" w:type="dxa"/>
                  <w:vAlign w:val="center"/>
                </w:tcPr>
                <w:p w14:paraId="6F5B819E">
                  <w:pPr>
                    <w:adjustRightInd w:val="0"/>
                    <w:snapToGrid w:val="0"/>
                    <w:jc w:val="center"/>
                    <w:rPr>
                      <w:rFonts w:eastAsiaTheme="minorEastAsia"/>
                      <w:bCs/>
                      <w:szCs w:val="21"/>
                    </w:rPr>
                  </w:pPr>
                  <w:r>
                    <w:rPr>
                      <w:rFonts w:hAnsiTheme="minorEastAsia" w:eastAsiaTheme="minorEastAsia"/>
                      <w:bCs/>
                      <w:szCs w:val="21"/>
                    </w:rPr>
                    <w:t>矿物油</w:t>
                  </w:r>
                </w:p>
              </w:tc>
              <w:tc>
                <w:tcPr>
                  <w:tcW w:w="1176" w:type="dxa"/>
                  <w:vAlign w:val="center"/>
                </w:tcPr>
                <w:p w14:paraId="68F01F08">
                  <w:pPr>
                    <w:adjustRightInd w:val="0"/>
                    <w:snapToGrid w:val="0"/>
                    <w:jc w:val="center"/>
                    <w:rPr>
                      <w:rFonts w:eastAsiaTheme="minorEastAsia"/>
                      <w:bCs/>
                      <w:szCs w:val="21"/>
                    </w:rPr>
                  </w:pPr>
                  <w:r>
                    <w:rPr>
                      <w:rFonts w:hAnsiTheme="minorEastAsia" w:eastAsiaTheme="minorEastAsia"/>
                      <w:bCs/>
                      <w:szCs w:val="21"/>
                    </w:rPr>
                    <w:t>矿物油</w:t>
                  </w:r>
                </w:p>
              </w:tc>
              <w:tc>
                <w:tcPr>
                  <w:tcW w:w="1177" w:type="dxa"/>
                  <w:vAlign w:val="center"/>
                </w:tcPr>
                <w:p w14:paraId="6F6576E1">
                  <w:pPr>
                    <w:adjustRightInd w:val="0"/>
                    <w:snapToGrid w:val="0"/>
                    <w:jc w:val="center"/>
                    <w:rPr>
                      <w:rFonts w:eastAsiaTheme="minorEastAsia"/>
                      <w:bCs/>
                      <w:szCs w:val="21"/>
                    </w:rPr>
                  </w:pPr>
                  <w:r>
                    <w:rPr>
                      <w:rFonts w:hAnsiTheme="minorEastAsia" w:eastAsiaTheme="minorEastAsia"/>
                      <w:bCs/>
                      <w:szCs w:val="21"/>
                    </w:rPr>
                    <w:t>间断</w:t>
                  </w:r>
                </w:p>
              </w:tc>
              <w:tc>
                <w:tcPr>
                  <w:tcW w:w="1177" w:type="dxa"/>
                  <w:vAlign w:val="center"/>
                </w:tcPr>
                <w:p w14:paraId="4FBA830D">
                  <w:pPr>
                    <w:adjustRightInd w:val="0"/>
                    <w:snapToGrid w:val="0"/>
                    <w:jc w:val="center"/>
                    <w:rPr>
                      <w:rFonts w:eastAsiaTheme="minorEastAsia"/>
                      <w:bCs/>
                      <w:szCs w:val="21"/>
                    </w:rPr>
                  </w:pPr>
                  <w:r>
                    <w:rPr>
                      <w:rFonts w:eastAsiaTheme="minorEastAsia"/>
                      <w:kern w:val="0"/>
                      <w:szCs w:val="21"/>
                    </w:rPr>
                    <w:t>T</w:t>
                  </w:r>
                  <w:r>
                    <w:rPr>
                      <w:rFonts w:hAnsiTheme="minorEastAsia" w:eastAsiaTheme="minorEastAsia"/>
                      <w:kern w:val="0"/>
                      <w:szCs w:val="21"/>
                    </w:rPr>
                    <w:t>，</w:t>
                  </w:r>
                  <w:r>
                    <w:rPr>
                      <w:rFonts w:eastAsiaTheme="minorEastAsia"/>
                      <w:kern w:val="0"/>
                      <w:szCs w:val="21"/>
                    </w:rPr>
                    <w:t>I</w:t>
                  </w:r>
                </w:p>
              </w:tc>
              <w:tc>
                <w:tcPr>
                  <w:tcW w:w="1177" w:type="dxa"/>
                  <w:vMerge w:val="continue"/>
                  <w:vAlign w:val="center"/>
                </w:tcPr>
                <w:p w14:paraId="4BBF4A6A">
                  <w:pPr>
                    <w:adjustRightInd w:val="0"/>
                    <w:snapToGrid w:val="0"/>
                    <w:jc w:val="center"/>
                    <w:rPr>
                      <w:rFonts w:eastAsiaTheme="minorEastAsia"/>
                      <w:bCs/>
                      <w:szCs w:val="21"/>
                    </w:rPr>
                  </w:pPr>
                </w:p>
              </w:tc>
            </w:tr>
            <w:tr w14:paraId="03F5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17C8A8AD">
                  <w:pPr>
                    <w:adjustRightInd w:val="0"/>
                    <w:snapToGrid w:val="0"/>
                    <w:jc w:val="center"/>
                    <w:rPr>
                      <w:rFonts w:eastAsiaTheme="minorEastAsia"/>
                      <w:bCs/>
                      <w:szCs w:val="21"/>
                    </w:rPr>
                  </w:pPr>
                  <w:r>
                    <w:rPr>
                      <w:rFonts w:eastAsiaTheme="minorEastAsia"/>
                      <w:bCs/>
                      <w:szCs w:val="21"/>
                    </w:rPr>
                    <w:t>7</w:t>
                  </w:r>
                </w:p>
              </w:tc>
              <w:tc>
                <w:tcPr>
                  <w:tcW w:w="1659" w:type="dxa"/>
                  <w:vAlign w:val="center"/>
                </w:tcPr>
                <w:p w14:paraId="2A2402BF">
                  <w:pPr>
                    <w:adjustRightInd w:val="0"/>
                    <w:snapToGrid w:val="0"/>
                    <w:jc w:val="center"/>
                    <w:rPr>
                      <w:rFonts w:eastAsiaTheme="minorEastAsia"/>
                      <w:bCs/>
                      <w:szCs w:val="21"/>
                    </w:rPr>
                  </w:pPr>
                  <w:r>
                    <w:rPr>
                      <w:rFonts w:hAnsiTheme="minorEastAsia" w:eastAsiaTheme="minorEastAsia"/>
                      <w:bCs/>
                      <w:szCs w:val="21"/>
                    </w:rPr>
                    <w:t>废活性炭</w:t>
                  </w:r>
                </w:p>
              </w:tc>
              <w:tc>
                <w:tcPr>
                  <w:tcW w:w="1186" w:type="dxa"/>
                  <w:vAlign w:val="center"/>
                </w:tcPr>
                <w:p w14:paraId="2ABACC0E">
                  <w:pPr>
                    <w:adjustRightInd w:val="0"/>
                    <w:snapToGrid w:val="0"/>
                    <w:jc w:val="center"/>
                    <w:rPr>
                      <w:rFonts w:eastAsiaTheme="minorEastAsia"/>
                      <w:bCs/>
                      <w:szCs w:val="21"/>
                    </w:rPr>
                  </w:pPr>
                  <w:r>
                    <w:rPr>
                      <w:rFonts w:eastAsiaTheme="minorEastAsia"/>
                      <w:kern w:val="0"/>
                      <w:szCs w:val="21"/>
                    </w:rPr>
                    <w:t>HW49</w:t>
                  </w:r>
                </w:p>
              </w:tc>
              <w:tc>
                <w:tcPr>
                  <w:tcW w:w="1426" w:type="dxa"/>
                  <w:vAlign w:val="center"/>
                </w:tcPr>
                <w:p w14:paraId="1B5D6E44">
                  <w:pPr>
                    <w:adjustRightInd w:val="0"/>
                    <w:snapToGrid w:val="0"/>
                    <w:jc w:val="center"/>
                    <w:rPr>
                      <w:rFonts w:eastAsiaTheme="minorEastAsia"/>
                      <w:bCs/>
                      <w:szCs w:val="21"/>
                    </w:rPr>
                  </w:pPr>
                  <w:r>
                    <w:rPr>
                      <w:rFonts w:eastAsiaTheme="minorEastAsia"/>
                      <w:kern w:val="0"/>
                      <w:szCs w:val="21"/>
                    </w:rPr>
                    <w:t>900-039-49</w:t>
                  </w:r>
                </w:p>
              </w:tc>
              <w:tc>
                <w:tcPr>
                  <w:tcW w:w="1176" w:type="dxa"/>
                  <w:vAlign w:val="center"/>
                </w:tcPr>
                <w:p w14:paraId="08D15DAA">
                  <w:pPr>
                    <w:adjustRightInd w:val="0"/>
                    <w:snapToGrid w:val="0"/>
                    <w:jc w:val="center"/>
                    <w:rPr>
                      <w:rFonts w:eastAsiaTheme="minorEastAsia"/>
                      <w:bCs/>
                      <w:szCs w:val="21"/>
                    </w:rPr>
                  </w:pPr>
                  <w:r>
                    <w:rPr>
                      <w:rFonts w:hint="eastAsia" w:eastAsiaTheme="minorEastAsia"/>
                      <w:bCs/>
                      <w:szCs w:val="21"/>
                    </w:rPr>
                    <w:t>3.82</w:t>
                  </w:r>
                </w:p>
              </w:tc>
              <w:tc>
                <w:tcPr>
                  <w:tcW w:w="1176" w:type="dxa"/>
                  <w:vAlign w:val="center"/>
                </w:tcPr>
                <w:p w14:paraId="4BD9E5E4">
                  <w:pPr>
                    <w:adjustRightInd w:val="0"/>
                    <w:snapToGrid w:val="0"/>
                    <w:jc w:val="center"/>
                    <w:rPr>
                      <w:rFonts w:eastAsiaTheme="minorEastAsia"/>
                      <w:bCs/>
                      <w:szCs w:val="21"/>
                    </w:rPr>
                  </w:pPr>
                  <w:r>
                    <w:rPr>
                      <w:rFonts w:hAnsiTheme="minorEastAsia" w:eastAsiaTheme="minorEastAsia"/>
                      <w:bCs/>
                      <w:szCs w:val="21"/>
                    </w:rPr>
                    <w:t>废气治理</w:t>
                  </w:r>
                </w:p>
              </w:tc>
              <w:tc>
                <w:tcPr>
                  <w:tcW w:w="1176" w:type="dxa"/>
                  <w:vAlign w:val="center"/>
                </w:tcPr>
                <w:p w14:paraId="5D7BC77A">
                  <w:pPr>
                    <w:jc w:val="center"/>
                    <w:rPr>
                      <w:rFonts w:eastAsiaTheme="minorEastAsia"/>
                      <w:szCs w:val="21"/>
                    </w:rPr>
                  </w:pPr>
                  <w:r>
                    <w:rPr>
                      <w:rFonts w:hAnsiTheme="minorEastAsia" w:eastAsiaTheme="minorEastAsia"/>
                      <w:bCs/>
                      <w:szCs w:val="21"/>
                    </w:rPr>
                    <w:t>固态</w:t>
                  </w:r>
                </w:p>
              </w:tc>
              <w:tc>
                <w:tcPr>
                  <w:tcW w:w="1176" w:type="dxa"/>
                  <w:vAlign w:val="center"/>
                </w:tcPr>
                <w:p w14:paraId="3E6A57B0">
                  <w:pPr>
                    <w:adjustRightInd w:val="0"/>
                    <w:snapToGrid w:val="0"/>
                    <w:jc w:val="center"/>
                    <w:rPr>
                      <w:rFonts w:eastAsiaTheme="minorEastAsia"/>
                      <w:bCs/>
                      <w:szCs w:val="21"/>
                    </w:rPr>
                  </w:pPr>
                  <w:r>
                    <w:rPr>
                      <w:rFonts w:hAnsiTheme="minorEastAsia" w:eastAsiaTheme="minorEastAsia"/>
                      <w:bCs/>
                      <w:szCs w:val="21"/>
                    </w:rPr>
                    <w:t>活性炭</w:t>
                  </w:r>
                </w:p>
              </w:tc>
              <w:tc>
                <w:tcPr>
                  <w:tcW w:w="1176" w:type="dxa"/>
                  <w:vAlign w:val="center"/>
                </w:tcPr>
                <w:p w14:paraId="78755A28">
                  <w:pPr>
                    <w:adjustRightInd w:val="0"/>
                    <w:snapToGrid w:val="0"/>
                    <w:jc w:val="center"/>
                    <w:rPr>
                      <w:rFonts w:eastAsiaTheme="minorEastAsia"/>
                      <w:bCs/>
                      <w:szCs w:val="21"/>
                    </w:rPr>
                  </w:pPr>
                  <w:r>
                    <w:rPr>
                      <w:rFonts w:hAnsiTheme="minorEastAsia" w:eastAsiaTheme="minorEastAsia"/>
                      <w:bCs/>
                      <w:szCs w:val="21"/>
                    </w:rPr>
                    <w:t>活性炭</w:t>
                  </w:r>
                </w:p>
              </w:tc>
              <w:tc>
                <w:tcPr>
                  <w:tcW w:w="1177" w:type="dxa"/>
                  <w:vAlign w:val="center"/>
                </w:tcPr>
                <w:p w14:paraId="3ACF6A57">
                  <w:pPr>
                    <w:adjustRightInd w:val="0"/>
                    <w:snapToGrid w:val="0"/>
                    <w:jc w:val="center"/>
                    <w:rPr>
                      <w:rFonts w:eastAsiaTheme="minorEastAsia"/>
                      <w:bCs/>
                      <w:szCs w:val="21"/>
                    </w:rPr>
                  </w:pPr>
                  <w:r>
                    <w:rPr>
                      <w:rFonts w:hAnsiTheme="minorEastAsia" w:eastAsiaTheme="minorEastAsia"/>
                      <w:bCs/>
                      <w:szCs w:val="21"/>
                    </w:rPr>
                    <w:t>间断</w:t>
                  </w:r>
                </w:p>
              </w:tc>
              <w:tc>
                <w:tcPr>
                  <w:tcW w:w="1177" w:type="dxa"/>
                  <w:vAlign w:val="center"/>
                </w:tcPr>
                <w:p w14:paraId="42883B7C">
                  <w:pPr>
                    <w:adjustRightInd w:val="0"/>
                    <w:snapToGrid w:val="0"/>
                    <w:jc w:val="center"/>
                    <w:rPr>
                      <w:rFonts w:eastAsiaTheme="minorEastAsia"/>
                      <w:bCs/>
                      <w:szCs w:val="21"/>
                    </w:rPr>
                  </w:pPr>
                  <w:r>
                    <w:rPr>
                      <w:rFonts w:eastAsiaTheme="minorEastAsia"/>
                      <w:kern w:val="0"/>
                      <w:szCs w:val="21"/>
                    </w:rPr>
                    <w:t>T</w:t>
                  </w:r>
                </w:p>
              </w:tc>
              <w:tc>
                <w:tcPr>
                  <w:tcW w:w="1177" w:type="dxa"/>
                  <w:vMerge w:val="continue"/>
                  <w:vAlign w:val="center"/>
                </w:tcPr>
                <w:p w14:paraId="64F8BD2D">
                  <w:pPr>
                    <w:adjustRightInd w:val="0"/>
                    <w:snapToGrid w:val="0"/>
                    <w:jc w:val="center"/>
                    <w:rPr>
                      <w:rFonts w:eastAsiaTheme="minorEastAsia"/>
                      <w:bCs/>
                      <w:szCs w:val="21"/>
                    </w:rPr>
                  </w:pPr>
                </w:p>
              </w:tc>
            </w:tr>
            <w:tr w14:paraId="264A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gridSpan w:val="2"/>
                  <w:vAlign w:val="center"/>
                </w:tcPr>
                <w:p w14:paraId="730AFFCB">
                  <w:pPr>
                    <w:adjustRightInd w:val="0"/>
                    <w:snapToGrid w:val="0"/>
                    <w:jc w:val="center"/>
                    <w:rPr>
                      <w:rFonts w:hAnsiTheme="minorEastAsia" w:eastAsiaTheme="minorEastAsia"/>
                      <w:bCs/>
                      <w:szCs w:val="21"/>
                    </w:rPr>
                  </w:pPr>
                  <w:r>
                    <w:rPr>
                      <w:rFonts w:hint="eastAsia" w:hAnsiTheme="minorEastAsia" w:eastAsiaTheme="minorEastAsia"/>
                      <w:bCs/>
                      <w:szCs w:val="21"/>
                    </w:rPr>
                    <w:t>备注</w:t>
                  </w:r>
                </w:p>
              </w:tc>
              <w:tc>
                <w:tcPr>
                  <w:tcW w:w="12023" w:type="dxa"/>
                  <w:gridSpan w:val="10"/>
                  <w:vAlign w:val="center"/>
                </w:tcPr>
                <w:p w14:paraId="42107EB1">
                  <w:pPr>
                    <w:adjustRightInd w:val="0"/>
                    <w:snapToGrid w:val="0"/>
                    <w:jc w:val="center"/>
                    <w:rPr>
                      <w:rFonts w:eastAsiaTheme="minorEastAsia"/>
                      <w:bCs/>
                      <w:szCs w:val="21"/>
                    </w:rPr>
                  </w:pPr>
                  <w:r>
                    <w:rPr>
                      <w:rFonts w:eastAsiaTheme="minorEastAsia"/>
                      <w:kern w:val="0"/>
                      <w:szCs w:val="21"/>
                    </w:rPr>
                    <w:t xml:space="preserve">T </w:t>
                  </w:r>
                  <w:r>
                    <w:rPr>
                      <w:rFonts w:hAnsiTheme="minorEastAsia" w:eastAsiaTheme="minorEastAsia"/>
                      <w:kern w:val="0"/>
                      <w:szCs w:val="21"/>
                    </w:rPr>
                    <w:t>表示毒性，</w:t>
                  </w:r>
                  <w:r>
                    <w:rPr>
                      <w:rFonts w:eastAsiaTheme="minorEastAsia"/>
                      <w:kern w:val="0"/>
                      <w:szCs w:val="21"/>
                    </w:rPr>
                    <w:t xml:space="preserve">I </w:t>
                  </w:r>
                  <w:r>
                    <w:rPr>
                      <w:rFonts w:hAnsiTheme="minorEastAsia" w:eastAsiaTheme="minorEastAsia"/>
                      <w:kern w:val="0"/>
                      <w:szCs w:val="21"/>
                    </w:rPr>
                    <w:t>表示易燃性，</w:t>
                  </w:r>
                  <w:r>
                    <w:rPr>
                      <w:rFonts w:eastAsiaTheme="minorEastAsia"/>
                      <w:kern w:val="0"/>
                      <w:szCs w:val="21"/>
                    </w:rPr>
                    <w:t xml:space="preserve">C </w:t>
                  </w:r>
                  <w:r>
                    <w:rPr>
                      <w:rFonts w:hAnsiTheme="minorEastAsia" w:eastAsiaTheme="minorEastAsia"/>
                      <w:kern w:val="0"/>
                      <w:szCs w:val="21"/>
                    </w:rPr>
                    <w:t>表示腐蚀性，</w:t>
                  </w:r>
                  <w:r>
                    <w:rPr>
                      <w:rFonts w:eastAsiaTheme="minorEastAsia"/>
                      <w:kern w:val="0"/>
                      <w:szCs w:val="21"/>
                    </w:rPr>
                    <w:t xml:space="preserve">In </w:t>
                  </w:r>
                  <w:r>
                    <w:rPr>
                      <w:rFonts w:hAnsiTheme="minorEastAsia" w:eastAsiaTheme="minorEastAsia"/>
                      <w:kern w:val="0"/>
                      <w:szCs w:val="21"/>
                    </w:rPr>
                    <w:t>表示感染性</w:t>
                  </w:r>
                </w:p>
              </w:tc>
            </w:tr>
          </w:tbl>
          <w:p w14:paraId="130D323A">
            <w:pPr>
              <w:adjustRightInd w:val="0"/>
              <w:snapToGrid w:val="0"/>
              <w:spacing w:line="440" w:lineRule="exact"/>
              <w:jc w:val="center"/>
              <w:rPr>
                <w:b/>
                <w:bCs/>
                <w:szCs w:val="21"/>
              </w:rPr>
            </w:pPr>
            <w:r>
              <w:rPr>
                <w:rFonts w:hint="eastAsia"/>
                <w:b/>
                <w:bCs/>
                <w:szCs w:val="21"/>
              </w:rPr>
              <w:t>表4.2-20  危险废物暂存间基本情况一览表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030"/>
              <w:gridCol w:w="1437"/>
              <w:gridCol w:w="1437"/>
              <w:gridCol w:w="1437"/>
              <w:gridCol w:w="1030"/>
              <w:gridCol w:w="1276"/>
              <w:gridCol w:w="2005"/>
              <w:gridCol w:w="1437"/>
              <w:gridCol w:w="1438"/>
            </w:tblGrid>
            <w:tr w14:paraId="097F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093010E4">
                  <w:pPr>
                    <w:adjustRightInd w:val="0"/>
                    <w:snapToGrid w:val="0"/>
                    <w:jc w:val="center"/>
                    <w:rPr>
                      <w:bCs/>
                      <w:szCs w:val="21"/>
                    </w:rPr>
                  </w:pPr>
                  <w:r>
                    <w:rPr>
                      <w:rFonts w:hint="eastAsia"/>
                      <w:bCs/>
                      <w:szCs w:val="21"/>
                    </w:rPr>
                    <w:t>序号</w:t>
                  </w:r>
                </w:p>
              </w:tc>
              <w:tc>
                <w:tcPr>
                  <w:tcW w:w="2030" w:type="dxa"/>
                  <w:vAlign w:val="center"/>
                </w:tcPr>
                <w:p w14:paraId="4FCC28F1">
                  <w:pPr>
                    <w:adjustRightInd w:val="0"/>
                    <w:snapToGrid w:val="0"/>
                    <w:jc w:val="center"/>
                    <w:rPr>
                      <w:bCs/>
                      <w:szCs w:val="21"/>
                    </w:rPr>
                  </w:pPr>
                  <w:r>
                    <w:rPr>
                      <w:rFonts w:hint="eastAsia"/>
                      <w:bCs/>
                      <w:szCs w:val="21"/>
                    </w:rPr>
                    <w:t>贮存场所（设施）名称</w:t>
                  </w:r>
                </w:p>
              </w:tc>
              <w:tc>
                <w:tcPr>
                  <w:tcW w:w="1437" w:type="dxa"/>
                  <w:vAlign w:val="center"/>
                </w:tcPr>
                <w:p w14:paraId="0D63EADE">
                  <w:pPr>
                    <w:adjustRightInd w:val="0"/>
                    <w:snapToGrid w:val="0"/>
                    <w:jc w:val="center"/>
                    <w:rPr>
                      <w:bCs/>
                      <w:szCs w:val="21"/>
                    </w:rPr>
                  </w:pPr>
                  <w:r>
                    <w:rPr>
                      <w:rFonts w:hint="eastAsia"/>
                      <w:bCs/>
                      <w:szCs w:val="21"/>
                    </w:rPr>
                    <w:t>危险废物名称</w:t>
                  </w:r>
                </w:p>
              </w:tc>
              <w:tc>
                <w:tcPr>
                  <w:tcW w:w="1437" w:type="dxa"/>
                  <w:vAlign w:val="center"/>
                </w:tcPr>
                <w:p w14:paraId="5D4D2DD9">
                  <w:pPr>
                    <w:adjustRightInd w:val="0"/>
                    <w:snapToGrid w:val="0"/>
                    <w:jc w:val="center"/>
                    <w:rPr>
                      <w:bCs/>
                      <w:szCs w:val="21"/>
                    </w:rPr>
                  </w:pPr>
                  <w:r>
                    <w:rPr>
                      <w:rFonts w:hint="eastAsia"/>
                      <w:bCs/>
                      <w:szCs w:val="21"/>
                    </w:rPr>
                    <w:t>危险废物类别</w:t>
                  </w:r>
                </w:p>
              </w:tc>
              <w:tc>
                <w:tcPr>
                  <w:tcW w:w="1437" w:type="dxa"/>
                  <w:vAlign w:val="center"/>
                </w:tcPr>
                <w:p w14:paraId="7F50DD40">
                  <w:pPr>
                    <w:adjustRightInd w:val="0"/>
                    <w:snapToGrid w:val="0"/>
                    <w:jc w:val="center"/>
                    <w:rPr>
                      <w:bCs/>
                      <w:szCs w:val="21"/>
                    </w:rPr>
                  </w:pPr>
                  <w:r>
                    <w:rPr>
                      <w:rFonts w:hint="eastAsia"/>
                      <w:bCs/>
                      <w:szCs w:val="21"/>
                    </w:rPr>
                    <w:t>危险废物代码</w:t>
                  </w:r>
                </w:p>
              </w:tc>
              <w:tc>
                <w:tcPr>
                  <w:tcW w:w="1030" w:type="dxa"/>
                  <w:vAlign w:val="center"/>
                </w:tcPr>
                <w:p w14:paraId="020A3E79">
                  <w:pPr>
                    <w:adjustRightInd w:val="0"/>
                    <w:snapToGrid w:val="0"/>
                    <w:jc w:val="center"/>
                    <w:rPr>
                      <w:bCs/>
                      <w:szCs w:val="21"/>
                    </w:rPr>
                  </w:pPr>
                  <w:r>
                    <w:rPr>
                      <w:rFonts w:hint="eastAsia"/>
                      <w:bCs/>
                      <w:szCs w:val="21"/>
                    </w:rPr>
                    <w:t>位置</w:t>
                  </w:r>
                </w:p>
              </w:tc>
              <w:tc>
                <w:tcPr>
                  <w:tcW w:w="1276" w:type="dxa"/>
                  <w:vAlign w:val="center"/>
                </w:tcPr>
                <w:p w14:paraId="542A12E2">
                  <w:pPr>
                    <w:adjustRightInd w:val="0"/>
                    <w:snapToGrid w:val="0"/>
                    <w:jc w:val="center"/>
                    <w:rPr>
                      <w:bCs/>
                      <w:szCs w:val="21"/>
                    </w:rPr>
                  </w:pPr>
                  <w:r>
                    <w:rPr>
                      <w:rFonts w:hint="eastAsia"/>
                      <w:bCs/>
                      <w:szCs w:val="21"/>
                    </w:rPr>
                    <w:t>占地面积</w:t>
                  </w:r>
                </w:p>
              </w:tc>
              <w:tc>
                <w:tcPr>
                  <w:tcW w:w="2005" w:type="dxa"/>
                  <w:vAlign w:val="center"/>
                </w:tcPr>
                <w:p w14:paraId="2679988B">
                  <w:pPr>
                    <w:adjustRightInd w:val="0"/>
                    <w:snapToGrid w:val="0"/>
                    <w:jc w:val="center"/>
                    <w:rPr>
                      <w:bCs/>
                      <w:szCs w:val="21"/>
                    </w:rPr>
                  </w:pPr>
                  <w:r>
                    <w:rPr>
                      <w:rFonts w:hint="eastAsia"/>
                      <w:bCs/>
                      <w:szCs w:val="21"/>
                    </w:rPr>
                    <w:t>贮存方式</w:t>
                  </w:r>
                </w:p>
              </w:tc>
              <w:tc>
                <w:tcPr>
                  <w:tcW w:w="1437" w:type="dxa"/>
                  <w:vAlign w:val="center"/>
                </w:tcPr>
                <w:p w14:paraId="1CA71F02">
                  <w:pPr>
                    <w:adjustRightInd w:val="0"/>
                    <w:snapToGrid w:val="0"/>
                    <w:jc w:val="center"/>
                    <w:rPr>
                      <w:bCs/>
                      <w:szCs w:val="21"/>
                    </w:rPr>
                  </w:pPr>
                  <w:r>
                    <w:rPr>
                      <w:rFonts w:hint="eastAsia"/>
                      <w:bCs/>
                      <w:szCs w:val="21"/>
                    </w:rPr>
                    <w:t>贮存能力</w:t>
                  </w:r>
                </w:p>
              </w:tc>
              <w:tc>
                <w:tcPr>
                  <w:tcW w:w="1438" w:type="dxa"/>
                  <w:vAlign w:val="center"/>
                </w:tcPr>
                <w:p w14:paraId="2DE43365">
                  <w:pPr>
                    <w:adjustRightInd w:val="0"/>
                    <w:snapToGrid w:val="0"/>
                    <w:jc w:val="center"/>
                    <w:rPr>
                      <w:bCs/>
                      <w:szCs w:val="21"/>
                    </w:rPr>
                  </w:pPr>
                  <w:r>
                    <w:rPr>
                      <w:rFonts w:hint="eastAsia"/>
                      <w:bCs/>
                      <w:szCs w:val="21"/>
                    </w:rPr>
                    <w:t>贮存周期</w:t>
                  </w:r>
                </w:p>
              </w:tc>
            </w:tr>
            <w:tr w14:paraId="196D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52034295">
                  <w:pPr>
                    <w:adjustRightInd w:val="0"/>
                    <w:snapToGrid w:val="0"/>
                    <w:jc w:val="center"/>
                    <w:rPr>
                      <w:bCs/>
                      <w:szCs w:val="21"/>
                    </w:rPr>
                  </w:pPr>
                  <w:r>
                    <w:rPr>
                      <w:rFonts w:hint="eastAsia"/>
                      <w:bCs/>
                      <w:szCs w:val="21"/>
                    </w:rPr>
                    <w:t>1</w:t>
                  </w:r>
                </w:p>
              </w:tc>
              <w:tc>
                <w:tcPr>
                  <w:tcW w:w="2030" w:type="dxa"/>
                  <w:vMerge w:val="restart"/>
                  <w:vAlign w:val="center"/>
                </w:tcPr>
                <w:p w14:paraId="49F648D2">
                  <w:pPr>
                    <w:adjustRightInd w:val="0"/>
                    <w:snapToGrid w:val="0"/>
                    <w:jc w:val="center"/>
                    <w:rPr>
                      <w:rFonts w:eastAsiaTheme="minorEastAsia"/>
                      <w:bCs/>
                      <w:szCs w:val="21"/>
                    </w:rPr>
                  </w:pPr>
                  <w:r>
                    <w:rPr>
                      <w:rFonts w:hint="eastAsia" w:eastAsiaTheme="minorEastAsia"/>
                      <w:bCs/>
                      <w:szCs w:val="21"/>
                    </w:rPr>
                    <w:t>危险废物暂存间</w:t>
                  </w:r>
                </w:p>
              </w:tc>
              <w:tc>
                <w:tcPr>
                  <w:tcW w:w="1437" w:type="dxa"/>
                  <w:vAlign w:val="center"/>
                </w:tcPr>
                <w:p w14:paraId="7CD7D4C1">
                  <w:pPr>
                    <w:adjustRightInd w:val="0"/>
                    <w:snapToGrid w:val="0"/>
                    <w:jc w:val="center"/>
                    <w:rPr>
                      <w:rFonts w:eastAsiaTheme="minorEastAsia"/>
                      <w:bCs/>
                      <w:szCs w:val="21"/>
                    </w:rPr>
                  </w:pPr>
                  <w:r>
                    <w:rPr>
                      <w:rFonts w:hAnsiTheme="minorEastAsia" w:eastAsiaTheme="minorEastAsia"/>
                      <w:bCs/>
                      <w:szCs w:val="21"/>
                    </w:rPr>
                    <w:t>废润版液</w:t>
                  </w:r>
                </w:p>
              </w:tc>
              <w:tc>
                <w:tcPr>
                  <w:tcW w:w="1437" w:type="dxa"/>
                  <w:vAlign w:val="center"/>
                </w:tcPr>
                <w:p w14:paraId="36A6DE47">
                  <w:pPr>
                    <w:adjustRightInd w:val="0"/>
                    <w:snapToGrid w:val="0"/>
                    <w:jc w:val="center"/>
                    <w:rPr>
                      <w:rFonts w:eastAsiaTheme="minorEastAsia"/>
                      <w:bCs/>
                      <w:szCs w:val="21"/>
                    </w:rPr>
                  </w:pPr>
                  <w:r>
                    <w:rPr>
                      <w:rFonts w:eastAsiaTheme="minorEastAsia"/>
                      <w:bCs/>
                      <w:szCs w:val="21"/>
                    </w:rPr>
                    <w:t>HW06</w:t>
                  </w:r>
                </w:p>
              </w:tc>
              <w:tc>
                <w:tcPr>
                  <w:tcW w:w="1437" w:type="dxa"/>
                  <w:vAlign w:val="center"/>
                </w:tcPr>
                <w:p w14:paraId="1E72D768">
                  <w:pPr>
                    <w:adjustRightInd w:val="0"/>
                    <w:snapToGrid w:val="0"/>
                    <w:jc w:val="center"/>
                    <w:rPr>
                      <w:rFonts w:eastAsiaTheme="minorEastAsia"/>
                      <w:bCs/>
                      <w:szCs w:val="21"/>
                    </w:rPr>
                  </w:pPr>
                  <w:r>
                    <w:rPr>
                      <w:rFonts w:eastAsiaTheme="minorEastAsia"/>
                      <w:bCs/>
                      <w:szCs w:val="21"/>
                    </w:rPr>
                    <w:t>900-404-06</w:t>
                  </w:r>
                </w:p>
              </w:tc>
              <w:tc>
                <w:tcPr>
                  <w:tcW w:w="1030" w:type="dxa"/>
                  <w:vMerge w:val="restart"/>
                  <w:vAlign w:val="center"/>
                </w:tcPr>
                <w:p w14:paraId="304A9893">
                  <w:pPr>
                    <w:adjustRightInd w:val="0"/>
                    <w:snapToGrid w:val="0"/>
                    <w:jc w:val="center"/>
                    <w:rPr>
                      <w:bCs/>
                      <w:szCs w:val="21"/>
                    </w:rPr>
                  </w:pPr>
                  <w:r>
                    <w:rPr>
                      <w:rFonts w:hint="eastAsia"/>
                      <w:bCs/>
                      <w:szCs w:val="21"/>
                    </w:rPr>
                    <w:t>9#材料库房二楼东侧</w:t>
                  </w:r>
                </w:p>
              </w:tc>
              <w:tc>
                <w:tcPr>
                  <w:tcW w:w="1276" w:type="dxa"/>
                  <w:vMerge w:val="restart"/>
                  <w:vAlign w:val="center"/>
                </w:tcPr>
                <w:p w14:paraId="332C1E15">
                  <w:pPr>
                    <w:adjustRightInd w:val="0"/>
                    <w:snapToGrid w:val="0"/>
                    <w:jc w:val="center"/>
                    <w:rPr>
                      <w:bCs/>
                      <w:szCs w:val="21"/>
                    </w:rPr>
                  </w:pPr>
                  <w:r>
                    <w:rPr>
                      <w:rFonts w:hint="eastAsia"/>
                      <w:bCs/>
                      <w:szCs w:val="21"/>
                    </w:rPr>
                    <w:t>30m</w:t>
                  </w:r>
                  <w:r>
                    <w:rPr>
                      <w:rFonts w:hint="eastAsia"/>
                      <w:bCs/>
                      <w:szCs w:val="21"/>
                      <w:vertAlign w:val="superscript"/>
                    </w:rPr>
                    <w:t>2</w:t>
                  </w:r>
                </w:p>
              </w:tc>
              <w:tc>
                <w:tcPr>
                  <w:tcW w:w="2005" w:type="dxa"/>
                  <w:vAlign w:val="center"/>
                </w:tcPr>
                <w:p w14:paraId="02F62610">
                  <w:pPr>
                    <w:autoSpaceDE w:val="0"/>
                    <w:autoSpaceDN w:val="0"/>
                    <w:adjustRightInd w:val="0"/>
                    <w:jc w:val="left"/>
                    <w:rPr>
                      <w:b/>
                      <w:bCs/>
                      <w:szCs w:val="21"/>
                    </w:rPr>
                  </w:pPr>
                  <w:r>
                    <w:rPr>
                      <w:rFonts w:hint="eastAsia" w:ascii="宋体" w:cs="宋体"/>
                      <w:kern w:val="0"/>
                      <w:szCs w:val="21"/>
                    </w:rPr>
                    <w:t>专用容器密封收集</w:t>
                  </w:r>
                </w:p>
              </w:tc>
              <w:tc>
                <w:tcPr>
                  <w:tcW w:w="1437" w:type="dxa"/>
                  <w:vMerge w:val="restart"/>
                  <w:vAlign w:val="center"/>
                </w:tcPr>
                <w:p w14:paraId="61479B07">
                  <w:pPr>
                    <w:adjustRightInd w:val="0"/>
                    <w:snapToGrid w:val="0"/>
                    <w:jc w:val="center"/>
                    <w:rPr>
                      <w:bCs/>
                      <w:szCs w:val="21"/>
                    </w:rPr>
                  </w:pPr>
                  <w:r>
                    <w:rPr>
                      <w:rFonts w:hint="eastAsia"/>
                      <w:bCs/>
                      <w:szCs w:val="21"/>
                    </w:rPr>
                    <w:t>60t</w:t>
                  </w:r>
                </w:p>
              </w:tc>
              <w:tc>
                <w:tcPr>
                  <w:tcW w:w="1438" w:type="dxa"/>
                  <w:vAlign w:val="center"/>
                </w:tcPr>
                <w:p w14:paraId="52AC60EB">
                  <w:pPr>
                    <w:adjustRightInd w:val="0"/>
                    <w:snapToGrid w:val="0"/>
                    <w:jc w:val="center"/>
                    <w:rPr>
                      <w:bCs/>
                      <w:szCs w:val="21"/>
                    </w:rPr>
                  </w:pPr>
                  <w:r>
                    <w:rPr>
                      <w:rFonts w:hint="eastAsia"/>
                      <w:bCs/>
                      <w:szCs w:val="21"/>
                    </w:rPr>
                    <w:t>3个月</w:t>
                  </w:r>
                </w:p>
              </w:tc>
            </w:tr>
            <w:tr w14:paraId="58DC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1303BDB0">
                  <w:pPr>
                    <w:adjustRightInd w:val="0"/>
                    <w:snapToGrid w:val="0"/>
                    <w:jc w:val="center"/>
                    <w:rPr>
                      <w:bCs/>
                      <w:szCs w:val="21"/>
                    </w:rPr>
                  </w:pPr>
                  <w:r>
                    <w:rPr>
                      <w:rFonts w:hint="eastAsia"/>
                      <w:bCs/>
                      <w:szCs w:val="21"/>
                    </w:rPr>
                    <w:t>2</w:t>
                  </w:r>
                </w:p>
              </w:tc>
              <w:tc>
                <w:tcPr>
                  <w:tcW w:w="2030" w:type="dxa"/>
                  <w:vMerge w:val="continue"/>
                  <w:vAlign w:val="center"/>
                </w:tcPr>
                <w:p w14:paraId="6EEE7722">
                  <w:pPr>
                    <w:adjustRightInd w:val="0"/>
                    <w:snapToGrid w:val="0"/>
                    <w:jc w:val="center"/>
                    <w:rPr>
                      <w:rFonts w:eastAsiaTheme="minorEastAsia"/>
                      <w:bCs/>
                      <w:szCs w:val="21"/>
                    </w:rPr>
                  </w:pPr>
                </w:p>
              </w:tc>
              <w:tc>
                <w:tcPr>
                  <w:tcW w:w="1437" w:type="dxa"/>
                  <w:vAlign w:val="center"/>
                </w:tcPr>
                <w:p w14:paraId="09FE3C38">
                  <w:pPr>
                    <w:adjustRightInd w:val="0"/>
                    <w:snapToGrid w:val="0"/>
                    <w:jc w:val="center"/>
                    <w:rPr>
                      <w:rFonts w:eastAsiaTheme="minorEastAsia"/>
                      <w:bCs/>
                      <w:szCs w:val="21"/>
                    </w:rPr>
                  </w:pPr>
                  <w:r>
                    <w:rPr>
                      <w:rFonts w:hAnsiTheme="minorEastAsia" w:eastAsiaTheme="minorEastAsia"/>
                      <w:bCs/>
                      <w:szCs w:val="21"/>
                    </w:rPr>
                    <w:t>废棉纱布</w:t>
                  </w:r>
                </w:p>
              </w:tc>
              <w:tc>
                <w:tcPr>
                  <w:tcW w:w="1437" w:type="dxa"/>
                  <w:vAlign w:val="center"/>
                </w:tcPr>
                <w:p w14:paraId="3B8933BF">
                  <w:pPr>
                    <w:adjustRightInd w:val="0"/>
                    <w:snapToGrid w:val="0"/>
                    <w:jc w:val="center"/>
                    <w:rPr>
                      <w:rFonts w:eastAsiaTheme="minorEastAsia"/>
                      <w:bCs/>
                      <w:szCs w:val="21"/>
                    </w:rPr>
                  </w:pPr>
                  <w:r>
                    <w:rPr>
                      <w:rFonts w:eastAsiaTheme="minorEastAsia"/>
                      <w:bCs/>
                      <w:szCs w:val="21"/>
                    </w:rPr>
                    <w:t>HW06</w:t>
                  </w:r>
                </w:p>
              </w:tc>
              <w:tc>
                <w:tcPr>
                  <w:tcW w:w="1437" w:type="dxa"/>
                  <w:vAlign w:val="center"/>
                </w:tcPr>
                <w:p w14:paraId="3EC68DC9">
                  <w:pPr>
                    <w:adjustRightInd w:val="0"/>
                    <w:snapToGrid w:val="0"/>
                    <w:jc w:val="center"/>
                    <w:rPr>
                      <w:rFonts w:eastAsiaTheme="minorEastAsia"/>
                      <w:bCs/>
                      <w:szCs w:val="21"/>
                    </w:rPr>
                  </w:pPr>
                  <w:r>
                    <w:rPr>
                      <w:rFonts w:eastAsiaTheme="minorEastAsia"/>
                      <w:kern w:val="0"/>
                      <w:szCs w:val="21"/>
                    </w:rPr>
                    <w:t>900-404-06</w:t>
                  </w:r>
                </w:p>
              </w:tc>
              <w:tc>
                <w:tcPr>
                  <w:tcW w:w="1030" w:type="dxa"/>
                  <w:vMerge w:val="continue"/>
                  <w:vAlign w:val="center"/>
                </w:tcPr>
                <w:p w14:paraId="45FF7DB0">
                  <w:pPr>
                    <w:adjustRightInd w:val="0"/>
                    <w:snapToGrid w:val="0"/>
                    <w:jc w:val="center"/>
                    <w:rPr>
                      <w:b/>
                      <w:bCs/>
                      <w:szCs w:val="21"/>
                    </w:rPr>
                  </w:pPr>
                </w:p>
              </w:tc>
              <w:tc>
                <w:tcPr>
                  <w:tcW w:w="1276" w:type="dxa"/>
                  <w:vMerge w:val="continue"/>
                  <w:vAlign w:val="center"/>
                </w:tcPr>
                <w:p w14:paraId="74CFE26B">
                  <w:pPr>
                    <w:adjustRightInd w:val="0"/>
                    <w:snapToGrid w:val="0"/>
                    <w:jc w:val="center"/>
                    <w:rPr>
                      <w:b/>
                      <w:bCs/>
                      <w:szCs w:val="21"/>
                    </w:rPr>
                  </w:pPr>
                </w:p>
              </w:tc>
              <w:tc>
                <w:tcPr>
                  <w:tcW w:w="2005" w:type="dxa"/>
                  <w:vAlign w:val="center"/>
                </w:tcPr>
                <w:p w14:paraId="2F581DDE">
                  <w:pPr>
                    <w:adjustRightInd w:val="0"/>
                    <w:snapToGrid w:val="0"/>
                    <w:jc w:val="center"/>
                    <w:rPr>
                      <w:b/>
                      <w:bCs/>
                      <w:szCs w:val="21"/>
                    </w:rPr>
                  </w:pPr>
                  <w:r>
                    <w:rPr>
                      <w:rFonts w:hint="eastAsia" w:ascii="宋体" w:cs="宋体"/>
                      <w:kern w:val="0"/>
                      <w:szCs w:val="21"/>
                    </w:rPr>
                    <w:t>专用容器密封收集</w:t>
                  </w:r>
                </w:p>
              </w:tc>
              <w:tc>
                <w:tcPr>
                  <w:tcW w:w="1437" w:type="dxa"/>
                  <w:vMerge w:val="continue"/>
                  <w:vAlign w:val="center"/>
                </w:tcPr>
                <w:p w14:paraId="5E786AA8">
                  <w:pPr>
                    <w:adjustRightInd w:val="0"/>
                    <w:snapToGrid w:val="0"/>
                    <w:jc w:val="center"/>
                    <w:rPr>
                      <w:b/>
                      <w:bCs/>
                      <w:szCs w:val="21"/>
                    </w:rPr>
                  </w:pPr>
                </w:p>
              </w:tc>
              <w:tc>
                <w:tcPr>
                  <w:tcW w:w="1438" w:type="dxa"/>
                </w:tcPr>
                <w:p w14:paraId="14EE1B7D">
                  <w:pPr>
                    <w:jc w:val="center"/>
                  </w:pPr>
                  <w:r>
                    <w:rPr>
                      <w:rFonts w:hint="eastAsia"/>
                      <w:bCs/>
                      <w:szCs w:val="21"/>
                    </w:rPr>
                    <w:t>3个月</w:t>
                  </w:r>
                </w:p>
              </w:tc>
            </w:tr>
            <w:tr w14:paraId="409B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4A1036D2">
                  <w:pPr>
                    <w:adjustRightInd w:val="0"/>
                    <w:snapToGrid w:val="0"/>
                    <w:jc w:val="center"/>
                    <w:rPr>
                      <w:bCs/>
                      <w:szCs w:val="21"/>
                    </w:rPr>
                  </w:pPr>
                  <w:r>
                    <w:rPr>
                      <w:rFonts w:hint="eastAsia"/>
                      <w:bCs/>
                      <w:szCs w:val="21"/>
                    </w:rPr>
                    <w:t>3</w:t>
                  </w:r>
                </w:p>
              </w:tc>
              <w:tc>
                <w:tcPr>
                  <w:tcW w:w="2030" w:type="dxa"/>
                  <w:vMerge w:val="continue"/>
                  <w:vAlign w:val="center"/>
                </w:tcPr>
                <w:p w14:paraId="2C10BC02">
                  <w:pPr>
                    <w:adjustRightInd w:val="0"/>
                    <w:snapToGrid w:val="0"/>
                    <w:jc w:val="center"/>
                    <w:rPr>
                      <w:rFonts w:eastAsiaTheme="minorEastAsia"/>
                      <w:bCs/>
                      <w:szCs w:val="21"/>
                    </w:rPr>
                  </w:pPr>
                </w:p>
              </w:tc>
              <w:tc>
                <w:tcPr>
                  <w:tcW w:w="1437" w:type="dxa"/>
                  <w:vAlign w:val="center"/>
                </w:tcPr>
                <w:p w14:paraId="40F10D4D">
                  <w:pPr>
                    <w:adjustRightInd w:val="0"/>
                    <w:snapToGrid w:val="0"/>
                    <w:jc w:val="center"/>
                    <w:rPr>
                      <w:rFonts w:eastAsiaTheme="minorEastAsia"/>
                      <w:bCs/>
                      <w:szCs w:val="21"/>
                    </w:rPr>
                  </w:pPr>
                  <w:r>
                    <w:rPr>
                      <w:rFonts w:hAnsiTheme="minorEastAsia" w:eastAsiaTheme="minorEastAsia"/>
                      <w:bCs/>
                      <w:szCs w:val="21"/>
                    </w:rPr>
                    <w:t>废包装桶</w:t>
                  </w:r>
                </w:p>
              </w:tc>
              <w:tc>
                <w:tcPr>
                  <w:tcW w:w="1437" w:type="dxa"/>
                  <w:vAlign w:val="center"/>
                </w:tcPr>
                <w:p w14:paraId="2D30D03E">
                  <w:pPr>
                    <w:adjustRightInd w:val="0"/>
                    <w:snapToGrid w:val="0"/>
                    <w:jc w:val="center"/>
                    <w:rPr>
                      <w:rFonts w:eastAsiaTheme="minorEastAsia"/>
                      <w:bCs/>
                      <w:szCs w:val="21"/>
                    </w:rPr>
                  </w:pPr>
                  <w:r>
                    <w:rPr>
                      <w:rFonts w:eastAsiaTheme="minorEastAsia"/>
                      <w:kern w:val="0"/>
                      <w:szCs w:val="21"/>
                    </w:rPr>
                    <w:t>HW49</w:t>
                  </w:r>
                </w:p>
              </w:tc>
              <w:tc>
                <w:tcPr>
                  <w:tcW w:w="1437" w:type="dxa"/>
                  <w:vAlign w:val="center"/>
                </w:tcPr>
                <w:p w14:paraId="55FE3AC0">
                  <w:pPr>
                    <w:adjustRightInd w:val="0"/>
                    <w:snapToGrid w:val="0"/>
                    <w:jc w:val="center"/>
                    <w:rPr>
                      <w:rFonts w:eastAsiaTheme="minorEastAsia"/>
                      <w:bCs/>
                      <w:szCs w:val="21"/>
                    </w:rPr>
                  </w:pPr>
                  <w:r>
                    <w:rPr>
                      <w:rFonts w:eastAsiaTheme="minorEastAsia"/>
                      <w:kern w:val="0"/>
                      <w:szCs w:val="21"/>
                    </w:rPr>
                    <w:t>900-041-49</w:t>
                  </w:r>
                </w:p>
              </w:tc>
              <w:tc>
                <w:tcPr>
                  <w:tcW w:w="1030" w:type="dxa"/>
                  <w:vMerge w:val="continue"/>
                  <w:vAlign w:val="center"/>
                </w:tcPr>
                <w:p w14:paraId="442CF919">
                  <w:pPr>
                    <w:adjustRightInd w:val="0"/>
                    <w:snapToGrid w:val="0"/>
                    <w:jc w:val="center"/>
                    <w:rPr>
                      <w:b/>
                      <w:bCs/>
                      <w:szCs w:val="21"/>
                    </w:rPr>
                  </w:pPr>
                </w:p>
              </w:tc>
              <w:tc>
                <w:tcPr>
                  <w:tcW w:w="1276" w:type="dxa"/>
                  <w:vMerge w:val="continue"/>
                  <w:vAlign w:val="center"/>
                </w:tcPr>
                <w:p w14:paraId="1B94C652">
                  <w:pPr>
                    <w:adjustRightInd w:val="0"/>
                    <w:snapToGrid w:val="0"/>
                    <w:jc w:val="center"/>
                    <w:rPr>
                      <w:b/>
                      <w:bCs/>
                      <w:szCs w:val="21"/>
                    </w:rPr>
                  </w:pPr>
                </w:p>
              </w:tc>
              <w:tc>
                <w:tcPr>
                  <w:tcW w:w="2005" w:type="dxa"/>
                  <w:vAlign w:val="center"/>
                </w:tcPr>
                <w:p w14:paraId="0354AEA2">
                  <w:pPr>
                    <w:adjustRightInd w:val="0"/>
                    <w:snapToGrid w:val="0"/>
                    <w:jc w:val="center"/>
                    <w:rPr>
                      <w:bCs/>
                      <w:szCs w:val="21"/>
                    </w:rPr>
                  </w:pPr>
                  <w:r>
                    <w:rPr>
                      <w:rFonts w:hint="eastAsia"/>
                      <w:bCs/>
                      <w:szCs w:val="21"/>
                    </w:rPr>
                    <w:t>空置桶堆放</w:t>
                  </w:r>
                </w:p>
              </w:tc>
              <w:tc>
                <w:tcPr>
                  <w:tcW w:w="1437" w:type="dxa"/>
                  <w:vMerge w:val="continue"/>
                  <w:vAlign w:val="center"/>
                </w:tcPr>
                <w:p w14:paraId="7C08B24D">
                  <w:pPr>
                    <w:adjustRightInd w:val="0"/>
                    <w:snapToGrid w:val="0"/>
                    <w:jc w:val="center"/>
                    <w:rPr>
                      <w:b/>
                      <w:bCs/>
                      <w:szCs w:val="21"/>
                    </w:rPr>
                  </w:pPr>
                </w:p>
              </w:tc>
              <w:tc>
                <w:tcPr>
                  <w:tcW w:w="1438" w:type="dxa"/>
                </w:tcPr>
                <w:p w14:paraId="1545364F">
                  <w:pPr>
                    <w:jc w:val="center"/>
                  </w:pPr>
                  <w:r>
                    <w:rPr>
                      <w:rFonts w:hint="eastAsia"/>
                      <w:bCs/>
                      <w:szCs w:val="21"/>
                    </w:rPr>
                    <w:t>3个月</w:t>
                  </w:r>
                </w:p>
              </w:tc>
            </w:tr>
            <w:tr w14:paraId="5482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510EB6FC">
                  <w:pPr>
                    <w:adjustRightInd w:val="0"/>
                    <w:snapToGrid w:val="0"/>
                    <w:jc w:val="center"/>
                    <w:rPr>
                      <w:bCs/>
                      <w:szCs w:val="21"/>
                    </w:rPr>
                  </w:pPr>
                  <w:r>
                    <w:rPr>
                      <w:rFonts w:hint="eastAsia"/>
                      <w:bCs/>
                      <w:szCs w:val="21"/>
                    </w:rPr>
                    <w:t>4</w:t>
                  </w:r>
                </w:p>
              </w:tc>
              <w:tc>
                <w:tcPr>
                  <w:tcW w:w="2030" w:type="dxa"/>
                  <w:vMerge w:val="continue"/>
                  <w:vAlign w:val="center"/>
                </w:tcPr>
                <w:p w14:paraId="5BD10411">
                  <w:pPr>
                    <w:adjustRightInd w:val="0"/>
                    <w:snapToGrid w:val="0"/>
                    <w:jc w:val="center"/>
                    <w:rPr>
                      <w:rFonts w:eastAsiaTheme="minorEastAsia"/>
                      <w:bCs/>
                      <w:szCs w:val="21"/>
                    </w:rPr>
                  </w:pPr>
                </w:p>
              </w:tc>
              <w:tc>
                <w:tcPr>
                  <w:tcW w:w="1437" w:type="dxa"/>
                  <w:vAlign w:val="center"/>
                </w:tcPr>
                <w:p w14:paraId="190BDA0B">
                  <w:pPr>
                    <w:adjustRightInd w:val="0"/>
                    <w:snapToGrid w:val="0"/>
                    <w:jc w:val="center"/>
                    <w:rPr>
                      <w:rFonts w:eastAsiaTheme="minorEastAsia"/>
                      <w:bCs/>
                      <w:szCs w:val="21"/>
                    </w:rPr>
                  </w:pPr>
                  <w:r>
                    <w:rPr>
                      <w:rFonts w:hAnsiTheme="minorEastAsia" w:eastAsiaTheme="minorEastAsia"/>
                      <w:bCs/>
                      <w:szCs w:val="21"/>
                    </w:rPr>
                    <w:t>废</w:t>
                  </w:r>
                  <w:r>
                    <w:rPr>
                      <w:rFonts w:eastAsiaTheme="minorEastAsia"/>
                      <w:bCs/>
                      <w:szCs w:val="21"/>
                    </w:rPr>
                    <w:t>CTP</w:t>
                  </w:r>
                  <w:r>
                    <w:rPr>
                      <w:rFonts w:hAnsiTheme="minorEastAsia" w:eastAsiaTheme="minorEastAsia"/>
                      <w:bCs/>
                      <w:szCs w:val="21"/>
                    </w:rPr>
                    <w:t>版</w:t>
                  </w:r>
                </w:p>
              </w:tc>
              <w:tc>
                <w:tcPr>
                  <w:tcW w:w="1437" w:type="dxa"/>
                  <w:vAlign w:val="center"/>
                </w:tcPr>
                <w:p w14:paraId="52EA25FE">
                  <w:pPr>
                    <w:adjustRightInd w:val="0"/>
                    <w:snapToGrid w:val="0"/>
                    <w:jc w:val="center"/>
                    <w:rPr>
                      <w:rFonts w:eastAsiaTheme="minorEastAsia"/>
                      <w:bCs/>
                      <w:szCs w:val="21"/>
                    </w:rPr>
                  </w:pPr>
                  <w:r>
                    <w:rPr>
                      <w:rFonts w:eastAsiaTheme="minorEastAsia"/>
                      <w:bCs/>
                      <w:szCs w:val="21"/>
                    </w:rPr>
                    <w:t>HW16</w:t>
                  </w:r>
                </w:p>
              </w:tc>
              <w:tc>
                <w:tcPr>
                  <w:tcW w:w="1437" w:type="dxa"/>
                  <w:vAlign w:val="center"/>
                </w:tcPr>
                <w:p w14:paraId="7BC0D052">
                  <w:pPr>
                    <w:adjustRightInd w:val="0"/>
                    <w:snapToGrid w:val="0"/>
                    <w:jc w:val="center"/>
                    <w:rPr>
                      <w:rFonts w:eastAsiaTheme="minorEastAsia"/>
                      <w:bCs/>
                      <w:szCs w:val="21"/>
                    </w:rPr>
                  </w:pPr>
                  <w:r>
                    <w:rPr>
                      <w:rFonts w:eastAsiaTheme="minorEastAsia"/>
                      <w:kern w:val="0"/>
                      <w:szCs w:val="21"/>
                    </w:rPr>
                    <w:t>231-002-16</w:t>
                  </w:r>
                </w:p>
              </w:tc>
              <w:tc>
                <w:tcPr>
                  <w:tcW w:w="1030" w:type="dxa"/>
                  <w:vMerge w:val="continue"/>
                  <w:vAlign w:val="center"/>
                </w:tcPr>
                <w:p w14:paraId="0F5D9EC4">
                  <w:pPr>
                    <w:adjustRightInd w:val="0"/>
                    <w:snapToGrid w:val="0"/>
                    <w:jc w:val="center"/>
                    <w:rPr>
                      <w:b/>
                      <w:bCs/>
                      <w:szCs w:val="21"/>
                    </w:rPr>
                  </w:pPr>
                </w:p>
              </w:tc>
              <w:tc>
                <w:tcPr>
                  <w:tcW w:w="1276" w:type="dxa"/>
                  <w:vMerge w:val="continue"/>
                  <w:vAlign w:val="center"/>
                </w:tcPr>
                <w:p w14:paraId="59A06DA9">
                  <w:pPr>
                    <w:adjustRightInd w:val="0"/>
                    <w:snapToGrid w:val="0"/>
                    <w:jc w:val="center"/>
                    <w:rPr>
                      <w:b/>
                      <w:bCs/>
                      <w:szCs w:val="21"/>
                    </w:rPr>
                  </w:pPr>
                </w:p>
              </w:tc>
              <w:tc>
                <w:tcPr>
                  <w:tcW w:w="2005" w:type="dxa"/>
                  <w:vAlign w:val="center"/>
                </w:tcPr>
                <w:p w14:paraId="57E0AAC4">
                  <w:pPr>
                    <w:adjustRightInd w:val="0"/>
                    <w:snapToGrid w:val="0"/>
                    <w:jc w:val="center"/>
                    <w:rPr>
                      <w:bCs/>
                      <w:szCs w:val="21"/>
                    </w:rPr>
                  </w:pPr>
                  <w:r>
                    <w:rPr>
                      <w:rFonts w:hint="eastAsia"/>
                      <w:bCs/>
                      <w:szCs w:val="21"/>
                    </w:rPr>
                    <w:t>专用容器收集</w:t>
                  </w:r>
                </w:p>
              </w:tc>
              <w:tc>
                <w:tcPr>
                  <w:tcW w:w="1437" w:type="dxa"/>
                  <w:vMerge w:val="continue"/>
                  <w:vAlign w:val="center"/>
                </w:tcPr>
                <w:p w14:paraId="013802B0">
                  <w:pPr>
                    <w:adjustRightInd w:val="0"/>
                    <w:snapToGrid w:val="0"/>
                    <w:jc w:val="center"/>
                    <w:rPr>
                      <w:b/>
                      <w:bCs/>
                      <w:szCs w:val="21"/>
                    </w:rPr>
                  </w:pPr>
                </w:p>
              </w:tc>
              <w:tc>
                <w:tcPr>
                  <w:tcW w:w="1438" w:type="dxa"/>
                </w:tcPr>
                <w:p w14:paraId="5E8B939D">
                  <w:pPr>
                    <w:jc w:val="center"/>
                  </w:pPr>
                  <w:r>
                    <w:rPr>
                      <w:rFonts w:hint="eastAsia"/>
                      <w:bCs/>
                      <w:szCs w:val="21"/>
                    </w:rPr>
                    <w:t>3个月</w:t>
                  </w:r>
                </w:p>
              </w:tc>
            </w:tr>
            <w:tr w14:paraId="7A9C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3A4177B5">
                  <w:pPr>
                    <w:adjustRightInd w:val="0"/>
                    <w:snapToGrid w:val="0"/>
                    <w:jc w:val="center"/>
                    <w:rPr>
                      <w:bCs/>
                      <w:szCs w:val="21"/>
                    </w:rPr>
                  </w:pPr>
                  <w:r>
                    <w:rPr>
                      <w:rFonts w:hint="eastAsia"/>
                      <w:bCs/>
                      <w:szCs w:val="21"/>
                    </w:rPr>
                    <w:t>5</w:t>
                  </w:r>
                </w:p>
              </w:tc>
              <w:tc>
                <w:tcPr>
                  <w:tcW w:w="2030" w:type="dxa"/>
                  <w:vMerge w:val="continue"/>
                  <w:vAlign w:val="center"/>
                </w:tcPr>
                <w:p w14:paraId="509F0CFE">
                  <w:pPr>
                    <w:adjustRightInd w:val="0"/>
                    <w:snapToGrid w:val="0"/>
                    <w:jc w:val="center"/>
                    <w:rPr>
                      <w:rFonts w:eastAsiaTheme="minorEastAsia"/>
                      <w:bCs/>
                      <w:szCs w:val="21"/>
                    </w:rPr>
                  </w:pPr>
                </w:p>
              </w:tc>
              <w:tc>
                <w:tcPr>
                  <w:tcW w:w="1437" w:type="dxa"/>
                  <w:vAlign w:val="center"/>
                </w:tcPr>
                <w:p w14:paraId="03DBA755">
                  <w:pPr>
                    <w:adjustRightInd w:val="0"/>
                    <w:snapToGrid w:val="0"/>
                    <w:jc w:val="center"/>
                    <w:rPr>
                      <w:rFonts w:eastAsiaTheme="minorEastAsia"/>
                      <w:bCs/>
                      <w:szCs w:val="21"/>
                    </w:rPr>
                  </w:pPr>
                  <w:r>
                    <w:rPr>
                      <w:rFonts w:hAnsiTheme="minorEastAsia" w:eastAsiaTheme="minorEastAsia"/>
                      <w:bCs/>
                      <w:szCs w:val="21"/>
                    </w:rPr>
                    <w:t>废润滑油</w:t>
                  </w:r>
                </w:p>
              </w:tc>
              <w:tc>
                <w:tcPr>
                  <w:tcW w:w="1437" w:type="dxa"/>
                  <w:vAlign w:val="center"/>
                </w:tcPr>
                <w:p w14:paraId="73D90461">
                  <w:pPr>
                    <w:adjustRightInd w:val="0"/>
                    <w:snapToGrid w:val="0"/>
                    <w:jc w:val="center"/>
                    <w:rPr>
                      <w:rFonts w:eastAsiaTheme="minorEastAsia"/>
                      <w:bCs/>
                      <w:szCs w:val="21"/>
                    </w:rPr>
                  </w:pPr>
                  <w:r>
                    <w:rPr>
                      <w:rFonts w:eastAsiaTheme="minorEastAsia"/>
                      <w:kern w:val="0"/>
                      <w:szCs w:val="21"/>
                    </w:rPr>
                    <w:t>HW08</w:t>
                  </w:r>
                </w:p>
              </w:tc>
              <w:tc>
                <w:tcPr>
                  <w:tcW w:w="1437" w:type="dxa"/>
                  <w:vAlign w:val="center"/>
                </w:tcPr>
                <w:p w14:paraId="45E10ACF">
                  <w:pPr>
                    <w:adjustRightInd w:val="0"/>
                    <w:snapToGrid w:val="0"/>
                    <w:jc w:val="center"/>
                    <w:rPr>
                      <w:rFonts w:eastAsiaTheme="minorEastAsia"/>
                      <w:bCs/>
                      <w:szCs w:val="21"/>
                    </w:rPr>
                  </w:pPr>
                  <w:r>
                    <w:rPr>
                      <w:rFonts w:eastAsiaTheme="minorEastAsia"/>
                      <w:kern w:val="0"/>
                      <w:szCs w:val="21"/>
                    </w:rPr>
                    <w:t>900-214-08</w:t>
                  </w:r>
                </w:p>
              </w:tc>
              <w:tc>
                <w:tcPr>
                  <w:tcW w:w="1030" w:type="dxa"/>
                  <w:vMerge w:val="continue"/>
                  <w:vAlign w:val="center"/>
                </w:tcPr>
                <w:p w14:paraId="6294D6F0">
                  <w:pPr>
                    <w:adjustRightInd w:val="0"/>
                    <w:snapToGrid w:val="0"/>
                    <w:jc w:val="center"/>
                    <w:rPr>
                      <w:b/>
                      <w:bCs/>
                      <w:szCs w:val="21"/>
                    </w:rPr>
                  </w:pPr>
                </w:p>
              </w:tc>
              <w:tc>
                <w:tcPr>
                  <w:tcW w:w="1276" w:type="dxa"/>
                  <w:vMerge w:val="continue"/>
                  <w:vAlign w:val="center"/>
                </w:tcPr>
                <w:p w14:paraId="4E716185">
                  <w:pPr>
                    <w:adjustRightInd w:val="0"/>
                    <w:snapToGrid w:val="0"/>
                    <w:jc w:val="center"/>
                    <w:rPr>
                      <w:b/>
                      <w:bCs/>
                      <w:szCs w:val="21"/>
                    </w:rPr>
                  </w:pPr>
                </w:p>
              </w:tc>
              <w:tc>
                <w:tcPr>
                  <w:tcW w:w="2005" w:type="dxa"/>
                  <w:vAlign w:val="center"/>
                </w:tcPr>
                <w:p w14:paraId="5ECC2DED">
                  <w:pPr>
                    <w:adjustRightInd w:val="0"/>
                    <w:snapToGrid w:val="0"/>
                    <w:jc w:val="center"/>
                    <w:rPr>
                      <w:b/>
                      <w:bCs/>
                      <w:szCs w:val="21"/>
                    </w:rPr>
                  </w:pPr>
                  <w:r>
                    <w:rPr>
                      <w:rFonts w:hint="eastAsia" w:ascii="宋体" w:cs="宋体"/>
                      <w:kern w:val="0"/>
                      <w:szCs w:val="21"/>
                    </w:rPr>
                    <w:t>专用容器密封收集</w:t>
                  </w:r>
                </w:p>
              </w:tc>
              <w:tc>
                <w:tcPr>
                  <w:tcW w:w="1437" w:type="dxa"/>
                  <w:vMerge w:val="continue"/>
                  <w:vAlign w:val="center"/>
                </w:tcPr>
                <w:p w14:paraId="1F1C80BE">
                  <w:pPr>
                    <w:adjustRightInd w:val="0"/>
                    <w:snapToGrid w:val="0"/>
                    <w:jc w:val="center"/>
                    <w:rPr>
                      <w:b/>
                      <w:bCs/>
                      <w:szCs w:val="21"/>
                    </w:rPr>
                  </w:pPr>
                </w:p>
              </w:tc>
              <w:tc>
                <w:tcPr>
                  <w:tcW w:w="1438" w:type="dxa"/>
                </w:tcPr>
                <w:p w14:paraId="31E8E215">
                  <w:pPr>
                    <w:jc w:val="center"/>
                  </w:pPr>
                  <w:r>
                    <w:rPr>
                      <w:rFonts w:hint="eastAsia"/>
                      <w:bCs/>
                      <w:szCs w:val="21"/>
                    </w:rPr>
                    <w:t>3个月</w:t>
                  </w:r>
                </w:p>
              </w:tc>
            </w:tr>
            <w:tr w14:paraId="3E23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553BE798">
                  <w:pPr>
                    <w:adjustRightInd w:val="0"/>
                    <w:snapToGrid w:val="0"/>
                    <w:jc w:val="center"/>
                    <w:rPr>
                      <w:bCs/>
                      <w:szCs w:val="21"/>
                    </w:rPr>
                  </w:pPr>
                  <w:r>
                    <w:rPr>
                      <w:rFonts w:hint="eastAsia"/>
                      <w:bCs/>
                      <w:szCs w:val="21"/>
                    </w:rPr>
                    <w:t>7</w:t>
                  </w:r>
                </w:p>
              </w:tc>
              <w:tc>
                <w:tcPr>
                  <w:tcW w:w="2030" w:type="dxa"/>
                  <w:vMerge w:val="continue"/>
                  <w:vAlign w:val="center"/>
                </w:tcPr>
                <w:p w14:paraId="1218131F">
                  <w:pPr>
                    <w:adjustRightInd w:val="0"/>
                    <w:snapToGrid w:val="0"/>
                    <w:jc w:val="center"/>
                    <w:rPr>
                      <w:rFonts w:eastAsiaTheme="minorEastAsia"/>
                      <w:bCs/>
                      <w:szCs w:val="21"/>
                    </w:rPr>
                  </w:pPr>
                </w:p>
              </w:tc>
              <w:tc>
                <w:tcPr>
                  <w:tcW w:w="1437" w:type="dxa"/>
                  <w:vAlign w:val="center"/>
                </w:tcPr>
                <w:p w14:paraId="438675AB">
                  <w:pPr>
                    <w:adjustRightInd w:val="0"/>
                    <w:snapToGrid w:val="0"/>
                    <w:jc w:val="center"/>
                    <w:rPr>
                      <w:rFonts w:eastAsiaTheme="minorEastAsia"/>
                      <w:bCs/>
                      <w:szCs w:val="21"/>
                    </w:rPr>
                  </w:pPr>
                  <w:r>
                    <w:rPr>
                      <w:rFonts w:hAnsiTheme="minorEastAsia" w:eastAsiaTheme="minorEastAsia"/>
                      <w:bCs/>
                      <w:szCs w:val="21"/>
                    </w:rPr>
                    <w:t>废活性炭</w:t>
                  </w:r>
                </w:p>
              </w:tc>
              <w:tc>
                <w:tcPr>
                  <w:tcW w:w="1437" w:type="dxa"/>
                  <w:vAlign w:val="center"/>
                </w:tcPr>
                <w:p w14:paraId="05303159">
                  <w:pPr>
                    <w:adjustRightInd w:val="0"/>
                    <w:snapToGrid w:val="0"/>
                    <w:jc w:val="center"/>
                    <w:rPr>
                      <w:rFonts w:eastAsiaTheme="minorEastAsia"/>
                      <w:bCs/>
                      <w:szCs w:val="21"/>
                    </w:rPr>
                  </w:pPr>
                  <w:r>
                    <w:rPr>
                      <w:rFonts w:eastAsiaTheme="minorEastAsia"/>
                      <w:kern w:val="0"/>
                      <w:szCs w:val="21"/>
                    </w:rPr>
                    <w:t>HW49</w:t>
                  </w:r>
                </w:p>
              </w:tc>
              <w:tc>
                <w:tcPr>
                  <w:tcW w:w="1437" w:type="dxa"/>
                  <w:vAlign w:val="center"/>
                </w:tcPr>
                <w:p w14:paraId="61EC4959">
                  <w:pPr>
                    <w:adjustRightInd w:val="0"/>
                    <w:snapToGrid w:val="0"/>
                    <w:jc w:val="center"/>
                    <w:rPr>
                      <w:rFonts w:eastAsiaTheme="minorEastAsia"/>
                      <w:bCs/>
                      <w:szCs w:val="21"/>
                    </w:rPr>
                  </w:pPr>
                  <w:r>
                    <w:rPr>
                      <w:rFonts w:eastAsiaTheme="minorEastAsia"/>
                      <w:kern w:val="0"/>
                      <w:szCs w:val="21"/>
                    </w:rPr>
                    <w:t>900-039-49</w:t>
                  </w:r>
                </w:p>
              </w:tc>
              <w:tc>
                <w:tcPr>
                  <w:tcW w:w="1030" w:type="dxa"/>
                  <w:vMerge w:val="continue"/>
                  <w:vAlign w:val="center"/>
                </w:tcPr>
                <w:p w14:paraId="0B15ADD4">
                  <w:pPr>
                    <w:adjustRightInd w:val="0"/>
                    <w:snapToGrid w:val="0"/>
                    <w:jc w:val="center"/>
                    <w:rPr>
                      <w:b/>
                      <w:bCs/>
                      <w:szCs w:val="21"/>
                    </w:rPr>
                  </w:pPr>
                </w:p>
              </w:tc>
              <w:tc>
                <w:tcPr>
                  <w:tcW w:w="1276" w:type="dxa"/>
                  <w:vMerge w:val="continue"/>
                  <w:vAlign w:val="center"/>
                </w:tcPr>
                <w:p w14:paraId="03C6AAD0">
                  <w:pPr>
                    <w:adjustRightInd w:val="0"/>
                    <w:snapToGrid w:val="0"/>
                    <w:jc w:val="center"/>
                    <w:rPr>
                      <w:b/>
                      <w:bCs/>
                      <w:szCs w:val="21"/>
                    </w:rPr>
                  </w:pPr>
                </w:p>
              </w:tc>
              <w:tc>
                <w:tcPr>
                  <w:tcW w:w="2005" w:type="dxa"/>
                </w:tcPr>
                <w:p w14:paraId="3F4ACA45">
                  <w:r>
                    <w:rPr>
                      <w:rFonts w:hint="eastAsia" w:ascii="宋体" w:cs="宋体"/>
                      <w:kern w:val="0"/>
                      <w:szCs w:val="21"/>
                    </w:rPr>
                    <w:t>专用容器密封收集</w:t>
                  </w:r>
                </w:p>
              </w:tc>
              <w:tc>
                <w:tcPr>
                  <w:tcW w:w="1437" w:type="dxa"/>
                  <w:vMerge w:val="continue"/>
                  <w:vAlign w:val="center"/>
                </w:tcPr>
                <w:p w14:paraId="5CC6DAAA">
                  <w:pPr>
                    <w:adjustRightInd w:val="0"/>
                    <w:snapToGrid w:val="0"/>
                    <w:jc w:val="center"/>
                    <w:rPr>
                      <w:b/>
                      <w:bCs/>
                      <w:szCs w:val="21"/>
                    </w:rPr>
                  </w:pPr>
                </w:p>
              </w:tc>
              <w:tc>
                <w:tcPr>
                  <w:tcW w:w="1438" w:type="dxa"/>
                  <w:vAlign w:val="center"/>
                </w:tcPr>
                <w:p w14:paraId="630F5AF3">
                  <w:pPr>
                    <w:adjustRightInd w:val="0"/>
                    <w:snapToGrid w:val="0"/>
                    <w:jc w:val="center"/>
                    <w:rPr>
                      <w:bCs/>
                      <w:szCs w:val="21"/>
                    </w:rPr>
                  </w:pPr>
                  <w:r>
                    <w:rPr>
                      <w:rFonts w:hint="eastAsia"/>
                      <w:bCs/>
                      <w:szCs w:val="21"/>
                    </w:rPr>
                    <w:t>即换即运</w:t>
                  </w:r>
                </w:p>
              </w:tc>
            </w:tr>
          </w:tbl>
          <w:p w14:paraId="6275D431">
            <w:pPr>
              <w:adjustRightInd w:val="0"/>
              <w:snapToGrid w:val="0"/>
              <w:spacing w:line="440" w:lineRule="exact"/>
              <w:jc w:val="center"/>
              <w:rPr>
                <w:b/>
                <w:bCs/>
                <w:szCs w:val="21"/>
              </w:rPr>
            </w:pPr>
          </w:p>
          <w:p w14:paraId="52AC5DDB">
            <w:pPr>
              <w:adjustRightInd w:val="0"/>
              <w:snapToGrid w:val="0"/>
              <w:spacing w:line="440" w:lineRule="exact"/>
              <w:ind w:firstLine="482" w:firstLineChars="200"/>
              <w:rPr>
                <w:b/>
                <w:bCs/>
                <w:sz w:val="24"/>
              </w:rPr>
            </w:pPr>
          </w:p>
          <w:p w14:paraId="7E839165">
            <w:pPr>
              <w:adjustRightInd w:val="0"/>
              <w:snapToGrid w:val="0"/>
              <w:spacing w:line="440" w:lineRule="exact"/>
              <w:ind w:firstLine="482" w:firstLineChars="200"/>
              <w:rPr>
                <w:b/>
                <w:bCs/>
                <w:sz w:val="24"/>
              </w:rPr>
            </w:pPr>
          </w:p>
          <w:p w14:paraId="059BE980">
            <w:pPr>
              <w:adjustRightInd w:val="0"/>
              <w:snapToGrid w:val="0"/>
              <w:rPr>
                <w:rFonts w:ascii="宋体" w:hAnsi="宋体" w:cs="宋体"/>
                <w:b/>
                <w:bCs/>
                <w:spacing w:val="-10"/>
                <w:sz w:val="24"/>
              </w:rPr>
            </w:pPr>
          </w:p>
          <w:p w14:paraId="36E8B7BA">
            <w:pPr>
              <w:adjustRightInd w:val="0"/>
              <w:snapToGrid w:val="0"/>
              <w:rPr>
                <w:rFonts w:ascii="宋体" w:hAnsi="宋体" w:cs="宋体"/>
                <w:b/>
                <w:bCs/>
                <w:spacing w:val="-10"/>
                <w:sz w:val="24"/>
              </w:rPr>
            </w:pPr>
          </w:p>
          <w:p w14:paraId="07D37F81">
            <w:pPr>
              <w:adjustRightInd w:val="0"/>
              <w:snapToGrid w:val="0"/>
              <w:rPr>
                <w:rFonts w:ascii="宋体" w:hAnsi="宋体" w:cs="宋体"/>
                <w:b/>
                <w:bCs/>
                <w:spacing w:val="-10"/>
                <w:sz w:val="24"/>
              </w:rPr>
            </w:pPr>
          </w:p>
          <w:p w14:paraId="3D9EAC90">
            <w:pPr>
              <w:overflowPunct w:val="0"/>
              <w:jc w:val="center"/>
              <w:rPr>
                <w:sz w:val="24"/>
              </w:rPr>
            </w:pPr>
          </w:p>
        </w:tc>
      </w:tr>
    </w:tbl>
    <w:p w14:paraId="73D712F3">
      <w:pPr>
        <w:pStyle w:val="20"/>
        <w:jc w:val="center"/>
        <w:outlineLvl w:val="0"/>
        <w:rPr>
          <w:rFonts w:ascii="黑体" w:hAnsi="黑体" w:eastAsia="黑体"/>
          <w:snapToGrid w:val="0"/>
          <w:sz w:val="30"/>
          <w:szCs w:val="30"/>
        </w:rPr>
        <w:sectPr>
          <w:pgSz w:w="16838" w:h="11906" w:orient="landscape"/>
          <w:pgMar w:top="1531" w:right="1701" w:bottom="1531" w:left="1701" w:header="851" w:footer="851" w:gutter="0"/>
          <w:cols w:space="720" w:num="1"/>
          <w:docGrid w:linePitch="312" w:charSpace="0"/>
        </w:sect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8594"/>
      </w:tblGrid>
      <w:tr w14:paraId="758F3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386" w:type="dxa"/>
            <w:tcMar>
              <w:left w:w="28" w:type="dxa"/>
              <w:right w:w="28" w:type="dxa"/>
            </w:tcMar>
            <w:vAlign w:val="center"/>
          </w:tcPr>
          <w:p w14:paraId="08EE662C">
            <w:pPr>
              <w:adjustRightInd w:val="0"/>
              <w:snapToGrid w:val="0"/>
              <w:jc w:val="center"/>
              <w:rPr>
                <w:rFonts w:ascii="宋体" w:hAnsi="宋体" w:cs="宋体"/>
                <w:bCs/>
                <w:sz w:val="24"/>
              </w:rPr>
            </w:pPr>
            <w:r>
              <w:rPr>
                <w:rFonts w:hint="eastAsia" w:ascii="宋体" w:hAnsi="宋体" w:cs="宋体"/>
                <w:bCs/>
                <w:sz w:val="24"/>
              </w:rPr>
              <w:t>营运</w:t>
            </w:r>
          </w:p>
          <w:p w14:paraId="2769E682">
            <w:pPr>
              <w:adjustRightInd w:val="0"/>
              <w:snapToGrid w:val="0"/>
              <w:jc w:val="center"/>
              <w:rPr>
                <w:rFonts w:ascii="宋体" w:hAnsi="宋体" w:cs="宋体"/>
                <w:bCs/>
                <w:sz w:val="24"/>
              </w:rPr>
            </w:pPr>
            <w:r>
              <w:rPr>
                <w:rFonts w:hint="eastAsia" w:ascii="宋体" w:hAnsi="宋体" w:cs="宋体"/>
                <w:bCs/>
                <w:sz w:val="24"/>
              </w:rPr>
              <w:t>期环</w:t>
            </w:r>
          </w:p>
          <w:p w14:paraId="574324F7">
            <w:pPr>
              <w:adjustRightInd w:val="0"/>
              <w:snapToGrid w:val="0"/>
              <w:jc w:val="center"/>
              <w:rPr>
                <w:rFonts w:ascii="宋体" w:hAnsi="宋体" w:cs="宋体"/>
                <w:bCs/>
                <w:sz w:val="24"/>
              </w:rPr>
            </w:pPr>
            <w:r>
              <w:rPr>
                <w:rFonts w:hint="eastAsia" w:ascii="宋体" w:hAnsi="宋体" w:cs="宋体"/>
                <w:bCs/>
                <w:sz w:val="24"/>
              </w:rPr>
              <w:t>境影</w:t>
            </w:r>
          </w:p>
          <w:p w14:paraId="6880AC9E">
            <w:pPr>
              <w:adjustRightInd w:val="0"/>
              <w:snapToGrid w:val="0"/>
              <w:jc w:val="center"/>
              <w:rPr>
                <w:rFonts w:ascii="宋体" w:hAnsi="宋体" w:cs="宋体"/>
                <w:bCs/>
                <w:sz w:val="24"/>
              </w:rPr>
            </w:pPr>
            <w:r>
              <w:rPr>
                <w:rFonts w:hint="eastAsia" w:ascii="宋体" w:hAnsi="宋体" w:cs="宋体"/>
                <w:bCs/>
                <w:sz w:val="24"/>
              </w:rPr>
              <w:t>响和</w:t>
            </w:r>
          </w:p>
          <w:p w14:paraId="2AF3CB51">
            <w:pPr>
              <w:adjustRightInd w:val="0"/>
              <w:snapToGrid w:val="0"/>
              <w:jc w:val="center"/>
              <w:rPr>
                <w:rFonts w:ascii="宋体" w:hAnsi="宋体" w:cs="宋体"/>
                <w:bCs/>
                <w:sz w:val="24"/>
              </w:rPr>
            </w:pPr>
            <w:r>
              <w:rPr>
                <w:rFonts w:hint="eastAsia" w:ascii="宋体" w:hAnsi="宋体" w:cs="宋体"/>
                <w:bCs/>
                <w:sz w:val="24"/>
              </w:rPr>
              <w:t>保护</w:t>
            </w:r>
          </w:p>
          <w:p w14:paraId="50815055">
            <w:pPr>
              <w:pStyle w:val="20"/>
              <w:adjustRightInd w:val="0"/>
              <w:snapToGrid w:val="0"/>
              <w:spacing w:before="0" w:beforeAutospacing="0" w:after="0" w:afterAutospacing="0"/>
              <w:jc w:val="center"/>
              <w:rPr>
                <w:rFonts w:cs="宋体"/>
                <w:kern w:val="2"/>
                <w:szCs w:val="24"/>
              </w:rPr>
            </w:pPr>
            <w:r>
              <w:rPr>
                <w:rFonts w:hint="eastAsia" w:cs="宋体"/>
                <w:bCs/>
                <w:szCs w:val="24"/>
              </w:rPr>
              <w:t>措施</w:t>
            </w:r>
          </w:p>
        </w:tc>
        <w:tc>
          <w:tcPr>
            <w:tcW w:w="8594" w:type="dxa"/>
            <w:vAlign w:val="center"/>
          </w:tcPr>
          <w:p w14:paraId="45E9630D">
            <w:pPr>
              <w:adjustRightInd w:val="0"/>
              <w:snapToGrid w:val="0"/>
              <w:spacing w:line="480" w:lineRule="exact"/>
              <w:ind w:firstLine="482" w:firstLineChars="200"/>
              <w:rPr>
                <w:rFonts w:eastAsiaTheme="minorEastAsia"/>
                <w:b/>
                <w:sz w:val="24"/>
              </w:rPr>
            </w:pPr>
            <w:r>
              <w:rPr>
                <w:rFonts w:eastAsiaTheme="minorEastAsia"/>
                <w:b/>
                <w:sz w:val="24"/>
              </w:rPr>
              <w:t xml:space="preserve">4.2.4.2 </w:t>
            </w:r>
            <w:r>
              <w:rPr>
                <w:rFonts w:hAnsiTheme="minorEastAsia" w:eastAsiaTheme="minorEastAsia"/>
                <w:b/>
                <w:sz w:val="24"/>
              </w:rPr>
              <w:t>固体废物影响及防治措施</w:t>
            </w:r>
          </w:p>
          <w:p w14:paraId="6D3453CA">
            <w:pPr>
              <w:spacing w:line="480" w:lineRule="exact"/>
              <w:ind w:firstLine="480" w:firstLineChars="200"/>
              <w:rPr>
                <w:rFonts w:eastAsiaTheme="minorEastAsia"/>
                <w:sz w:val="24"/>
              </w:rPr>
            </w:pPr>
            <w:r>
              <w:rPr>
                <w:rFonts w:eastAsiaTheme="minorEastAsia"/>
                <w:sz w:val="24"/>
              </w:rPr>
              <w:t>1</w:t>
            </w:r>
            <w:r>
              <w:rPr>
                <w:rFonts w:hAnsiTheme="minorEastAsia" w:eastAsiaTheme="minorEastAsia"/>
                <w:sz w:val="24"/>
              </w:rPr>
              <w:t>、一般工业固废</w:t>
            </w:r>
          </w:p>
          <w:p w14:paraId="4870049C">
            <w:pPr>
              <w:autoSpaceDE w:val="0"/>
              <w:autoSpaceDN w:val="0"/>
              <w:adjustRightInd w:val="0"/>
              <w:spacing w:line="480" w:lineRule="exact"/>
              <w:ind w:firstLine="480" w:firstLineChars="200"/>
              <w:jc w:val="left"/>
              <w:rPr>
                <w:rFonts w:eastAsiaTheme="minorEastAsia"/>
                <w:b/>
                <w:bCs/>
                <w:sz w:val="24"/>
              </w:rPr>
            </w:pPr>
            <w:r>
              <w:rPr>
                <w:rFonts w:hAnsiTheme="minorEastAsia" w:eastAsiaTheme="minorEastAsia"/>
                <w:kern w:val="0"/>
                <w:sz w:val="24"/>
              </w:rPr>
              <w:t>一般固废暂存点应符合《一般工业固体废物贮存和填埋污染控制标准》（</w:t>
            </w:r>
            <w:r>
              <w:rPr>
                <w:rFonts w:eastAsiaTheme="minorEastAsia"/>
                <w:kern w:val="0"/>
                <w:sz w:val="24"/>
              </w:rPr>
              <w:t>GB18599-2020</w:t>
            </w:r>
            <w:r>
              <w:rPr>
                <w:rFonts w:hAnsiTheme="minorEastAsia" w:eastAsiaTheme="minorEastAsia"/>
                <w:kern w:val="0"/>
                <w:sz w:val="24"/>
              </w:rPr>
              <w:t>）提出的环保要求：防粉尘污染、防流失、防雨水进入；贮存应设置环境保护图形的警示、提示标志（环境保护图形标准（</w:t>
            </w:r>
            <w:r>
              <w:rPr>
                <w:rFonts w:eastAsiaTheme="minorEastAsia"/>
                <w:kern w:val="0"/>
                <w:sz w:val="24"/>
              </w:rPr>
              <w:t>GB15562.2-1992)</w:t>
            </w:r>
            <w:r>
              <w:rPr>
                <w:rFonts w:hAnsiTheme="minorEastAsia" w:eastAsiaTheme="minorEastAsia"/>
                <w:kern w:val="0"/>
                <w:sz w:val="24"/>
              </w:rPr>
              <w:t>；堆场不得混入生活垃圾或危险废物。</w:t>
            </w:r>
          </w:p>
          <w:p w14:paraId="23D06E72">
            <w:pPr>
              <w:spacing w:line="480" w:lineRule="exact"/>
              <w:ind w:firstLine="480" w:firstLineChars="200"/>
              <w:rPr>
                <w:rFonts w:eastAsiaTheme="minorEastAsia"/>
                <w:sz w:val="24"/>
              </w:rPr>
            </w:pPr>
            <w:r>
              <w:rPr>
                <w:rFonts w:eastAsiaTheme="minorEastAsia"/>
                <w:sz w:val="24"/>
              </w:rPr>
              <w:t>2</w:t>
            </w:r>
            <w:r>
              <w:rPr>
                <w:rFonts w:hAnsiTheme="minorEastAsia" w:eastAsiaTheme="minorEastAsia"/>
                <w:sz w:val="24"/>
              </w:rPr>
              <w:t>、危险废物</w:t>
            </w:r>
          </w:p>
          <w:p w14:paraId="26946277">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本项目危废存放场所的设置必须严格按照《危险废物污染防治技术政策》和《危险废物贮存污染控制标准》（</w:t>
            </w:r>
            <w:r>
              <w:rPr>
                <w:rFonts w:eastAsiaTheme="minorEastAsia"/>
                <w:kern w:val="0"/>
                <w:sz w:val="24"/>
              </w:rPr>
              <w:t>GB18597-2001</w:t>
            </w:r>
            <w:r>
              <w:rPr>
                <w:rFonts w:hAnsiTheme="minorEastAsia" w:eastAsiaTheme="minorEastAsia"/>
                <w:kern w:val="0"/>
                <w:sz w:val="24"/>
              </w:rPr>
              <w:t>）及其修改单要求设置，危废转运按照《危险废物转移联单管理办法》进行，最终得到安全处置。危险废物存储和转运过程需满足以下要求：</w:t>
            </w:r>
          </w:p>
          <w:p w14:paraId="0E36FCC2">
            <w:pPr>
              <w:autoSpaceDE w:val="0"/>
              <w:autoSpaceDN w:val="0"/>
              <w:adjustRightInd w:val="0"/>
              <w:spacing w:line="480" w:lineRule="exact"/>
              <w:ind w:firstLine="480" w:firstLineChars="200"/>
              <w:jc w:val="left"/>
              <w:rPr>
                <w:rFonts w:eastAsiaTheme="minorEastAsia"/>
                <w:kern w:val="0"/>
                <w:sz w:val="24"/>
              </w:rPr>
            </w:pPr>
            <w:r>
              <w:rPr>
                <w:rFonts w:asciiTheme="minorEastAsia" w:hAnsiTheme="minorEastAsia" w:eastAsiaTheme="minorEastAsia"/>
                <w:kern w:val="0"/>
                <w:sz w:val="24"/>
              </w:rPr>
              <w:t>①</w:t>
            </w:r>
            <w:r>
              <w:rPr>
                <w:rFonts w:hAnsiTheme="minorEastAsia" w:eastAsiaTheme="minorEastAsia"/>
                <w:kern w:val="0"/>
                <w:sz w:val="24"/>
              </w:rPr>
              <w:t>分类收集：危险废物应及时收集，并按照类别分别置于防渗漏、防锐器穿透的专用包装物或者密闭的容器内（包装桶）。分类收集危废的塑料袋或容器的材质、规格均应符合国家有关规定的要求。</w:t>
            </w:r>
          </w:p>
          <w:p w14:paraId="147B0E19">
            <w:pPr>
              <w:autoSpaceDE w:val="0"/>
              <w:autoSpaceDN w:val="0"/>
              <w:adjustRightInd w:val="0"/>
              <w:spacing w:line="480" w:lineRule="exact"/>
              <w:ind w:firstLine="480" w:firstLineChars="200"/>
              <w:jc w:val="left"/>
              <w:rPr>
                <w:rFonts w:eastAsiaTheme="minorEastAsia"/>
                <w:kern w:val="0"/>
                <w:sz w:val="24"/>
              </w:rPr>
            </w:pPr>
            <w:r>
              <w:rPr>
                <w:rFonts w:asciiTheme="minorEastAsia" w:hAnsiTheme="minorEastAsia" w:eastAsiaTheme="minorEastAsia"/>
                <w:kern w:val="0"/>
                <w:sz w:val="24"/>
              </w:rPr>
              <w:t>②</w:t>
            </w:r>
            <w:r>
              <w:rPr>
                <w:rFonts w:hAnsiTheme="minorEastAsia" w:eastAsiaTheme="minorEastAsia"/>
                <w:kern w:val="0"/>
                <w:sz w:val="24"/>
              </w:rPr>
              <w:t>暂存：暂存间应符合《危险废物贮存污染控制标准》</w:t>
            </w:r>
            <w:r>
              <w:rPr>
                <w:rFonts w:eastAsiaTheme="minorEastAsia"/>
                <w:kern w:val="0"/>
                <w:sz w:val="24"/>
              </w:rPr>
              <w:t>(GB18597</w:t>
            </w:r>
            <w:r>
              <w:rPr>
                <w:rFonts w:hAnsiTheme="minorEastAsia" w:eastAsiaTheme="minorEastAsia"/>
                <w:kern w:val="0"/>
                <w:sz w:val="24"/>
              </w:rPr>
              <w:t>－</w:t>
            </w:r>
            <w:r>
              <w:rPr>
                <w:rFonts w:eastAsiaTheme="minorEastAsia"/>
                <w:kern w:val="0"/>
                <w:sz w:val="24"/>
              </w:rPr>
              <w:t>2001)</w:t>
            </w:r>
            <w:r>
              <w:rPr>
                <w:rFonts w:hAnsiTheme="minorEastAsia" w:eastAsiaTheme="minorEastAsia"/>
                <w:kern w:val="0"/>
                <w:sz w:val="24"/>
              </w:rPr>
              <w:t>及其修改单提出的环保要求：暂存间地面与裙脚要用坚固、防渗的材料建造，建筑材料必须与危险废物相容；危险废物暂存地面及内墙采取防渗措施，地面作防渗、防漏、防酸碱腐蚀处理，防渗层可采用</w:t>
            </w:r>
            <w:r>
              <w:rPr>
                <w:rFonts w:eastAsiaTheme="minorEastAsia"/>
                <w:kern w:val="0"/>
                <w:sz w:val="24"/>
              </w:rPr>
              <w:t xml:space="preserve">2mm </w:t>
            </w:r>
            <w:r>
              <w:rPr>
                <w:rFonts w:hAnsiTheme="minorEastAsia" w:eastAsiaTheme="minorEastAsia"/>
                <w:kern w:val="0"/>
                <w:sz w:val="24"/>
              </w:rPr>
              <w:t>厚高密度聚乙烯，或其他</w:t>
            </w:r>
            <w:r>
              <w:rPr>
                <w:rFonts w:eastAsiaTheme="minorEastAsia"/>
                <w:kern w:val="0"/>
                <w:sz w:val="24"/>
              </w:rPr>
              <w:t xml:space="preserve">2mm </w:t>
            </w:r>
            <w:r>
              <w:rPr>
                <w:rFonts w:hAnsiTheme="minorEastAsia" w:eastAsiaTheme="minorEastAsia"/>
                <w:kern w:val="0"/>
                <w:sz w:val="24"/>
              </w:rPr>
              <w:t>厚的人工材料，处理后渗透系数</w:t>
            </w:r>
            <w:r>
              <w:rPr>
                <w:rFonts w:eastAsiaTheme="minorEastAsia"/>
                <w:kern w:val="0"/>
                <w:sz w:val="24"/>
              </w:rPr>
              <w:t>≤10-10cm/s</w:t>
            </w:r>
            <w:r>
              <w:rPr>
                <w:rFonts w:hAnsiTheme="minorEastAsia" w:eastAsiaTheme="minorEastAsia"/>
                <w:kern w:val="0"/>
                <w:sz w:val="24"/>
              </w:rPr>
              <w:t>，危险废物暂存间周边设置围堰；不相容的危险废物必须分开存放，并设有隔离间隔断。</w:t>
            </w:r>
          </w:p>
          <w:p w14:paraId="2BAF1E59">
            <w:pPr>
              <w:autoSpaceDE w:val="0"/>
              <w:autoSpaceDN w:val="0"/>
              <w:adjustRightInd w:val="0"/>
              <w:spacing w:line="480" w:lineRule="exact"/>
              <w:ind w:firstLine="480" w:firstLineChars="200"/>
              <w:jc w:val="left"/>
              <w:rPr>
                <w:rFonts w:eastAsiaTheme="minorEastAsia"/>
                <w:kern w:val="0"/>
                <w:sz w:val="24"/>
              </w:rPr>
            </w:pPr>
            <w:r>
              <w:rPr>
                <w:rFonts w:asciiTheme="minorEastAsia" w:hAnsiTheme="minorEastAsia" w:eastAsiaTheme="minorEastAsia"/>
                <w:kern w:val="0"/>
                <w:sz w:val="24"/>
              </w:rPr>
              <w:t>③</w:t>
            </w:r>
            <w:r>
              <w:rPr>
                <w:rFonts w:hAnsiTheme="minorEastAsia" w:eastAsiaTheme="minorEastAsia"/>
                <w:kern w:val="0"/>
                <w:sz w:val="24"/>
              </w:rPr>
              <w:t>转运：内部转运应当使用防渗漏、防遗撒的专用运送工具。转运尽量选择人少的时间转运，转运过程中正确装卸，避免遗撒。转运工作人员做好个人保护措施。</w:t>
            </w:r>
          </w:p>
          <w:p w14:paraId="6E8F0630">
            <w:pPr>
              <w:spacing w:line="480" w:lineRule="exact"/>
              <w:ind w:firstLine="480" w:firstLineChars="200"/>
              <w:rPr>
                <w:rFonts w:eastAsiaTheme="minorEastAsia"/>
                <w:kern w:val="0"/>
                <w:sz w:val="24"/>
              </w:rPr>
            </w:pPr>
            <w:r>
              <w:rPr>
                <w:rFonts w:asciiTheme="minorEastAsia" w:hAnsiTheme="minorEastAsia" w:eastAsiaTheme="minorEastAsia"/>
                <w:kern w:val="0"/>
                <w:sz w:val="24"/>
              </w:rPr>
              <w:t>④</w:t>
            </w:r>
            <w:r>
              <w:rPr>
                <w:rFonts w:hAnsiTheme="minorEastAsia" w:eastAsiaTheme="minorEastAsia"/>
                <w:kern w:val="0"/>
                <w:sz w:val="24"/>
              </w:rPr>
              <w:t>做好危废转移记录及相关转移联单，制定环保管理制度。</w:t>
            </w:r>
          </w:p>
          <w:p w14:paraId="5599D792">
            <w:pPr>
              <w:spacing w:line="480" w:lineRule="exact"/>
              <w:ind w:firstLine="480" w:firstLineChars="200"/>
              <w:rPr>
                <w:rFonts w:eastAsiaTheme="minorEastAsia"/>
                <w:sz w:val="24"/>
              </w:rPr>
            </w:pPr>
            <w:r>
              <w:rPr>
                <w:rFonts w:eastAsiaTheme="minorEastAsia"/>
                <w:sz w:val="24"/>
              </w:rPr>
              <w:t>3</w:t>
            </w:r>
            <w:r>
              <w:rPr>
                <w:rFonts w:hAnsiTheme="minorEastAsia" w:eastAsiaTheme="minorEastAsia"/>
                <w:sz w:val="24"/>
              </w:rPr>
              <w:t>、生活垃圾</w:t>
            </w:r>
          </w:p>
          <w:p w14:paraId="2605213F">
            <w:pPr>
              <w:spacing w:line="480" w:lineRule="exact"/>
              <w:ind w:firstLine="480" w:firstLineChars="200"/>
              <w:rPr>
                <w:rFonts w:eastAsiaTheme="minorEastAsia"/>
                <w:sz w:val="24"/>
              </w:rPr>
            </w:pPr>
            <w:r>
              <w:rPr>
                <w:rFonts w:hAnsiTheme="minorEastAsia" w:eastAsiaTheme="minorEastAsia"/>
                <w:sz w:val="24"/>
              </w:rPr>
              <w:t>生活垃圾由垃圾桶分类收集后交由环卫部门处理。</w:t>
            </w:r>
          </w:p>
          <w:p w14:paraId="47CC55DD">
            <w:pPr>
              <w:spacing w:line="480" w:lineRule="exact"/>
              <w:ind w:firstLine="480" w:firstLineChars="200"/>
              <w:rPr>
                <w:rFonts w:eastAsiaTheme="minorEastAsia"/>
                <w:sz w:val="24"/>
              </w:rPr>
            </w:pPr>
            <w:r>
              <w:rPr>
                <w:rFonts w:eastAsiaTheme="minorEastAsia"/>
                <w:sz w:val="24"/>
              </w:rPr>
              <w:t>4</w:t>
            </w:r>
            <w:r>
              <w:rPr>
                <w:rFonts w:hAnsiTheme="minorEastAsia" w:eastAsiaTheme="minorEastAsia"/>
                <w:sz w:val="24"/>
              </w:rPr>
              <w:t>、餐厨垃圾</w:t>
            </w:r>
          </w:p>
          <w:p w14:paraId="4F29484A">
            <w:pPr>
              <w:adjustRightInd w:val="0"/>
              <w:snapToGrid w:val="0"/>
              <w:spacing w:line="480" w:lineRule="exact"/>
              <w:ind w:firstLine="480" w:firstLineChars="200"/>
              <w:rPr>
                <w:rFonts w:eastAsiaTheme="minorEastAsia"/>
                <w:sz w:val="24"/>
              </w:rPr>
            </w:pPr>
            <w:r>
              <w:rPr>
                <w:rFonts w:hAnsiTheme="minorEastAsia" w:eastAsiaTheme="minorEastAsia"/>
                <w:sz w:val="24"/>
              </w:rPr>
              <w:t>项目食堂产生的餐厨垃圾单独收集后，交有资质单位统一收集处置。</w:t>
            </w:r>
          </w:p>
          <w:p w14:paraId="0EDDAD88">
            <w:pPr>
              <w:adjustRightInd w:val="0"/>
              <w:snapToGrid w:val="0"/>
              <w:spacing w:line="480" w:lineRule="exact"/>
              <w:ind w:firstLine="480" w:firstLineChars="200"/>
              <w:rPr>
                <w:rFonts w:eastAsiaTheme="minorEastAsia"/>
                <w:sz w:val="24"/>
              </w:rPr>
            </w:pPr>
            <w:r>
              <w:rPr>
                <w:rFonts w:eastAsiaTheme="minorEastAsia"/>
                <w:sz w:val="24"/>
              </w:rPr>
              <w:t>5</w:t>
            </w:r>
            <w:r>
              <w:rPr>
                <w:rFonts w:hAnsiTheme="minorEastAsia" w:eastAsiaTheme="minorEastAsia"/>
                <w:sz w:val="24"/>
              </w:rPr>
              <w:t>、生化池污泥</w:t>
            </w:r>
          </w:p>
          <w:p w14:paraId="68900F17">
            <w:pPr>
              <w:adjustRightInd w:val="0"/>
              <w:snapToGrid w:val="0"/>
              <w:spacing w:line="480" w:lineRule="exact"/>
              <w:ind w:firstLine="480" w:firstLineChars="200"/>
              <w:rPr>
                <w:rFonts w:eastAsiaTheme="minorEastAsia"/>
                <w:bCs/>
                <w:spacing w:val="-10"/>
                <w:sz w:val="24"/>
              </w:rPr>
            </w:pPr>
            <w:r>
              <w:rPr>
                <w:rFonts w:hAnsiTheme="minorEastAsia" w:eastAsiaTheme="minorEastAsia"/>
                <w:sz w:val="24"/>
              </w:rPr>
              <w:t>项目生化池污泥定期清掏，交环卫部门处理。</w:t>
            </w:r>
          </w:p>
          <w:p w14:paraId="46252716">
            <w:pPr>
              <w:spacing w:line="480" w:lineRule="exact"/>
              <w:ind w:firstLine="480" w:firstLineChars="200"/>
              <w:rPr>
                <w:rFonts w:eastAsiaTheme="minorEastAsia"/>
                <w:sz w:val="24"/>
              </w:rPr>
            </w:pPr>
            <w:r>
              <w:rPr>
                <w:rFonts w:hAnsiTheme="minorEastAsia" w:eastAsiaTheme="minorEastAsia"/>
                <w:sz w:val="24"/>
              </w:rPr>
              <w:t>采取以上措施合理处置后固体废物不会对周边环境造成较大影响。</w:t>
            </w:r>
          </w:p>
          <w:p w14:paraId="499A4D32">
            <w:pPr>
              <w:adjustRightInd w:val="0"/>
              <w:snapToGrid w:val="0"/>
              <w:spacing w:line="440" w:lineRule="exact"/>
              <w:rPr>
                <w:b/>
                <w:bCs/>
                <w:sz w:val="24"/>
              </w:rPr>
            </w:pPr>
            <w:r>
              <w:rPr>
                <w:b/>
                <w:bCs/>
                <w:sz w:val="24"/>
              </w:rPr>
              <w:t>4.2.5 地下水、土壤环境影响分析</w:t>
            </w:r>
          </w:p>
          <w:p w14:paraId="26B3CF40">
            <w:pPr>
              <w:adjustRightInd w:val="0"/>
              <w:snapToGrid w:val="0"/>
              <w:spacing w:line="440" w:lineRule="exact"/>
              <w:ind w:firstLine="482" w:firstLineChars="200"/>
              <w:rPr>
                <w:b/>
                <w:bCs/>
                <w:sz w:val="24"/>
              </w:rPr>
            </w:pPr>
            <w:r>
              <w:rPr>
                <w:b/>
                <w:bCs/>
                <w:sz w:val="24"/>
              </w:rPr>
              <w:t>(1) 污染源和污染途径分析</w:t>
            </w:r>
          </w:p>
          <w:p w14:paraId="67E75B8C">
            <w:pPr>
              <w:adjustRightInd w:val="0"/>
              <w:snapToGrid w:val="0"/>
              <w:spacing w:line="440" w:lineRule="exact"/>
              <w:jc w:val="center"/>
              <w:rPr>
                <w:rFonts w:eastAsiaTheme="minorEastAsia"/>
                <w:b/>
                <w:szCs w:val="21"/>
              </w:rPr>
            </w:pPr>
            <w:r>
              <w:rPr>
                <w:rFonts w:hAnsiTheme="minorEastAsia" w:eastAsiaTheme="minorEastAsia"/>
                <w:b/>
                <w:szCs w:val="21"/>
              </w:rPr>
              <w:t>表</w:t>
            </w:r>
            <w:r>
              <w:rPr>
                <w:rFonts w:eastAsiaTheme="minorEastAsia"/>
                <w:b/>
                <w:szCs w:val="21"/>
              </w:rPr>
              <w:t xml:space="preserve">4.2-21 </w:t>
            </w:r>
            <w:r>
              <w:rPr>
                <w:rFonts w:hAnsiTheme="minorEastAsia" w:eastAsiaTheme="minorEastAsia"/>
                <w:b/>
                <w:szCs w:val="21"/>
              </w:rPr>
              <w:t>地下水、土壤污染源和污染途径情况一览表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111"/>
              <w:gridCol w:w="2273"/>
            </w:tblGrid>
            <w:tr w14:paraId="5F3B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14:paraId="0472D958">
                  <w:pPr>
                    <w:adjustRightInd w:val="0"/>
                    <w:snapToGrid w:val="0"/>
                    <w:jc w:val="center"/>
                    <w:rPr>
                      <w:rFonts w:eastAsiaTheme="minorEastAsia"/>
                      <w:szCs w:val="21"/>
                    </w:rPr>
                  </w:pPr>
                  <w:r>
                    <w:rPr>
                      <w:rFonts w:hAnsiTheme="minorEastAsia" w:eastAsiaTheme="minorEastAsia"/>
                      <w:szCs w:val="21"/>
                    </w:rPr>
                    <w:t>污染源</w:t>
                  </w:r>
                </w:p>
              </w:tc>
              <w:tc>
                <w:tcPr>
                  <w:tcW w:w="4111" w:type="dxa"/>
                  <w:vAlign w:val="center"/>
                </w:tcPr>
                <w:p w14:paraId="054D5517">
                  <w:pPr>
                    <w:adjustRightInd w:val="0"/>
                    <w:snapToGrid w:val="0"/>
                    <w:jc w:val="center"/>
                    <w:rPr>
                      <w:rFonts w:eastAsiaTheme="minorEastAsia"/>
                      <w:szCs w:val="21"/>
                    </w:rPr>
                  </w:pPr>
                  <w:r>
                    <w:rPr>
                      <w:rFonts w:hAnsiTheme="minorEastAsia" w:eastAsiaTheme="minorEastAsia"/>
                      <w:szCs w:val="21"/>
                    </w:rPr>
                    <w:t>污染物类型</w:t>
                  </w:r>
                </w:p>
              </w:tc>
              <w:tc>
                <w:tcPr>
                  <w:tcW w:w="2273" w:type="dxa"/>
                  <w:vAlign w:val="center"/>
                </w:tcPr>
                <w:p w14:paraId="30D3B0DC">
                  <w:pPr>
                    <w:adjustRightInd w:val="0"/>
                    <w:snapToGrid w:val="0"/>
                    <w:jc w:val="center"/>
                    <w:rPr>
                      <w:rFonts w:eastAsiaTheme="minorEastAsia"/>
                      <w:szCs w:val="21"/>
                    </w:rPr>
                  </w:pPr>
                  <w:r>
                    <w:rPr>
                      <w:rFonts w:hAnsiTheme="minorEastAsia" w:eastAsiaTheme="minorEastAsia"/>
                      <w:szCs w:val="21"/>
                    </w:rPr>
                    <w:t>污染途径</w:t>
                  </w:r>
                </w:p>
              </w:tc>
            </w:tr>
            <w:tr w14:paraId="0027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14:paraId="740AD63D">
                  <w:pPr>
                    <w:adjustRightInd w:val="0"/>
                    <w:snapToGrid w:val="0"/>
                    <w:jc w:val="center"/>
                    <w:rPr>
                      <w:rFonts w:eastAsiaTheme="minorEastAsia"/>
                      <w:szCs w:val="21"/>
                    </w:rPr>
                  </w:pPr>
                  <w:r>
                    <w:rPr>
                      <w:rFonts w:hAnsiTheme="minorEastAsia" w:eastAsiaTheme="minorEastAsia"/>
                      <w:szCs w:val="21"/>
                    </w:rPr>
                    <w:t>化学品存放间</w:t>
                  </w:r>
                </w:p>
              </w:tc>
              <w:tc>
                <w:tcPr>
                  <w:tcW w:w="4111" w:type="dxa"/>
                  <w:vAlign w:val="center"/>
                </w:tcPr>
                <w:p w14:paraId="27C9B8F4">
                  <w:pPr>
                    <w:adjustRightInd w:val="0"/>
                    <w:snapToGrid w:val="0"/>
                    <w:jc w:val="center"/>
                    <w:rPr>
                      <w:rFonts w:eastAsiaTheme="minorEastAsia"/>
                      <w:szCs w:val="21"/>
                    </w:rPr>
                  </w:pPr>
                  <w:r>
                    <w:rPr>
                      <w:rFonts w:hAnsiTheme="minorEastAsia" w:eastAsiaTheme="minorEastAsia"/>
                      <w:szCs w:val="21"/>
                    </w:rPr>
                    <w:t>油墨、水性上光油、水基性胶粘剂、洗车水、润版液、润滑油</w:t>
                  </w:r>
                </w:p>
              </w:tc>
              <w:tc>
                <w:tcPr>
                  <w:tcW w:w="2273" w:type="dxa"/>
                  <w:vAlign w:val="center"/>
                </w:tcPr>
                <w:p w14:paraId="74DAD1B6">
                  <w:pPr>
                    <w:adjustRightInd w:val="0"/>
                    <w:snapToGrid w:val="0"/>
                    <w:jc w:val="center"/>
                    <w:rPr>
                      <w:rFonts w:eastAsiaTheme="minorEastAsia"/>
                      <w:szCs w:val="21"/>
                    </w:rPr>
                  </w:pPr>
                  <w:r>
                    <w:rPr>
                      <w:rFonts w:hAnsiTheme="minorEastAsia" w:eastAsiaTheme="minorEastAsia"/>
                      <w:szCs w:val="21"/>
                    </w:rPr>
                    <w:t>垂直入渗</w:t>
                  </w:r>
                </w:p>
              </w:tc>
            </w:tr>
            <w:tr w14:paraId="3065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14:paraId="663BB31E">
                  <w:pPr>
                    <w:adjustRightInd w:val="0"/>
                    <w:snapToGrid w:val="0"/>
                    <w:jc w:val="center"/>
                    <w:rPr>
                      <w:rFonts w:eastAsiaTheme="minorEastAsia"/>
                      <w:szCs w:val="21"/>
                    </w:rPr>
                  </w:pPr>
                  <w:r>
                    <w:rPr>
                      <w:rFonts w:hAnsiTheme="minorEastAsia" w:eastAsiaTheme="minorEastAsia"/>
                      <w:szCs w:val="21"/>
                    </w:rPr>
                    <w:t>危险废物暂存间</w:t>
                  </w:r>
                </w:p>
              </w:tc>
              <w:tc>
                <w:tcPr>
                  <w:tcW w:w="4111" w:type="dxa"/>
                  <w:vAlign w:val="center"/>
                </w:tcPr>
                <w:p w14:paraId="4C49FA93">
                  <w:pPr>
                    <w:adjustRightInd w:val="0"/>
                    <w:snapToGrid w:val="0"/>
                    <w:jc w:val="center"/>
                    <w:rPr>
                      <w:rFonts w:eastAsiaTheme="minorEastAsia"/>
                      <w:szCs w:val="21"/>
                    </w:rPr>
                  </w:pPr>
                  <w:r>
                    <w:rPr>
                      <w:rFonts w:hAnsiTheme="minorEastAsia" w:eastAsiaTheme="minorEastAsia"/>
                      <w:szCs w:val="21"/>
                    </w:rPr>
                    <w:t>废润版液、废润滑油、废包装桶</w:t>
                  </w:r>
                </w:p>
              </w:tc>
              <w:tc>
                <w:tcPr>
                  <w:tcW w:w="2273" w:type="dxa"/>
                  <w:vAlign w:val="center"/>
                </w:tcPr>
                <w:p w14:paraId="0CF71D00">
                  <w:pPr>
                    <w:adjustRightInd w:val="0"/>
                    <w:snapToGrid w:val="0"/>
                    <w:jc w:val="center"/>
                    <w:rPr>
                      <w:rFonts w:eastAsiaTheme="minorEastAsia"/>
                      <w:szCs w:val="21"/>
                    </w:rPr>
                  </w:pPr>
                  <w:r>
                    <w:rPr>
                      <w:rFonts w:hAnsiTheme="minorEastAsia" w:eastAsiaTheme="minorEastAsia"/>
                      <w:szCs w:val="21"/>
                    </w:rPr>
                    <w:t>垂直入渗</w:t>
                  </w:r>
                </w:p>
              </w:tc>
            </w:tr>
            <w:tr w14:paraId="12AD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14:paraId="63EBB487">
                  <w:pPr>
                    <w:adjustRightInd w:val="0"/>
                    <w:snapToGrid w:val="0"/>
                    <w:jc w:val="center"/>
                    <w:rPr>
                      <w:rFonts w:eastAsiaTheme="minorEastAsia"/>
                      <w:szCs w:val="21"/>
                    </w:rPr>
                  </w:pPr>
                  <w:r>
                    <w:rPr>
                      <w:rFonts w:hAnsiTheme="minorEastAsia" w:eastAsiaTheme="minorEastAsia"/>
                      <w:szCs w:val="21"/>
                    </w:rPr>
                    <w:t>废气排气筒</w:t>
                  </w:r>
                </w:p>
              </w:tc>
              <w:tc>
                <w:tcPr>
                  <w:tcW w:w="4111" w:type="dxa"/>
                  <w:vAlign w:val="center"/>
                </w:tcPr>
                <w:p w14:paraId="457D7CE4">
                  <w:pPr>
                    <w:adjustRightInd w:val="0"/>
                    <w:snapToGrid w:val="0"/>
                    <w:jc w:val="center"/>
                    <w:rPr>
                      <w:rFonts w:eastAsiaTheme="minorEastAsia"/>
                      <w:szCs w:val="21"/>
                    </w:rPr>
                  </w:pPr>
                  <w:r>
                    <w:rPr>
                      <w:rFonts w:hAnsiTheme="minorEastAsia" w:eastAsiaTheme="minorEastAsia"/>
                      <w:szCs w:val="21"/>
                    </w:rPr>
                    <w:t>非甲烷总烃</w:t>
                  </w:r>
                </w:p>
              </w:tc>
              <w:tc>
                <w:tcPr>
                  <w:tcW w:w="2273" w:type="dxa"/>
                  <w:vAlign w:val="center"/>
                </w:tcPr>
                <w:p w14:paraId="0563E5D6">
                  <w:pPr>
                    <w:adjustRightInd w:val="0"/>
                    <w:snapToGrid w:val="0"/>
                    <w:jc w:val="center"/>
                    <w:rPr>
                      <w:rFonts w:eastAsiaTheme="minorEastAsia"/>
                      <w:szCs w:val="21"/>
                    </w:rPr>
                  </w:pPr>
                  <w:r>
                    <w:rPr>
                      <w:rFonts w:hint="eastAsia" w:hAnsiTheme="minorEastAsia" w:eastAsiaTheme="minorEastAsia"/>
                      <w:szCs w:val="21"/>
                    </w:rPr>
                    <w:t>大气沉降</w:t>
                  </w:r>
                </w:p>
              </w:tc>
            </w:tr>
          </w:tbl>
          <w:p w14:paraId="4120F53B">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w:t>
            </w:r>
            <w:r>
              <w:rPr>
                <w:rFonts w:eastAsiaTheme="minorEastAsia"/>
                <w:b/>
                <w:bCs/>
                <w:kern w:val="0"/>
                <w:sz w:val="24"/>
              </w:rPr>
              <w:t>2</w:t>
            </w:r>
            <w:r>
              <w:rPr>
                <w:rFonts w:hAnsiTheme="minorEastAsia" w:eastAsiaTheme="minorEastAsia"/>
                <w:kern w:val="0"/>
                <w:sz w:val="24"/>
              </w:rPr>
              <w:t>）防控措施</w:t>
            </w:r>
          </w:p>
          <w:p w14:paraId="63902634">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本项目地下水及土壤污染防治措施按照</w:t>
            </w:r>
            <w:r>
              <w:rPr>
                <w:rFonts w:eastAsiaTheme="minorEastAsia"/>
                <w:kern w:val="0"/>
                <w:sz w:val="24"/>
              </w:rPr>
              <w:t>“</w:t>
            </w:r>
            <w:r>
              <w:rPr>
                <w:rFonts w:hAnsiTheme="minorEastAsia" w:eastAsiaTheme="minorEastAsia"/>
                <w:kern w:val="0"/>
                <w:sz w:val="24"/>
              </w:rPr>
              <w:t>源头控制、分区防治、污染监控、应急响应</w:t>
            </w:r>
            <w:r>
              <w:rPr>
                <w:rFonts w:eastAsiaTheme="minorEastAsia"/>
                <w:kern w:val="0"/>
                <w:sz w:val="24"/>
              </w:rPr>
              <w:t>”</w:t>
            </w:r>
            <w:r>
              <w:rPr>
                <w:rFonts w:hAnsiTheme="minorEastAsia" w:eastAsiaTheme="minorEastAsia"/>
                <w:kern w:val="0"/>
                <w:sz w:val="24"/>
              </w:rPr>
              <w:t>相结合的原则，从污染物的产生、入渗、扩散、应急响应全方位进行控制。</w:t>
            </w:r>
          </w:p>
          <w:p w14:paraId="48AD63E5">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1</w:t>
            </w:r>
            <w:r>
              <w:rPr>
                <w:rFonts w:hAnsiTheme="minorEastAsia" w:eastAsiaTheme="minorEastAsia"/>
                <w:kern w:val="0"/>
                <w:sz w:val="24"/>
              </w:rPr>
              <w:t>、分区防控措施</w:t>
            </w:r>
          </w:p>
          <w:p w14:paraId="6581882A">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为防止项目产生的废物污染地下水及土壤，项目对各生产区域采取分区防渗措施。对厂区可能泄漏污染物的污染区地面进行防渗处理，并及时地将泄漏渗漏的污染物收集起来进行处理，可有效防止洒落地面的污染物渗入地下。本项目防渗措施按照《石油化工工程防渗技术规范》</w:t>
            </w:r>
            <w:r>
              <w:rPr>
                <w:rFonts w:eastAsiaTheme="minorEastAsia"/>
                <w:kern w:val="0"/>
                <w:sz w:val="24"/>
              </w:rPr>
              <w:t>(GB/T50934-2013)</w:t>
            </w:r>
            <w:r>
              <w:rPr>
                <w:rFonts w:hAnsiTheme="minorEastAsia" w:eastAsiaTheme="minorEastAsia"/>
                <w:kern w:val="0"/>
                <w:sz w:val="24"/>
              </w:rPr>
              <w:t>执行。根据厂区各生产功能单元可能泄漏至地面区域的污染物性质和生产单元的构筑方式，将厂区划分为重点防渗区、一般防渗区和简单防渗区。</w:t>
            </w:r>
          </w:p>
          <w:p w14:paraId="2E9F27D5">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w:t>
            </w:r>
            <w:r>
              <w:rPr>
                <w:rFonts w:eastAsiaTheme="minorEastAsia"/>
                <w:kern w:val="0"/>
                <w:sz w:val="24"/>
              </w:rPr>
              <w:t>1</w:t>
            </w:r>
            <w:r>
              <w:rPr>
                <w:rFonts w:hAnsiTheme="minorEastAsia" w:eastAsiaTheme="minorEastAsia"/>
                <w:kern w:val="0"/>
                <w:sz w:val="24"/>
              </w:rPr>
              <w:t>）重点防渗区：指位于地下或者半地下的生产功能单元，污染地下水环境和土壤的污染物泄漏后不容易被及时发现和处理的区域或部位，且场地水文地质条件相对较差，建（构）筑物基础为砂岩裸露区。主要包括</w:t>
            </w:r>
            <w:r>
              <w:rPr>
                <w:rFonts w:hint="eastAsia" w:hAnsiTheme="minorEastAsia" w:eastAsiaTheme="minorEastAsia"/>
                <w:kern w:val="0"/>
                <w:sz w:val="24"/>
              </w:rPr>
              <w:t>化学品存放间</w:t>
            </w:r>
            <w:r>
              <w:rPr>
                <w:rFonts w:hAnsiTheme="minorEastAsia" w:eastAsiaTheme="minorEastAsia"/>
                <w:kern w:val="0"/>
                <w:sz w:val="24"/>
              </w:rPr>
              <w:t>、油墨印刷</w:t>
            </w:r>
            <w:r>
              <w:rPr>
                <w:rFonts w:hint="eastAsia" w:hAnsiTheme="minorEastAsia" w:eastAsiaTheme="minorEastAsia"/>
                <w:kern w:val="0"/>
                <w:sz w:val="24"/>
              </w:rPr>
              <w:t>间</w:t>
            </w:r>
            <w:r>
              <w:rPr>
                <w:rFonts w:hAnsiTheme="minorEastAsia" w:eastAsiaTheme="minorEastAsia"/>
                <w:kern w:val="0"/>
                <w:sz w:val="24"/>
              </w:rPr>
              <w:t>、危废暂存间</w:t>
            </w:r>
            <w:r>
              <w:rPr>
                <w:rFonts w:hint="eastAsia" w:hAnsiTheme="minorEastAsia" w:eastAsiaTheme="minorEastAsia"/>
                <w:kern w:val="0"/>
                <w:sz w:val="24"/>
              </w:rPr>
              <w:t>及</w:t>
            </w:r>
            <w:r>
              <w:rPr>
                <w:rFonts w:hAnsiTheme="minorEastAsia" w:eastAsiaTheme="minorEastAsia"/>
                <w:kern w:val="0"/>
                <w:sz w:val="24"/>
              </w:rPr>
              <w:t>生化池。重点防渗区的防渗技术要求等效黏土防渗层不低于</w:t>
            </w:r>
            <w:r>
              <w:rPr>
                <w:rFonts w:eastAsiaTheme="minorEastAsia"/>
                <w:kern w:val="0"/>
                <w:sz w:val="24"/>
              </w:rPr>
              <w:t>6.0m</w:t>
            </w:r>
            <w:r>
              <w:rPr>
                <w:rFonts w:hAnsiTheme="minorEastAsia" w:eastAsiaTheme="minorEastAsia"/>
                <w:kern w:val="0"/>
                <w:sz w:val="24"/>
              </w:rPr>
              <w:t>，渗透系数不大于</w:t>
            </w:r>
            <w:r>
              <w:rPr>
                <w:rFonts w:eastAsiaTheme="minorEastAsia"/>
                <w:kern w:val="0"/>
                <w:sz w:val="24"/>
              </w:rPr>
              <w:t xml:space="preserve">1.0×10-7cm/s </w:t>
            </w:r>
            <w:r>
              <w:rPr>
                <w:rFonts w:hAnsiTheme="minorEastAsia" w:eastAsiaTheme="minorEastAsia"/>
                <w:kern w:val="0"/>
                <w:sz w:val="24"/>
              </w:rPr>
              <w:t>或参照</w:t>
            </w:r>
            <w:r>
              <w:rPr>
                <w:rFonts w:eastAsiaTheme="minorEastAsia"/>
                <w:kern w:val="0"/>
                <w:sz w:val="24"/>
              </w:rPr>
              <w:t xml:space="preserve">GB18598 </w:t>
            </w:r>
            <w:r>
              <w:rPr>
                <w:rFonts w:hAnsiTheme="minorEastAsia" w:eastAsiaTheme="minorEastAsia"/>
                <w:kern w:val="0"/>
                <w:sz w:val="24"/>
              </w:rPr>
              <w:t>执行。</w:t>
            </w:r>
          </w:p>
          <w:p w14:paraId="3715F320">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w:t>
            </w:r>
            <w:r>
              <w:rPr>
                <w:rFonts w:eastAsiaTheme="minorEastAsia"/>
                <w:kern w:val="0"/>
                <w:sz w:val="24"/>
              </w:rPr>
              <w:t>2</w:t>
            </w:r>
            <w:r>
              <w:rPr>
                <w:rFonts w:hAnsiTheme="minorEastAsia" w:eastAsiaTheme="minorEastAsia"/>
                <w:kern w:val="0"/>
                <w:sz w:val="24"/>
              </w:rPr>
              <w:t>）一般防渗区：指厂区上述重点防渗区外的其他生产区域，包括生产车间、一般固废暂存间、生活垃圾收集点等区域。一般防渗区防渗技术要求：等效黏土防渗层</w:t>
            </w:r>
            <w:r>
              <w:rPr>
                <w:rFonts w:eastAsiaTheme="minorEastAsia"/>
                <w:kern w:val="0"/>
                <w:sz w:val="24"/>
              </w:rPr>
              <w:t>Mb≥1.5m</w:t>
            </w:r>
            <w:r>
              <w:rPr>
                <w:rFonts w:hAnsiTheme="minorEastAsia" w:eastAsiaTheme="minorEastAsia"/>
                <w:kern w:val="0"/>
                <w:sz w:val="24"/>
              </w:rPr>
              <w:t>，</w:t>
            </w:r>
            <w:r>
              <w:rPr>
                <w:rFonts w:eastAsiaTheme="minorEastAsia"/>
                <w:kern w:val="0"/>
                <w:sz w:val="24"/>
              </w:rPr>
              <w:t>K≤1×10-7cm/s</w:t>
            </w:r>
            <w:r>
              <w:rPr>
                <w:rFonts w:hAnsiTheme="minorEastAsia" w:eastAsiaTheme="minorEastAsia"/>
                <w:kern w:val="0"/>
                <w:sz w:val="24"/>
              </w:rPr>
              <w:t>，或参照</w:t>
            </w:r>
            <w:r>
              <w:rPr>
                <w:rFonts w:eastAsiaTheme="minorEastAsia"/>
                <w:kern w:val="0"/>
                <w:sz w:val="24"/>
              </w:rPr>
              <w:t xml:space="preserve">GB16889 </w:t>
            </w:r>
            <w:r>
              <w:rPr>
                <w:rFonts w:hAnsiTheme="minorEastAsia" w:eastAsiaTheme="minorEastAsia"/>
                <w:kern w:val="0"/>
                <w:sz w:val="24"/>
              </w:rPr>
              <w:t>执行。</w:t>
            </w:r>
          </w:p>
          <w:p w14:paraId="564A9C94">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w:t>
            </w:r>
            <w:r>
              <w:rPr>
                <w:rFonts w:eastAsiaTheme="minorEastAsia"/>
                <w:kern w:val="0"/>
                <w:sz w:val="24"/>
              </w:rPr>
              <w:t>3</w:t>
            </w:r>
            <w:r>
              <w:rPr>
                <w:rFonts w:hAnsiTheme="minorEastAsia" w:eastAsiaTheme="minorEastAsia"/>
                <w:kern w:val="0"/>
                <w:sz w:val="24"/>
              </w:rPr>
              <w:t>）简单防渗区：指不会对地下水环境造成污染或者可能会产生轻微污染的其它建筑区，主要为办公区、成品及半成品堆放区、</w:t>
            </w:r>
            <w:r>
              <w:rPr>
                <w:rFonts w:hint="eastAsia" w:hAnsiTheme="minorEastAsia" w:eastAsiaTheme="minorEastAsia"/>
                <w:kern w:val="0"/>
                <w:sz w:val="24"/>
              </w:rPr>
              <w:t>原纸库房</w:t>
            </w:r>
            <w:r>
              <w:rPr>
                <w:rFonts w:hAnsiTheme="minorEastAsia" w:eastAsiaTheme="minorEastAsia"/>
                <w:kern w:val="0"/>
                <w:sz w:val="24"/>
              </w:rPr>
              <w:t>划为简单防渗区。</w:t>
            </w:r>
          </w:p>
          <w:p w14:paraId="45E486A2">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2</w:t>
            </w:r>
            <w:r>
              <w:rPr>
                <w:rFonts w:hAnsiTheme="minorEastAsia" w:eastAsiaTheme="minorEastAsia"/>
                <w:kern w:val="0"/>
                <w:sz w:val="24"/>
              </w:rPr>
              <w:t>、</w:t>
            </w:r>
            <w:r>
              <w:rPr>
                <w:rFonts w:hint="eastAsia" w:hAnsiTheme="minorEastAsia" w:eastAsiaTheme="minorEastAsia"/>
                <w:kern w:val="0"/>
                <w:sz w:val="24"/>
              </w:rPr>
              <w:t>化学品存放间</w:t>
            </w:r>
            <w:r>
              <w:rPr>
                <w:rFonts w:hAnsiTheme="minorEastAsia" w:eastAsiaTheme="minorEastAsia"/>
                <w:kern w:val="0"/>
                <w:sz w:val="24"/>
              </w:rPr>
              <w:t>及危废暂存间，在重点防渗的基础上，同时设置了围堰，能有保证原辅料容器泄漏后进行及时有效的收集。</w:t>
            </w:r>
          </w:p>
          <w:p w14:paraId="7A8FB267">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3</w:t>
            </w:r>
            <w:r>
              <w:rPr>
                <w:rFonts w:hAnsiTheme="minorEastAsia" w:eastAsiaTheme="minorEastAsia"/>
                <w:kern w:val="0"/>
                <w:sz w:val="24"/>
              </w:rPr>
              <w:t>、工作人员应加强场地的检修、加固，防止渗漏，对地下水和土壤造成污染；加强</w:t>
            </w:r>
            <w:r>
              <w:rPr>
                <w:rFonts w:hint="eastAsia" w:hAnsiTheme="minorEastAsia" w:eastAsiaTheme="minorEastAsia"/>
                <w:kern w:val="0"/>
                <w:sz w:val="24"/>
              </w:rPr>
              <w:t>化学品存放间</w:t>
            </w:r>
            <w:r>
              <w:rPr>
                <w:rFonts w:hAnsiTheme="minorEastAsia" w:eastAsiaTheme="minorEastAsia"/>
                <w:kern w:val="0"/>
                <w:sz w:val="24"/>
              </w:rPr>
              <w:t>、危险废物暂存间内液体物料的管理及巡视，一旦发生</w:t>
            </w:r>
            <w:r>
              <w:rPr>
                <w:rFonts w:hint="eastAsia" w:hAnsiTheme="minorEastAsia" w:eastAsiaTheme="minorEastAsia"/>
                <w:kern w:val="0"/>
                <w:sz w:val="24"/>
                <w:lang w:eastAsia="zh-CN"/>
              </w:rPr>
              <w:t>泄漏</w:t>
            </w:r>
            <w:r>
              <w:rPr>
                <w:rFonts w:hAnsiTheme="minorEastAsia" w:eastAsiaTheme="minorEastAsia"/>
                <w:kern w:val="0"/>
                <w:sz w:val="24"/>
              </w:rPr>
              <w:t>要及时处理，避免溢流出厂区。</w:t>
            </w:r>
          </w:p>
          <w:p w14:paraId="4479EACE">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4</w:t>
            </w:r>
            <w:r>
              <w:rPr>
                <w:rFonts w:hAnsiTheme="minorEastAsia" w:eastAsiaTheme="minorEastAsia"/>
                <w:kern w:val="0"/>
                <w:sz w:val="24"/>
              </w:rPr>
              <w:t>、加强废气治理设施的维护，避免非正常情况的发生，减少有机废气的排放。</w:t>
            </w:r>
          </w:p>
          <w:p w14:paraId="2439D74A">
            <w:pPr>
              <w:autoSpaceDE w:val="0"/>
              <w:autoSpaceDN w:val="0"/>
              <w:adjustRightInd w:val="0"/>
              <w:spacing w:line="480" w:lineRule="exact"/>
              <w:ind w:firstLine="482" w:firstLineChars="200"/>
              <w:jc w:val="left"/>
              <w:rPr>
                <w:rFonts w:eastAsiaTheme="minorEastAsia"/>
                <w:b/>
                <w:kern w:val="0"/>
                <w:sz w:val="24"/>
              </w:rPr>
            </w:pPr>
            <w:r>
              <w:rPr>
                <w:rFonts w:hAnsiTheme="minorEastAsia" w:eastAsiaTheme="minorEastAsia"/>
                <w:b/>
                <w:kern w:val="0"/>
                <w:sz w:val="24"/>
              </w:rPr>
              <w:t>（</w:t>
            </w:r>
            <w:r>
              <w:rPr>
                <w:rFonts w:eastAsiaTheme="minorEastAsia"/>
                <w:b/>
                <w:bCs/>
                <w:kern w:val="0"/>
                <w:sz w:val="24"/>
              </w:rPr>
              <w:t>3</w:t>
            </w:r>
            <w:r>
              <w:rPr>
                <w:rFonts w:hAnsiTheme="minorEastAsia" w:eastAsiaTheme="minorEastAsia"/>
                <w:b/>
                <w:kern w:val="0"/>
                <w:sz w:val="24"/>
              </w:rPr>
              <w:t>）影响分析</w:t>
            </w:r>
          </w:p>
          <w:p w14:paraId="6304B036">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A</w:t>
            </w:r>
            <w:r>
              <w:rPr>
                <w:rFonts w:hAnsiTheme="minorEastAsia" w:eastAsiaTheme="minorEastAsia"/>
                <w:kern w:val="0"/>
                <w:sz w:val="24"/>
              </w:rPr>
              <w:t>、大气沉降</w:t>
            </w:r>
          </w:p>
          <w:p w14:paraId="36519EA8">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项目排放的大气污染物主要为非甲烷总烃，不涉及重金属排放，其排放速率及浓度均满足相应排放标准要求，沉降到土壤的输入量很小，在土壤吸附、络合、沉淀和阻留作用下，迁移速度较缓慢，大部分残留在土壤耕作层，极少向下层土壤迁移，进入地下水。同时项目位于工业园区，周边均为水泥硬化地面，大部分大气沉降的废气均在地面，不会沉降到土壤里面，并进入地下水，通过严格执行本报告提出的废气治理措施，并保证其正常运行，项目排放废气大气沉降对土壤和地下水影响较小。</w:t>
            </w:r>
          </w:p>
          <w:p w14:paraId="68E4360E">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B</w:t>
            </w:r>
            <w:r>
              <w:rPr>
                <w:rFonts w:hAnsiTheme="minorEastAsia" w:eastAsiaTheme="minorEastAsia"/>
                <w:kern w:val="0"/>
                <w:sz w:val="24"/>
              </w:rPr>
              <w:t>、垂直入渗</w:t>
            </w:r>
          </w:p>
          <w:p w14:paraId="781CB473">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项目按照本评价提出的分区防渗措施，对各生产区实施分区防渗，项目正常情况下不会对土壤和地下水产生污染；但在事故情况下，仍会造成物料、污染物等的泄漏，通过垂直入渗途径污染土壤和地下水。项目</w:t>
            </w:r>
            <w:r>
              <w:rPr>
                <w:rFonts w:hint="eastAsia" w:hAnsiTheme="minorEastAsia" w:eastAsiaTheme="minorEastAsia"/>
                <w:kern w:val="0"/>
                <w:sz w:val="24"/>
              </w:rPr>
              <w:t>新建厂房</w:t>
            </w:r>
            <w:r>
              <w:rPr>
                <w:rFonts w:hAnsiTheme="minorEastAsia" w:eastAsiaTheme="minorEastAsia"/>
                <w:kern w:val="0"/>
                <w:sz w:val="24"/>
              </w:rPr>
              <w:t>，并通过建设防渗措施、规范危废及</w:t>
            </w:r>
            <w:r>
              <w:rPr>
                <w:rFonts w:hint="eastAsia" w:hAnsiTheme="minorEastAsia" w:eastAsiaTheme="minorEastAsia"/>
                <w:kern w:val="0"/>
                <w:sz w:val="24"/>
              </w:rPr>
              <w:t>危化品</w:t>
            </w:r>
            <w:r>
              <w:rPr>
                <w:rFonts w:hAnsiTheme="minorEastAsia" w:eastAsiaTheme="minorEastAsia"/>
                <w:kern w:val="0"/>
                <w:sz w:val="24"/>
              </w:rPr>
              <w:t>暂存等管理要求等前端预防措施，可以做到避免污染物垂直入渗进入土壤和地下水水环境。</w:t>
            </w:r>
          </w:p>
          <w:p w14:paraId="5B4965DB">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kern w:val="0"/>
                <w:sz w:val="24"/>
              </w:rPr>
              <w:t>综上，拟建项目对可能产生地下水及土壤影响的各项途径均进行有效预防，在确保各项防渗措施得到落实，并加强维护和厂区环境管理的前提下，可有效控制厂区内的液态污染物下渗现象，避免污染地下水及土壤，因此拟建项目不会对地下水及土壤环境产生明显影响。</w:t>
            </w:r>
          </w:p>
          <w:p w14:paraId="3975A7EA">
            <w:pPr>
              <w:adjustRightInd w:val="0"/>
              <w:snapToGrid w:val="0"/>
              <w:spacing w:line="440" w:lineRule="exact"/>
              <w:rPr>
                <w:b/>
                <w:bCs/>
                <w:sz w:val="24"/>
              </w:rPr>
            </w:pPr>
            <w:r>
              <w:rPr>
                <w:b/>
                <w:bCs/>
                <w:sz w:val="24"/>
              </w:rPr>
              <w:t>4.2.6 环境风险及防范措施</w:t>
            </w:r>
          </w:p>
          <w:p w14:paraId="1B79A470">
            <w:pPr>
              <w:adjustRightInd w:val="0"/>
              <w:snapToGrid w:val="0"/>
              <w:spacing w:line="440" w:lineRule="exact"/>
              <w:ind w:firstLine="480"/>
              <w:rPr>
                <w:b/>
                <w:bCs/>
                <w:sz w:val="24"/>
              </w:rPr>
            </w:pPr>
            <w:r>
              <w:rPr>
                <w:rFonts w:hint="eastAsia"/>
                <w:b/>
                <w:bCs/>
                <w:sz w:val="24"/>
              </w:rPr>
              <w:t>4.2.6.1 风险源调查</w:t>
            </w:r>
          </w:p>
          <w:p w14:paraId="16E02114">
            <w:pPr>
              <w:autoSpaceDE w:val="0"/>
              <w:autoSpaceDN w:val="0"/>
              <w:adjustRightInd w:val="0"/>
              <w:spacing w:line="480" w:lineRule="exact"/>
              <w:ind w:firstLine="480" w:firstLineChars="200"/>
              <w:jc w:val="left"/>
              <w:rPr>
                <w:rFonts w:eastAsiaTheme="minorEastAsia"/>
                <w:b/>
                <w:bCs/>
                <w:sz w:val="24"/>
              </w:rPr>
            </w:pPr>
            <w:r>
              <w:rPr>
                <w:rFonts w:hAnsiTheme="minorEastAsia" w:eastAsiaTheme="minorEastAsia"/>
                <w:kern w:val="0"/>
                <w:sz w:val="24"/>
              </w:rPr>
              <w:t>根据《建设项目环境风险评价技术导则》（</w:t>
            </w:r>
            <w:r>
              <w:rPr>
                <w:rFonts w:eastAsiaTheme="minorEastAsia"/>
                <w:kern w:val="0"/>
                <w:sz w:val="24"/>
              </w:rPr>
              <w:t>HJ/T169-2018</w:t>
            </w:r>
            <w:r>
              <w:rPr>
                <w:rFonts w:hAnsiTheme="minorEastAsia" w:eastAsiaTheme="minorEastAsia"/>
                <w:kern w:val="0"/>
                <w:sz w:val="24"/>
              </w:rPr>
              <w:t>）附录中附录</w:t>
            </w:r>
            <w:r>
              <w:rPr>
                <w:rFonts w:eastAsiaTheme="minorEastAsia"/>
                <w:kern w:val="0"/>
                <w:sz w:val="24"/>
              </w:rPr>
              <w:t>B.1</w:t>
            </w:r>
            <w:r>
              <w:rPr>
                <w:rFonts w:hAnsiTheme="minorEastAsia" w:eastAsiaTheme="minorEastAsia"/>
                <w:kern w:val="0"/>
                <w:sz w:val="24"/>
              </w:rPr>
              <w:t>及《危险化学品重大危险源辨识》（</w:t>
            </w:r>
            <w:r>
              <w:rPr>
                <w:rFonts w:eastAsiaTheme="minorEastAsia"/>
                <w:kern w:val="0"/>
                <w:sz w:val="24"/>
              </w:rPr>
              <w:t>GB18218-2018</w:t>
            </w:r>
            <w:r>
              <w:rPr>
                <w:rFonts w:hAnsiTheme="minorEastAsia" w:eastAsiaTheme="minorEastAsia"/>
                <w:kern w:val="0"/>
                <w:sz w:val="24"/>
              </w:rPr>
              <w:t>）的要求，项目主要危险物质为胶印油墨、水性光油、洗车水、</w:t>
            </w:r>
            <w:r>
              <w:rPr>
                <w:rFonts w:hint="eastAsia" w:hAnsiTheme="minorEastAsia" w:eastAsiaTheme="minorEastAsia"/>
                <w:kern w:val="0"/>
                <w:sz w:val="24"/>
              </w:rPr>
              <w:t>润版液</w:t>
            </w:r>
            <w:r>
              <w:rPr>
                <w:rFonts w:hAnsiTheme="minorEastAsia" w:eastAsiaTheme="minorEastAsia"/>
                <w:kern w:val="0"/>
                <w:sz w:val="24"/>
              </w:rPr>
              <w:t>、</w:t>
            </w:r>
            <w:r>
              <w:rPr>
                <w:rFonts w:hint="eastAsia" w:hAnsiTheme="minorEastAsia" w:eastAsiaTheme="minorEastAsia"/>
                <w:kern w:val="0"/>
                <w:sz w:val="24"/>
              </w:rPr>
              <w:t>水基性胶粘剂、润滑油、</w:t>
            </w:r>
            <w:r>
              <w:rPr>
                <w:rFonts w:hAnsiTheme="minorEastAsia" w:eastAsiaTheme="minorEastAsia"/>
                <w:kern w:val="0"/>
                <w:sz w:val="24"/>
              </w:rPr>
              <w:t>废润版液、废润滑油等。</w:t>
            </w:r>
          </w:p>
          <w:p w14:paraId="41194F7E">
            <w:pPr>
              <w:adjustRightInd w:val="0"/>
              <w:snapToGrid w:val="0"/>
              <w:spacing w:line="440" w:lineRule="exact"/>
              <w:jc w:val="center"/>
              <w:rPr>
                <w:b/>
                <w:bCs/>
                <w:szCs w:val="21"/>
              </w:rPr>
            </w:pPr>
            <w:r>
              <w:rPr>
                <w:rFonts w:hint="eastAsia"/>
                <w:b/>
                <w:bCs/>
                <w:szCs w:val="21"/>
              </w:rPr>
              <w:t>表4.2-22 拟建项目危险物质统计表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53"/>
              <w:gridCol w:w="1134"/>
              <w:gridCol w:w="1134"/>
              <w:gridCol w:w="1134"/>
              <w:gridCol w:w="1134"/>
              <w:gridCol w:w="1853"/>
            </w:tblGrid>
            <w:tr w14:paraId="1BA3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8B6387B">
                  <w:pPr>
                    <w:adjustRightInd w:val="0"/>
                    <w:snapToGrid w:val="0"/>
                    <w:jc w:val="center"/>
                    <w:rPr>
                      <w:rFonts w:eastAsiaTheme="minorEastAsia"/>
                      <w:bCs/>
                      <w:szCs w:val="21"/>
                    </w:rPr>
                  </w:pPr>
                  <w:r>
                    <w:rPr>
                      <w:rFonts w:hAnsiTheme="minorEastAsia" w:eastAsiaTheme="minorEastAsia"/>
                      <w:bCs/>
                      <w:szCs w:val="21"/>
                    </w:rPr>
                    <w:t>序号</w:t>
                  </w:r>
                </w:p>
              </w:tc>
              <w:tc>
                <w:tcPr>
                  <w:tcW w:w="1553" w:type="dxa"/>
                  <w:vAlign w:val="center"/>
                </w:tcPr>
                <w:p w14:paraId="3E0082EF">
                  <w:pPr>
                    <w:adjustRightInd w:val="0"/>
                    <w:snapToGrid w:val="0"/>
                    <w:jc w:val="center"/>
                    <w:rPr>
                      <w:rFonts w:eastAsiaTheme="minorEastAsia"/>
                      <w:bCs/>
                      <w:szCs w:val="21"/>
                    </w:rPr>
                  </w:pPr>
                  <w:r>
                    <w:rPr>
                      <w:rFonts w:hAnsiTheme="minorEastAsia" w:eastAsiaTheme="minorEastAsia"/>
                      <w:bCs/>
                      <w:szCs w:val="21"/>
                    </w:rPr>
                    <w:t>名称</w:t>
                  </w:r>
                </w:p>
              </w:tc>
              <w:tc>
                <w:tcPr>
                  <w:tcW w:w="1134" w:type="dxa"/>
                  <w:vAlign w:val="center"/>
                </w:tcPr>
                <w:p w14:paraId="5299F9A0">
                  <w:pPr>
                    <w:adjustRightInd w:val="0"/>
                    <w:snapToGrid w:val="0"/>
                    <w:jc w:val="center"/>
                    <w:rPr>
                      <w:rFonts w:eastAsiaTheme="minorEastAsia"/>
                      <w:bCs/>
                      <w:szCs w:val="21"/>
                    </w:rPr>
                  </w:pPr>
                  <w:r>
                    <w:rPr>
                      <w:rFonts w:hAnsiTheme="minorEastAsia" w:eastAsiaTheme="minorEastAsia"/>
                      <w:bCs/>
                      <w:szCs w:val="21"/>
                    </w:rPr>
                    <w:t>储存位置</w:t>
                  </w:r>
                </w:p>
              </w:tc>
              <w:tc>
                <w:tcPr>
                  <w:tcW w:w="1134" w:type="dxa"/>
                  <w:vAlign w:val="center"/>
                </w:tcPr>
                <w:p w14:paraId="17D9C294">
                  <w:pPr>
                    <w:adjustRightInd w:val="0"/>
                    <w:snapToGrid w:val="0"/>
                    <w:jc w:val="center"/>
                    <w:rPr>
                      <w:rFonts w:eastAsiaTheme="minorEastAsia"/>
                      <w:bCs/>
                      <w:szCs w:val="21"/>
                    </w:rPr>
                  </w:pPr>
                  <w:r>
                    <w:rPr>
                      <w:rFonts w:hAnsiTheme="minorEastAsia" w:eastAsiaTheme="minorEastAsia"/>
                      <w:bCs/>
                      <w:szCs w:val="21"/>
                    </w:rPr>
                    <w:t>储存方式</w:t>
                  </w:r>
                </w:p>
              </w:tc>
              <w:tc>
                <w:tcPr>
                  <w:tcW w:w="1134" w:type="dxa"/>
                  <w:vAlign w:val="center"/>
                </w:tcPr>
                <w:p w14:paraId="31C1A05B">
                  <w:pPr>
                    <w:adjustRightInd w:val="0"/>
                    <w:snapToGrid w:val="0"/>
                    <w:jc w:val="center"/>
                    <w:rPr>
                      <w:rFonts w:eastAsiaTheme="minorEastAsia"/>
                      <w:bCs/>
                      <w:szCs w:val="21"/>
                    </w:rPr>
                  </w:pPr>
                  <w:r>
                    <w:rPr>
                      <w:rFonts w:hAnsiTheme="minorEastAsia" w:eastAsiaTheme="minorEastAsia"/>
                      <w:bCs/>
                      <w:szCs w:val="21"/>
                    </w:rPr>
                    <w:t>最大储存量（</w:t>
                  </w:r>
                  <w:r>
                    <w:rPr>
                      <w:rFonts w:eastAsiaTheme="minorEastAsia"/>
                      <w:bCs/>
                      <w:szCs w:val="21"/>
                    </w:rPr>
                    <w:t>t</w:t>
                  </w:r>
                  <w:r>
                    <w:rPr>
                      <w:rFonts w:hAnsiTheme="minorEastAsia" w:eastAsiaTheme="minorEastAsia"/>
                      <w:bCs/>
                      <w:szCs w:val="21"/>
                    </w:rPr>
                    <w:t>）</w:t>
                  </w:r>
                </w:p>
              </w:tc>
              <w:tc>
                <w:tcPr>
                  <w:tcW w:w="1134" w:type="dxa"/>
                  <w:vAlign w:val="center"/>
                </w:tcPr>
                <w:p w14:paraId="62E66A40">
                  <w:pPr>
                    <w:adjustRightInd w:val="0"/>
                    <w:snapToGrid w:val="0"/>
                    <w:jc w:val="center"/>
                    <w:rPr>
                      <w:rFonts w:eastAsiaTheme="minorEastAsia"/>
                      <w:bCs/>
                      <w:szCs w:val="21"/>
                    </w:rPr>
                  </w:pPr>
                  <w:r>
                    <w:rPr>
                      <w:rFonts w:hAnsiTheme="minorEastAsia" w:eastAsiaTheme="minorEastAsia"/>
                      <w:bCs/>
                      <w:szCs w:val="21"/>
                    </w:rPr>
                    <w:t>储存周期</w:t>
                  </w:r>
                </w:p>
              </w:tc>
              <w:tc>
                <w:tcPr>
                  <w:tcW w:w="1853" w:type="dxa"/>
                  <w:vAlign w:val="center"/>
                </w:tcPr>
                <w:p w14:paraId="62A865EA">
                  <w:pPr>
                    <w:adjustRightInd w:val="0"/>
                    <w:snapToGrid w:val="0"/>
                    <w:jc w:val="center"/>
                    <w:rPr>
                      <w:rFonts w:eastAsiaTheme="minorEastAsia"/>
                      <w:bCs/>
                      <w:szCs w:val="21"/>
                    </w:rPr>
                  </w:pPr>
                  <w:r>
                    <w:rPr>
                      <w:rFonts w:hAnsiTheme="minorEastAsia" w:eastAsiaTheme="minorEastAsia"/>
                      <w:bCs/>
                      <w:szCs w:val="21"/>
                    </w:rPr>
                    <w:t>备注</w:t>
                  </w:r>
                </w:p>
              </w:tc>
            </w:tr>
            <w:tr w14:paraId="7CDA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C0828AD">
                  <w:pPr>
                    <w:adjustRightInd w:val="0"/>
                    <w:snapToGrid w:val="0"/>
                    <w:jc w:val="center"/>
                    <w:rPr>
                      <w:rFonts w:eastAsiaTheme="minorEastAsia"/>
                      <w:bCs/>
                      <w:szCs w:val="21"/>
                    </w:rPr>
                  </w:pPr>
                  <w:r>
                    <w:rPr>
                      <w:rFonts w:eastAsiaTheme="minorEastAsia"/>
                      <w:bCs/>
                      <w:szCs w:val="21"/>
                    </w:rPr>
                    <w:t>1</w:t>
                  </w:r>
                </w:p>
              </w:tc>
              <w:tc>
                <w:tcPr>
                  <w:tcW w:w="1553" w:type="dxa"/>
                  <w:vAlign w:val="center"/>
                </w:tcPr>
                <w:p w14:paraId="341D333F">
                  <w:pPr>
                    <w:adjustRightInd w:val="0"/>
                    <w:snapToGrid w:val="0"/>
                    <w:jc w:val="center"/>
                    <w:rPr>
                      <w:rFonts w:eastAsiaTheme="minorEastAsia"/>
                      <w:bCs/>
                      <w:szCs w:val="21"/>
                    </w:rPr>
                  </w:pPr>
                  <w:r>
                    <w:rPr>
                      <w:rFonts w:hAnsiTheme="minorEastAsia" w:eastAsiaTheme="minorEastAsia"/>
                      <w:bCs/>
                      <w:szCs w:val="21"/>
                    </w:rPr>
                    <w:t>胶印油墨</w:t>
                  </w:r>
                </w:p>
              </w:tc>
              <w:tc>
                <w:tcPr>
                  <w:tcW w:w="1134" w:type="dxa"/>
                  <w:vMerge w:val="restart"/>
                  <w:vAlign w:val="center"/>
                </w:tcPr>
                <w:p w14:paraId="6C08FE34">
                  <w:pPr>
                    <w:adjustRightInd w:val="0"/>
                    <w:snapToGrid w:val="0"/>
                    <w:jc w:val="center"/>
                    <w:rPr>
                      <w:rFonts w:eastAsiaTheme="minorEastAsia"/>
                      <w:bCs/>
                      <w:szCs w:val="21"/>
                    </w:rPr>
                  </w:pPr>
                  <w:r>
                    <w:rPr>
                      <w:rFonts w:hAnsiTheme="minorEastAsia" w:eastAsiaTheme="minorEastAsia"/>
                      <w:bCs/>
                      <w:szCs w:val="21"/>
                    </w:rPr>
                    <w:t>化学品存放间</w:t>
                  </w:r>
                </w:p>
              </w:tc>
              <w:tc>
                <w:tcPr>
                  <w:tcW w:w="1134" w:type="dxa"/>
                  <w:vMerge w:val="restart"/>
                  <w:vAlign w:val="center"/>
                </w:tcPr>
                <w:p w14:paraId="5DBF8815">
                  <w:pPr>
                    <w:adjustRightInd w:val="0"/>
                    <w:snapToGrid w:val="0"/>
                    <w:jc w:val="center"/>
                    <w:rPr>
                      <w:rFonts w:eastAsiaTheme="minorEastAsia"/>
                      <w:bCs/>
                      <w:szCs w:val="21"/>
                    </w:rPr>
                  </w:pPr>
                  <w:r>
                    <w:rPr>
                      <w:rFonts w:hAnsiTheme="minorEastAsia" w:eastAsiaTheme="minorEastAsia"/>
                      <w:bCs/>
                      <w:szCs w:val="21"/>
                    </w:rPr>
                    <w:t>包装桶储存</w:t>
                  </w:r>
                </w:p>
              </w:tc>
              <w:tc>
                <w:tcPr>
                  <w:tcW w:w="1134" w:type="dxa"/>
                  <w:vAlign w:val="center"/>
                </w:tcPr>
                <w:p w14:paraId="581266E1">
                  <w:pPr>
                    <w:adjustRightInd w:val="0"/>
                    <w:snapToGrid w:val="0"/>
                    <w:jc w:val="center"/>
                    <w:rPr>
                      <w:rFonts w:eastAsiaTheme="minorEastAsia"/>
                      <w:bCs/>
                      <w:szCs w:val="21"/>
                    </w:rPr>
                  </w:pPr>
                  <w:r>
                    <w:rPr>
                      <w:rFonts w:eastAsiaTheme="minorEastAsia"/>
                      <w:bCs/>
                      <w:szCs w:val="21"/>
                    </w:rPr>
                    <w:t>2</w:t>
                  </w:r>
                </w:p>
              </w:tc>
              <w:tc>
                <w:tcPr>
                  <w:tcW w:w="1134" w:type="dxa"/>
                  <w:vAlign w:val="center"/>
                </w:tcPr>
                <w:p w14:paraId="1ED37EC9">
                  <w:pPr>
                    <w:adjustRightInd w:val="0"/>
                    <w:snapToGrid w:val="0"/>
                    <w:jc w:val="center"/>
                    <w:rPr>
                      <w:rFonts w:eastAsiaTheme="minorEastAsia"/>
                      <w:bCs/>
                      <w:szCs w:val="21"/>
                    </w:rPr>
                  </w:pPr>
                  <w:r>
                    <w:rPr>
                      <w:rFonts w:eastAsiaTheme="minorEastAsia"/>
                      <w:bCs/>
                      <w:szCs w:val="21"/>
                    </w:rPr>
                    <w:t>1</w:t>
                  </w:r>
                  <w:r>
                    <w:rPr>
                      <w:rFonts w:hAnsiTheme="minorEastAsia" w:eastAsiaTheme="minorEastAsia"/>
                      <w:bCs/>
                      <w:szCs w:val="21"/>
                    </w:rPr>
                    <w:t>个月</w:t>
                  </w:r>
                </w:p>
              </w:tc>
              <w:tc>
                <w:tcPr>
                  <w:tcW w:w="1853" w:type="dxa"/>
                  <w:vAlign w:val="center"/>
                </w:tcPr>
                <w:p w14:paraId="3117CE15">
                  <w:pPr>
                    <w:adjustRightInd w:val="0"/>
                    <w:snapToGrid w:val="0"/>
                    <w:jc w:val="center"/>
                    <w:rPr>
                      <w:rFonts w:eastAsiaTheme="minorEastAsia"/>
                      <w:bCs/>
                      <w:szCs w:val="21"/>
                    </w:rPr>
                  </w:pPr>
                  <w:r>
                    <w:rPr>
                      <w:rFonts w:hAnsiTheme="minorEastAsia" w:eastAsiaTheme="minorEastAsia"/>
                      <w:bCs/>
                      <w:szCs w:val="21"/>
                    </w:rPr>
                    <w:t>常温常压储存</w:t>
                  </w:r>
                </w:p>
              </w:tc>
            </w:tr>
            <w:tr w14:paraId="1DC3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0063FA7">
                  <w:pPr>
                    <w:adjustRightInd w:val="0"/>
                    <w:snapToGrid w:val="0"/>
                    <w:jc w:val="center"/>
                    <w:rPr>
                      <w:rFonts w:eastAsiaTheme="minorEastAsia"/>
                      <w:bCs/>
                      <w:szCs w:val="21"/>
                    </w:rPr>
                  </w:pPr>
                  <w:r>
                    <w:rPr>
                      <w:rFonts w:eastAsiaTheme="minorEastAsia"/>
                      <w:bCs/>
                      <w:szCs w:val="21"/>
                    </w:rPr>
                    <w:t>2</w:t>
                  </w:r>
                </w:p>
              </w:tc>
              <w:tc>
                <w:tcPr>
                  <w:tcW w:w="1553" w:type="dxa"/>
                  <w:vAlign w:val="center"/>
                </w:tcPr>
                <w:p w14:paraId="46FCF190">
                  <w:pPr>
                    <w:adjustRightInd w:val="0"/>
                    <w:snapToGrid w:val="0"/>
                    <w:jc w:val="center"/>
                    <w:rPr>
                      <w:rFonts w:eastAsiaTheme="minorEastAsia"/>
                      <w:bCs/>
                      <w:szCs w:val="21"/>
                    </w:rPr>
                  </w:pPr>
                  <w:r>
                    <w:rPr>
                      <w:rFonts w:hAnsiTheme="minorEastAsia" w:eastAsiaTheme="minorEastAsia"/>
                      <w:bCs/>
                      <w:szCs w:val="21"/>
                    </w:rPr>
                    <w:t>水性光油</w:t>
                  </w:r>
                </w:p>
              </w:tc>
              <w:tc>
                <w:tcPr>
                  <w:tcW w:w="1134" w:type="dxa"/>
                  <w:vMerge w:val="continue"/>
                  <w:vAlign w:val="center"/>
                </w:tcPr>
                <w:p w14:paraId="2125EAF3">
                  <w:pPr>
                    <w:adjustRightInd w:val="0"/>
                    <w:snapToGrid w:val="0"/>
                    <w:jc w:val="center"/>
                    <w:rPr>
                      <w:rFonts w:eastAsiaTheme="minorEastAsia"/>
                      <w:bCs/>
                      <w:szCs w:val="21"/>
                    </w:rPr>
                  </w:pPr>
                </w:p>
              </w:tc>
              <w:tc>
                <w:tcPr>
                  <w:tcW w:w="1134" w:type="dxa"/>
                  <w:vMerge w:val="continue"/>
                  <w:vAlign w:val="center"/>
                </w:tcPr>
                <w:p w14:paraId="1175058B">
                  <w:pPr>
                    <w:adjustRightInd w:val="0"/>
                    <w:snapToGrid w:val="0"/>
                    <w:jc w:val="center"/>
                    <w:rPr>
                      <w:rFonts w:eastAsiaTheme="minorEastAsia"/>
                      <w:bCs/>
                      <w:szCs w:val="21"/>
                    </w:rPr>
                  </w:pPr>
                </w:p>
              </w:tc>
              <w:tc>
                <w:tcPr>
                  <w:tcW w:w="1134" w:type="dxa"/>
                  <w:vAlign w:val="center"/>
                </w:tcPr>
                <w:p w14:paraId="33D5512D">
                  <w:pPr>
                    <w:adjustRightInd w:val="0"/>
                    <w:snapToGrid w:val="0"/>
                    <w:jc w:val="center"/>
                    <w:rPr>
                      <w:rFonts w:eastAsiaTheme="minorEastAsia"/>
                      <w:bCs/>
                      <w:szCs w:val="21"/>
                    </w:rPr>
                  </w:pPr>
                  <w:r>
                    <w:rPr>
                      <w:rFonts w:eastAsiaTheme="minorEastAsia"/>
                      <w:bCs/>
                      <w:szCs w:val="21"/>
                    </w:rPr>
                    <w:t>0.4</w:t>
                  </w:r>
                </w:p>
              </w:tc>
              <w:tc>
                <w:tcPr>
                  <w:tcW w:w="1134" w:type="dxa"/>
                  <w:vAlign w:val="center"/>
                </w:tcPr>
                <w:p w14:paraId="2DAD13E8">
                  <w:pPr>
                    <w:jc w:val="center"/>
                    <w:rPr>
                      <w:rFonts w:eastAsiaTheme="minorEastAsia"/>
                      <w:szCs w:val="21"/>
                    </w:rPr>
                  </w:pPr>
                  <w:r>
                    <w:rPr>
                      <w:rFonts w:eastAsiaTheme="minorEastAsia"/>
                      <w:bCs/>
                      <w:szCs w:val="21"/>
                    </w:rPr>
                    <w:t>1</w:t>
                  </w:r>
                  <w:r>
                    <w:rPr>
                      <w:rFonts w:hAnsiTheme="minorEastAsia" w:eastAsiaTheme="minorEastAsia"/>
                      <w:bCs/>
                      <w:szCs w:val="21"/>
                    </w:rPr>
                    <w:t>个月</w:t>
                  </w:r>
                </w:p>
              </w:tc>
              <w:tc>
                <w:tcPr>
                  <w:tcW w:w="1853" w:type="dxa"/>
                  <w:vAlign w:val="center"/>
                </w:tcPr>
                <w:p w14:paraId="48ADAF61">
                  <w:pPr>
                    <w:jc w:val="center"/>
                    <w:rPr>
                      <w:rFonts w:eastAsiaTheme="minorEastAsia"/>
                      <w:szCs w:val="21"/>
                    </w:rPr>
                  </w:pPr>
                  <w:r>
                    <w:rPr>
                      <w:rFonts w:hAnsiTheme="minorEastAsia" w:eastAsiaTheme="minorEastAsia"/>
                      <w:bCs/>
                      <w:szCs w:val="21"/>
                    </w:rPr>
                    <w:t>常温常压储存</w:t>
                  </w:r>
                </w:p>
              </w:tc>
            </w:tr>
            <w:tr w14:paraId="1A43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0FD02DB">
                  <w:pPr>
                    <w:adjustRightInd w:val="0"/>
                    <w:snapToGrid w:val="0"/>
                    <w:jc w:val="center"/>
                    <w:rPr>
                      <w:rFonts w:eastAsiaTheme="minorEastAsia"/>
                      <w:bCs/>
                      <w:szCs w:val="21"/>
                    </w:rPr>
                  </w:pPr>
                  <w:r>
                    <w:rPr>
                      <w:rFonts w:eastAsiaTheme="minorEastAsia"/>
                      <w:bCs/>
                      <w:szCs w:val="21"/>
                    </w:rPr>
                    <w:t>3</w:t>
                  </w:r>
                </w:p>
              </w:tc>
              <w:tc>
                <w:tcPr>
                  <w:tcW w:w="1553" w:type="dxa"/>
                  <w:vAlign w:val="center"/>
                </w:tcPr>
                <w:p w14:paraId="761B093E">
                  <w:pPr>
                    <w:adjustRightInd w:val="0"/>
                    <w:snapToGrid w:val="0"/>
                    <w:jc w:val="center"/>
                    <w:rPr>
                      <w:rFonts w:eastAsiaTheme="minorEastAsia"/>
                      <w:bCs/>
                      <w:szCs w:val="21"/>
                    </w:rPr>
                  </w:pPr>
                  <w:r>
                    <w:rPr>
                      <w:rFonts w:hAnsiTheme="minorEastAsia" w:eastAsiaTheme="minorEastAsia"/>
                      <w:bCs/>
                      <w:szCs w:val="21"/>
                    </w:rPr>
                    <w:t>洗车水</w:t>
                  </w:r>
                </w:p>
              </w:tc>
              <w:tc>
                <w:tcPr>
                  <w:tcW w:w="1134" w:type="dxa"/>
                  <w:vMerge w:val="continue"/>
                  <w:vAlign w:val="center"/>
                </w:tcPr>
                <w:p w14:paraId="1FBED74C">
                  <w:pPr>
                    <w:adjustRightInd w:val="0"/>
                    <w:snapToGrid w:val="0"/>
                    <w:jc w:val="center"/>
                    <w:rPr>
                      <w:rFonts w:eastAsiaTheme="minorEastAsia"/>
                      <w:bCs/>
                      <w:szCs w:val="21"/>
                    </w:rPr>
                  </w:pPr>
                </w:p>
              </w:tc>
              <w:tc>
                <w:tcPr>
                  <w:tcW w:w="1134" w:type="dxa"/>
                  <w:vMerge w:val="continue"/>
                  <w:vAlign w:val="center"/>
                </w:tcPr>
                <w:p w14:paraId="3A30AF05">
                  <w:pPr>
                    <w:adjustRightInd w:val="0"/>
                    <w:snapToGrid w:val="0"/>
                    <w:jc w:val="center"/>
                    <w:rPr>
                      <w:rFonts w:eastAsiaTheme="minorEastAsia"/>
                      <w:bCs/>
                      <w:szCs w:val="21"/>
                    </w:rPr>
                  </w:pPr>
                </w:p>
              </w:tc>
              <w:tc>
                <w:tcPr>
                  <w:tcW w:w="1134" w:type="dxa"/>
                  <w:vAlign w:val="center"/>
                </w:tcPr>
                <w:p w14:paraId="1DBFB12C">
                  <w:pPr>
                    <w:adjustRightInd w:val="0"/>
                    <w:snapToGrid w:val="0"/>
                    <w:jc w:val="center"/>
                    <w:rPr>
                      <w:rFonts w:eastAsiaTheme="minorEastAsia"/>
                      <w:bCs/>
                      <w:szCs w:val="21"/>
                    </w:rPr>
                  </w:pPr>
                  <w:r>
                    <w:rPr>
                      <w:rFonts w:eastAsiaTheme="minorEastAsia"/>
                      <w:bCs/>
                      <w:szCs w:val="21"/>
                    </w:rPr>
                    <w:t>0.25</w:t>
                  </w:r>
                </w:p>
              </w:tc>
              <w:tc>
                <w:tcPr>
                  <w:tcW w:w="1134" w:type="dxa"/>
                  <w:vAlign w:val="center"/>
                </w:tcPr>
                <w:p w14:paraId="5C003250">
                  <w:pPr>
                    <w:jc w:val="center"/>
                    <w:rPr>
                      <w:rFonts w:eastAsiaTheme="minorEastAsia"/>
                      <w:szCs w:val="21"/>
                    </w:rPr>
                  </w:pPr>
                  <w:r>
                    <w:rPr>
                      <w:rFonts w:eastAsiaTheme="minorEastAsia"/>
                      <w:bCs/>
                      <w:szCs w:val="21"/>
                    </w:rPr>
                    <w:t>1</w:t>
                  </w:r>
                  <w:r>
                    <w:rPr>
                      <w:rFonts w:hAnsiTheme="minorEastAsia" w:eastAsiaTheme="minorEastAsia"/>
                      <w:bCs/>
                      <w:szCs w:val="21"/>
                    </w:rPr>
                    <w:t>个月</w:t>
                  </w:r>
                </w:p>
              </w:tc>
              <w:tc>
                <w:tcPr>
                  <w:tcW w:w="1853" w:type="dxa"/>
                  <w:vAlign w:val="center"/>
                </w:tcPr>
                <w:p w14:paraId="468AD652">
                  <w:pPr>
                    <w:jc w:val="center"/>
                    <w:rPr>
                      <w:rFonts w:eastAsiaTheme="minorEastAsia"/>
                      <w:szCs w:val="21"/>
                    </w:rPr>
                  </w:pPr>
                  <w:r>
                    <w:rPr>
                      <w:rFonts w:hAnsiTheme="minorEastAsia" w:eastAsiaTheme="minorEastAsia"/>
                      <w:bCs/>
                      <w:szCs w:val="21"/>
                    </w:rPr>
                    <w:t>常温常压储存</w:t>
                  </w:r>
                </w:p>
              </w:tc>
            </w:tr>
            <w:tr w14:paraId="74E7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0DE3794">
                  <w:pPr>
                    <w:adjustRightInd w:val="0"/>
                    <w:snapToGrid w:val="0"/>
                    <w:jc w:val="center"/>
                    <w:rPr>
                      <w:rFonts w:eastAsiaTheme="minorEastAsia"/>
                      <w:bCs/>
                      <w:szCs w:val="21"/>
                    </w:rPr>
                  </w:pPr>
                  <w:r>
                    <w:rPr>
                      <w:rFonts w:eastAsiaTheme="minorEastAsia"/>
                      <w:bCs/>
                      <w:szCs w:val="21"/>
                    </w:rPr>
                    <w:t>4</w:t>
                  </w:r>
                </w:p>
              </w:tc>
              <w:tc>
                <w:tcPr>
                  <w:tcW w:w="1553" w:type="dxa"/>
                  <w:vAlign w:val="center"/>
                </w:tcPr>
                <w:p w14:paraId="0EDB9128">
                  <w:pPr>
                    <w:adjustRightInd w:val="0"/>
                    <w:snapToGrid w:val="0"/>
                    <w:jc w:val="center"/>
                    <w:rPr>
                      <w:rFonts w:eastAsiaTheme="minorEastAsia"/>
                      <w:bCs/>
                      <w:szCs w:val="21"/>
                    </w:rPr>
                  </w:pPr>
                  <w:r>
                    <w:rPr>
                      <w:rFonts w:hAnsiTheme="minorEastAsia" w:eastAsiaTheme="minorEastAsia"/>
                      <w:bCs/>
                      <w:szCs w:val="21"/>
                    </w:rPr>
                    <w:t>润版液</w:t>
                  </w:r>
                </w:p>
              </w:tc>
              <w:tc>
                <w:tcPr>
                  <w:tcW w:w="1134" w:type="dxa"/>
                  <w:vMerge w:val="continue"/>
                  <w:vAlign w:val="center"/>
                </w:tcPr>
                <w:p w14:paraId="155D7FE5">
                  <w:pPr>
                    <w:adjustRightInd w:val="0"/>
                    <w:snapToGrid w:val="0"/>
                    <w:jc w:val="center"/>
                    <w:rPr>
                      <w:rFonts w:eastAsiaTheme="minorEastAsia"/>
                      <w:bCs/>
                      <w:szCs w:val="21"/>
                    </w:rPr>
                  </w:pPr>
                </w:p>
              </w:tc>
              <w:tc>
                <w:tcPr>
                  <w:tcW w:w="1134" w:type="dxa"/>
                  <w:vMerge w:val="continue"/>
                  <w:vAlign w:val="center"/>
                </w:tcPr>
                <w:p w14:paraId="34727A50">
                  <w:pPr>
                    <w:adjustRightInd w:val="0"/>
                    <w:snapToGrid w:val="0"/>
                    <w:jc w:val="center"/>
                    <w:rPr>
                      <w:rFonts w:eastAsiaTheme="minorEastAsia"/>
                      <w:bCs/>
                      <w:szCs w:val="21"/>
                    </w:rPr>
                  </w:pPr>
                </w:p>
              </w:tc>
              <w:tc>
                <w:tcPr>
                  <w:tcW w:w="1134" w:type="dxa"/>
                  <w:vAlign w:val="center"/>
                </w:tcPr>
                <w:p w14:paraId="3E0EA98C">
                  <w:pPr>
                    <w:adjustRightInd w:val="0"/>
                    <w:snapToGrid w:val="0"/>
                    <w:jc w:val="center"/>
                    <w:rPr>
                      <w:rFonts w:eastAsiaTheme="minorEastAsia"/>
                      <w:bCs/>
                      <w:szCs w:val="21"/>
                    </w:rPr>
                  </w:pPr>
                  <w:r>
                    <w:rPr>
                      <w:rFonts w:eastAsiaTheme="minorEastAsia"/>
                      <w:bCs/>
                      <w:szCs w:val="21"/>
                    </w:rPr>
                    <w:t>0.2</w:t>
                  </w:r>
                </w:p>
              </w:tc>
              <w:tc>
                <w:tcPr>
                  <w:tcW w:w="1134" w:type="dxa"/>
                  <w:vAlign w:val="center"/>
                </w:tcPr>
                <w:p w14:paraId="6DD5E237">
                  <w:pPr>
                    <w:jc w:val="center"/>
                    <w:rPr>
                      <w:rFonts w:eastAsiaTheme="minorEastAsia"/>
                      <w:szCs w:val="21"/>
                    </w:rPr>
                  </w:pPr>
                  <w:r>
                    <w:rPr>
                      <w:rFonts w:eastAsiaTheme="minorEastAsia"/>
                      <w:bCs/>
                      <w:szCs w:val="21"/>
                    </w:rPr>
                    <w:t>1</w:t>
                  </w:r>
                  <w:r>
                    <w:rPr>
                      <w:rFonts w:hAnsiTheme="minorEastAsia" w:eastAsiaTheme="minorEastAsia"/>
                      <w:bCs/>
                      <w:szCs w:val="21"/>
                    </w:rPr>
                    <w:t>个月</w:t>
                  </w:r>
                </w:p>
              </w:tc>
              <w:tc>
                <w:tcPr>
                  <w:tcW w:w="1853" w:type="dxa"/>
                  <w:vAlign w:val="center"/>
                </w:tcPr>
                <w:p w14:paraId="068273E8">
                  <w:pPr>
                    <w:jc w:val="center"/>
                    <w:rPr>
                      <w:rFonts w:eastAsiaTheme="minorEastAsia"/>
                      <w:szCs w:val="21"/>
                    </w:rPr>
                  </w:pPr>
                  <w:r>
                    <w:rPr>
                      <w:rFonts w:hAnsiTheme="minorEastAsia" w:eastAsiaTheme="minorEastAsia"/>
                      <w:bCs/>
                      <w:szCs w:val="21"/>
                    </w:rPr>
                    <w:t>常温常压储存</w:t>
                  </w:r>
                </w:p>
              </w:tc>
            </w:tr>
            <w:tr w14:paraId="6EC4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AE6963A">
                  <w:pPr>
                    <w:adjustRightInd w:val="0"/>
                    <w:snapToGrid w:val="0"/>
                    <w:jc w:val="center"/>
                    <w:rPr>
                      <w:rFonts w:eastAsiaTheme="minorEastAsia"/>
                      <w:bCs/>
                      <w:szCs w:val="21"/>
                    </w:rPr>
                  </w:pPr>
                  <w:r>
                    <w:rPr>
                      <w:rFonts w:eastAsiaTheme="minorEastAsia"/>
                      <w:bCs/>
                      <w:szCs w:val="21"/>
                    </w:rPr>
                    <w:t>5</w:t>
                  </w:r>
                </w:p>
              </w:tc>
              <w:tc>
                <w:tcPr>
                  <w:tcW w:w="1553" w:type="dxa"/>
                  <w:vAlign w:val="center"/>
                </w:tcPr>
                <w:p w14:paraId="0A0A84E1">
                  <w:pPr>
                    <w:adjustRightInd w:val="0"/>
                    <w:snapToGrid w:val="0"/>
                    <w:jc w:val="center"/>
                    <w:rPr>
                      <w:rFonts w:eastAsiaTheme="minorEastAsia"/>
                      <w:bCs/>
                      <w:szCs w:val="21"/>
                    </w:rPr>
                  </w:pPr>
                  <w:r>
                    <w:rPr>
                      <w:rFonts w:hAnsiTheme="minorEastAsia" w:eastAsiaTheme="minorEastAsia"/>
                      <w:kern w:val="0"/>
                      <w:szCs w:val="21"/>
                    </w:rPr>
                    <w:t>水基性胶粘剂</w:t>
                  </w:r>
                </w:p>
              </w:tc>
              <w:tc>
                <w:tcPr>
                  <w:tcW w:w="1134" w:type="dxa"/>
                  <w:vMerge w:val="continue"/>
                  <w:vAlign w:val="center"/>
                </w:tcPr>
                <w:p w14:paraId="6BCA8C32">
                  <w:pPr>
                    <w:adjustRightInd w:val="0"/>
                    <w:snapToGrid w:val="0"/>
                    <w:jc w:val="center"/>
                    <w:rPr>
                      <w:rFonts w:eastAsiaTheme="minorEastAsia"/>
                      <w:bCs/>
                      <w:szCs w:val="21"/>
                    </w:rPr>
                  </w:pPr>
                </w:p>
              </w:tc>
              <w:tc>
                <w:tcPr>
                  <w:tcW w:w="1134" w:type="dxa"/>
                  <w:vMerge w:val="continue"/>
                  <w:vAlign w:val="center"/>
                </w:tcPr>
                <w:p w14:paraId="71D41600">
                  <w:pPr>
                    <w:adjustRightInd w:val="0"/>
                    <w:snapToGrid w:val="0"/>
                    <w:jc w:val="center"/>
                    <w:rPr>
                      <w:rFonts w:eastAsiaTheme="minorEastAsia"/>
                      <w:bCs/>
                      <w:szCs w:val="21"/>
                    </w:rPr>
                  </w:pPr>
                </w:p>
              </w:tc>
              <w:tc>
                <w:tcPr>
                  <w:tcW w:w="1134" w:type="dxa"/>
                  <w:vAlign w:val="center"/>
                </w:tcPr>
                <w:p w14:paraId="7E3EBD21">
                  <w:pPr>
                    <w:adjustRightInd w:val="0"/>
                    <w:snapToGrid w:val="0"/>
                    <w:jc w:val="center"/>
                    <w:rPr>
                      <w:rFonts w:eastAsiaTheme="minorEastAsia"/>
                      <w:bCs/>
                      <w:szCs w:val="21"/>
                    </w:rPr>
                  </w:pPr>
                  <w:r>
                    <w:rPr>
                      <w:rFonts w:eastAsiaTheme="minorEastAsia"/>
                      <w:bCs/>
                      <w:szCs w:val="21"/>
                    </w:rPr>
                    <w:t>25</w:t>
                  </w:r>
                </w:p>
              </w:tc>
              <w:tc>
                <w:tcPr>
                  <w:tcW w:w="1134" w:type="dxa"/>
                  <w:vAlign w:val="center"/>
                </w:tcPr>
                <w:p w14:paraId="584C66B0">
                  <w:pPr>
                    <w:jc w:val="center"/>
                    <w:rPr>
                      <w:rFonts w:eastAsiaTheme="minorEastAsia"/>
                      <w:szCs w:val="21"/>
                    </w:rPr>
                  </w:pPr>
                  <w:r>
                    <w:rPr>
                      <w:rFonts w:eastAsiaTheme="minorEastAsia"/>
                      <w:bCs/>
                      <w:szCs w:val="21"/>
                    </w:rPr>
                    <w:t>1</w:t>
                  </w:r>
                  <w:r>
                    <w:rPr>
                      <w:rFonts w:hAnsiTheme="minorEastAsia" w:eastAsiaTheme="minorEastAsia"/>
                      <w:bCs/>
                      <w:szCs w:val="21"/>
                    </w:rPr>
                    <w:t>个月</w:t>
                  </w:r>
                </w:p>
              </w:tc>
              <w:tc>
                <w:tcPr>
                  <w:tcW w:w="1853" w:type="dxa"/>
                  <w:vAlign w:val="center"/>
                </w:tcPr>
                <w:p w14:paraId="4BC519CE">
                  <w:pPr>
                    <w:jc w:val="center"/>
                    <w:rPr>
                      <w:rFonts w:eastAsiaTheme="minorEastAsia"/>
                      <w:szCs w:val="21"/>
                    </w:rPr>
                  </w:pPr>
                  <w:r>
                    <w:rPr>
                      <w:rFonts w:hAnsiTheme="minorEastAsia" w:eastAsiaTheme="minorEastAsia"/>
                      <w:bCs/>
                      <w:szCs w:val="21"/>
                    </w:rPr>
                    <w:t>常温常压储存</w:t>
                  </w:r>
                </w:p>
              </w:tc>
            </w:tr>
            <w:tr w14:paraId="5073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47190E4">
                  <w:pPr>
                    <w:adjustRightInd w:val="0"/>
                    <w:snapToGrid w:val="0"/>
                    <w:jc w:val="center"/>
                    <w:rPr>
                      <w:rFonts w:eastAsiaTheme="minorEastAsia"/>
                      <w:bCs/>
                      <w:szCs w:val="21"/>
                    </w:rPr>
                  </w:pPr>
                  <w:r>
                    <w:rPr>
                      <w:rFonts w:eastAsiaTheme="minorEastAsia"/>
                      <w:bCs/>
                      <w:szCs w:val="21"/>
                    </w:rPr>
                    <w:t>6</w:t>
                  </w:r>
                </w:p>
              </w:tc>
              <w:tc>
                <w:tcPr>
                  <w:tcW w:w="1553" w:type="dxa"/>
                  <w:vAlign w:val="center"/>
                </w:tcPr>
                <w:p w14:paraId="229AE8FB">
                  <w:pPr>
                    <w:adjustRightInd w:val="0"/>
                    <w:snapToGrid w:val="0"/>
                    <w:jc w:val="center"/>
                    <w:rPr>
                      <w:rFonts w:eastAsiaTheme="minorEastAsia"/>
                      <w:bCs/>
                      <w:szCs w:val="21"/>
                    </w:rPr>
                  </w:pPr>
                  <w:r>
                    <w:rPr>
                      <w:rFonts w:hAnsiTheme="minorEastAsia" w:eastAsiaTheme="minorEastAsia"/>
                      <w:bCs/>
                      <w:szCs w:val="21"/>
                    </w:rPr>
                    <w:t>润滑油</w:t>
                  </w:r>
                </w:p>
              </w:tc>
              <w:tc>
                <w:tcPr>
                  <w:tcW w:w="1134" w:type="dxa"/>
                  <w:vMerge w:val="continue"/>
                  <w:vAlign w:val="center"/>
                </w:tcPr>
                <w:p w14:paraId="6A573AEB">
                  <w:pPr>
                    <w:adjustRightInd w:val="0"/>
                    <w:snapToGrid w:val="0"/>
                    <w:jc w:val="center"/>
                    <w:rPr>
                      <w:rFonts w:eastAsiaTheme="minorEastAsia"/>
                      <w:bCs/>
                      <w:szCs w:val="21"/>
                    </w:rPr>
                  </w:pPr>
                </w:p>
              </w:tc>
              <w:tc>
                <w:tcPr>
                  <w:tcW w:w="1134" w:type="dxa"/>
                  <w:vMerge w:val="continue"/>
                  <w:vAlign w:val="center"/>
                </w:tcPr>
                <w:p w14:paraId="677F0B50">
                  <w:pPr>
                    <w:adjustRightInd w:val="0"/>
                    <w:snapToGrid w:val="0"/>
                    <w:jc w:val="center"/>
                    <w:rPr>
                      <w:rFonts w:eastAsiaTheme="minorEastAsia"/>
                      <w:bCs/>
                      <w:szCs w:val="21"/>
                    </w:rPr>
                  </w:pPr>
                </w:p>
              </w:tc>
              <w:tc>
                <w:tcPr>
                  <w:tcW w:w="1134" w:type="dxa"/>
                  <w:vAlign w:val="center"/>
                </w:tcPr>
                <w:p w14:paraId="07580220">
                  <w:pPr>
                    <w:adjustRightInd w:val="0"/>
                    <w:snapToGrid w:val="0"/>
                    <w:jc w:val="center"/>
                    <w:rPr>
                      <w:rFonts w:eastAsiaTheme="minorEastAsia"/>
                      <w:bCs/>
                      <w:szCs w:val="21"/>
                    </w:rPr>
                  </w:pPr>
                  <w:r>
                    <w:rPr>
                      <w:rFonts w:eastAsiaTheme="minorEastAsia"/>
                      <w:bCs/>
                      <w:szCs w:val="21"/>
                    </w:rPr>
                    <w:t>0.17</w:t>
                  </w:r>
                </w:p>
              </w:tc>
              <w:tc>
                <w:tcPr>
                  <w:tcW w:w="1134" w:type="dxa"/>
                  <w:vAlign w:val="center"/>
                </w:tcPr>
                <w:p w14:paraId="6DEDF70E">
                  <w:pPr>
                    <w:jc w:val="center"/>
                    <w:rPr>
                      <w:rFonts w:eastAsiaTheme="minorEastAsia"/>
                      <w:szCs w:val="21"/>
                    </w:rPr>
                  </w:pPr>
                  <w:r>
                    <w:rPr>
                      <w:rFonts w:eastAsiaTheme="minorEastAsia"/>
                      <w:bCs/>
                      <w:szCs w:val="21"/>
                    </w:rPr>
                    <w:t>1</w:t>
                  </w:r>
                  <w:r>
                    <w:rPr>
                      <w:rFonts w:hAnsiTheme="minorEastAsia" w:eastAsiaTheme="minorEastAsia"/>
                      <w:bCs/>
                      <w:szCs w:val="21"/>
                    </w:rPr>
                    <w:t>个月</w:t>
                  </w:r>
                </w:p>
              </w:tc>
              <w:tc>
                <w:tcPr>
                  <w:tcW w:w="1853" w:type="dxa"/>
                  <w:vAlign w:val="center"/>
                </w:tcPr>
                <w:p w14:paraId="314F1D7D">
                  <w:pPr>
                    <w:jc w:val="center"/>
                    <w:rPr>
                      <w:rFonts w:eastAsiaTheme="minorEastAsia"/>
                      <w:szCs w:val="21"/>
                    </w:rPr>
                  </w:pPr>
                  <w:r>
                    <w:rPr>
                      <w:rFonts w:hAnsiTheme="minorEastAsia" w:eastAsiaTheme="minorEastAsia"/>
                      <w:bCs/>
                      <w:szCs w:val="21"/>
                    </w:rPr>
                    <w:t>常温常压储存</w:t>
                  </w:r>
                </w:p>
              </w:tc>
            </w:tr>
            <w:tr w14:paraId="0B95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CBABFEF">
                  <w:pPr>
                    <w:adjustRightInd w:val="0"/>
                    <w:snapToGrid w:val="0"/>
                    <w:jc w:val="center"/>
                    <w:rPr>
                      <w:rFonts w:eastAsiaTheme="minorEastAsia"/>
                      <w:bCs/>
                      <w:szCs w:val="21"/>
                    </w:rPr>
                  </w:pPr>
                  <w:r>
                    <w:rPr>
                      <w:rFonts w:eastAsiaTheme="minorEastAsia"/>
                      <w:bCs/>
                      <w:szCs w:val="21"/>
                    </w:rPr>
                    <w:t>7</w:t>
                  </w:r>
                </w:p>
              </w:tc>
              <w:tc>
                <w:tcPr>
                  <w:tcW w:w="1553" w:type="dxa"/>
                  <w:vAlign w:val="center"/>
                </w:tcPr>
                <w:p w14:paraId="01ABF4CF">
                  <w:pPr>
                    <w:adjustRightInd w:val="0"/>
                    <w:snapToGrid w:val="0"/>
                    <w:jc w:val="center"/>
                    <w:rPr>
                      <w:rFonts w:eastAsiaTheme="minorEastAsia"/>
                      <w:bCs/>
                      <w:szCs w:val="21"/>
                    </w:rPr>
                  </w:pPr>
                  <w:r>
                    <w:rPr>
                      <w:rFonts w:hAnsiTheme="minorEastAsia" w:eastAsiaTheme="minorEastAsia"/>
                      <w:bCs/>
                      <w:szCs w:val="21"/>
                    </w:rPr>
                    <w:t>废润版液</w:t>
                  </w:r>
                </w:p>
              </w:tc>
              <w:tc>
                <w:tcPr>
                  <w:tcW w:w="1134" w:type="dxa"/>
                  <w:vMerge w:val="restart"/>
                  <w:vAlign w:val="center"/>
                </w:tcPr>
                <w:p w14:paraId="10A948AB">
                  <w:pPr>
                    <w:adjustRightInd w:val="0"/>
                    <w:snapToGrid w:val="0"/>
                    <w:jc w:val="center"/>
                    <w:rPr>
                      <w:rFonts w:eastAsiaTheme="minorEastAsia"/>
                      <w:bCs/>
                      <w:szCs w:val="21"/>
                    </w:rPr>
                  </w:pPr>
                  <w:r>
                    <w:rPr>
                      <w:rFonts w:hAnsiTheme="minorEastAsia" w:eastAsiaTheme="minorEastAsia"/>
                      <w:bCs/>
                      <w:szCs w:val="21"/>
                    </w:rPr>
                    <w:t>危废暂存间</w:t>
                  </w:r>
                </w:p>
              </w:tc>
              <w:tc>
                <w:tcPr>
                  <w:tcW w:w="1134" w:type="dxa"/>
                  <w:vMerge w:val="restart"/>
                  <w:vAlign w:val="center"/>
                </w:tcPr>
                <w:p w14:paraId="1983EF0B">
                  <w:pPr>
                    <w:adjustRightInd w:val="0"/>
                    <w:snapToGrid w:val="0"/>
                    <w:jc w:val="center"/>
                    <w:rPr>
                      <w:rFonts w:eastAsiaTheme="minorEastAsia"/>
                      <w:bCs/>
                      <w:szCs w:val="21"/>
                    </w:rPr>
                  </w:pPr>
                  <w:r>
                    <w:rPr>
                      <w:rFonts w:hAnsiTheme="minorEastAsia" w:eastAsiaTheme="minorEastAsia"/>
                      <w:bCs/>
                      <w:szCs w:val="21"/>
                    </w:rPr>
                    <w:t>专用容器密封收集</w:t>
                  </w:r>
                </w:p>
              </w:tc>
              <w:tc>
                <w:tcPr>
                  <w:tcW w:w="1134" w:type="dxa"/>
                  <w:vAlign w:val="center"/>
                </w:tcPr>
                <w:p w14:paraId="183FB76C">
                  <w:pPr>
                    <w:adjustRightInd w:val="0"/>
                    <w:snapToGrid w:val="0"/>
                    <w:jc w:val="center"/>
                    <w:rPr>
                      <w:rFonts w:eastAsiaTheme="minorEastAsia"/>
                      <w:bCs/>
                      <w:szCs w:val="21"/>
                    </w:rPr>
                  </w:pPr>
                  <w:r>
                    <w:rPr>
                      <w:rFonts w:eastAsiaTheme="minorEastAsia"/>
                      <w:bCs/>
                      <w:szCs w:val="21"/>
                    </w:rPr>
                    <w:t>1.6</w:t>
                  </w:r>
                </w:p>
              </w:tc>
              <w:tc>
                <w:tcPr>
                  <w:tcW w:w="1134" w:type="dxa"/>
                  <w:vAlign w:val="center"/>
                </w:tcPr>
                <w:p w14:paraId="18A25418">
                  <w:pPr>
                    <w:adjustRightInd w:val="0"/>
                    <w:snapToGrid w:val="0"/>
                    <w:jc w:val="center"/>
                    <w:rPr>
                      <w:rFonts w:eastAsiaTheme="minorEastAsia"/>
                      <w:bCs/>
                      <w:szCs w:val="21"/>
                    </w:rPr>
                  </w:pPr>
                  <w:r>
                    <w:rPr>
                      <w:rFonts w:eastAsiaTheme="minorEastAsia"/>
                      <w:bCs/>
                      <w:szCs w:val="21"/>
                    </w:rPr>
                    <w:t>3</w:t>
                  </w:r>
                  <w:r>
                    <w:rPr>
                      <w:rFonts w:hAnsiTheme="minorEastAsia" w:eastAsiaTheme="minorEastAsia"/>
                      <w:bCs/>
                      <w:szCs w:val="21"/>
                    </w:rPr>
                    <w:t>个月</w:t>
                  </w:r>
                </w:p>
              </w:tc>
              <w:tc>
                <w:tcPr>
                  <w:tcW w:w="1853" w:type="dxa"/>
                  <w:vAlign w:val="center"/>
                </w:tcPr>
                <w:p w14:paraId="23ABB515">
                  <w:pPr>
                    <w:jc w:val="center"/>
                    <w:rPr>
                      <w:rFonts w:eastAsiaTheme="minorEastAsia"/>
                      <w:szCs w:val="21"/>
                    </w:rPr>
                  </w:pPr>
                  <w:r>
                    <w:rPr>
                      <w:rFonts w:hAnsiTheme="minorEastAsia" w:eastAsiaTheme="minorEastAsia"/>
                      <w:bCs/>
                      <w:szCs w:val="21"/>
                    </w:rPr>
                    <w:t>常温常压储存</w:t>
                  </w:r>
                </w:p>
              </w:tc>
            </w:tr>
            <w:tr w14:paraId="68C4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CB8A61D">
                  <w:pPr>
                    <w:adjustRightInd w:val="0"/>
                    <w:snapToGrid w:val="0"/>
                    <w:jc w:val="center"/>
                    <w:rPr>
                      <w:rFonts w:eastAsiaTheme="minorEastAsia"/>
                      <w:bCs/>
                      <w:szCs w:val="21"/>
                    </w:rPr>
                  </w:pPr>
                  <w:r>
                    <w:rPr>
                      <w:rFonts w:eastAsiaTheme="minorEastAsia"/>
                      <w:bCs/>
                      <w:szCs w:val="21"/>
                    </w:rPr>
                    <w:t>8</w:t>
                  </w:r>
                </w:p>
              </w:tc>
              <w:tc>
                <w:tcPr>
                  <w:tcW w:w="1553" w:type="dxa"/>
                  <w:vAlign w:val="center"/>
                </w:tcPr>
                <w:p w14:paraId="3115494F">
                  <w:pPr>
                    <w:adjustRightInd w:val="0"/>
                    <w:snapToGrid w:val="0"/>
                    <w:jc w:val="center"/>
                    <w:rPr>
                      <w:rFonts w:eastAsiaTheme="minorEastAsia"/>
                      <w:bCs/>
                      <w:szCs w:val="21"/>
                    </w:rPr>
                  </w:pPr>
                  <w:r>
                    <w:rPr>
                      <w:rFonts w:hAnsiTheme="minorEastAsia" w:eastAsiaTheme="minorEastAsia"/>
                      <w:bCs/>
                      <w:szCs w:val="21"/>
                    </w:rPr>
                    <w:t>废润滑油</w:t>
                  </w:r>
                </w:p>
              </w:tc>
              <w:tc>
                <w:tcPr>
                  <w:tcW w:w="1134" w:type="dxa"/>
                  <w:vMerge w:val="continue"/>
                  <w:vAlign w:val="center"/>
                </w:tcPr>
                <w:p w14:paraId="50821C17">
                  <w:pPr>
                    <w:adjustRightInd w:val="0"/>
                    <w:snapToGrid w:val="0"/>
                    <w:jc w:val="center"/>
                    <w:rPr>
                      <w:rFonts w:eastAsiaTheme="minorEastAsia"/>
                      <w:bCs/>
                      <w:szCs w:val="21"/>
                    </w:rPr>
                  </w:pPr>
                </w:p>
              </w:tc>
              <w:tc>
                <w:tcPr>
                  <w:tcW w:w="1134" w:type="dxa"/>
                  <w:vMerge w:val="continue"/>
                  <w:vAlign w:val="center"/>
                </w:tcPr>
                <w:p w14:paraId="5278FB34">
                  <w:pPr>
                    <w:adjustRightInd w:val="0"/>
                    <w:snapToGrid w:val="0"/>
                    <w:jc w:val="center"/>
                    <w:rPr>
                      <w:rFonts w:eastAsiaTheme="minorEastAsia"/>
                      <w:bCs/>
                      <w:szCs w:val="21"/>
                    </w:rPr>
                  </w:pPr>
                </w:p>
              </w:tc>
              <w:tc>
                <w:tcPr>
                  <w:tcW w:w="1134" w:type="dxa"/>
                  <w:vAlign w:val="center"/>
                </w:tcPr>
                <w:p w14:paraId="7291D50E">
                  <w:pPr>
                    <w:adjustRightInd w:val="0"/>
                    <w:snapToGrid w:val="0"/>
                    <w:jc w:val="center"/>
                    <w:rPr>
                      <w:rFonts w:eastAsiaTheme="minorEastAsia"/>
                      <w:bCs/>
                      <w:szCs w:val="21"/>
                    </w:rPr>
                  </w:pPr>
                  <w:r>
                    <w:rPr>
                      <w:rFonts w:hint="eastAsia" w:eastAsiaTheme="minorEastAsia"/>
                      <w:bCs/>
                      <w:szCs w:val="21"/>
                    </w:rPr>
                    <w:t>0.136</w:t>
                  </w:r>
                </w:p>
              </w:tc>
              <w:tc>
                <w:tcPr>
                  <w:tcW w:w="1134" w:type="dxa"/>
                  <w:vAlign w:val="center"/>
                </w:tcPr>
                <w:p w14:paraId="0EE29AEB">
                  <w:pPr>
                    <w:adjustRightInd w:val="0"/>
                    <w:snapToGrid w:val="0"/>
                    <w:jc w:val="center"/>
                    <w:rPr>
                      <w:rFonts w:eastAsiaTheme="minorEastAsia"/>
                      <w:bCs/>
                      <w:szCs w:val="21"/>
                    </w:rPr>
                  </w:pPr>
                  <w:r>
                    <w:rPr>
                      <w:rFonts w:eastAsiaTheme="minorEastAsia"/>
                      <w:bCs/>
                      <w:szCs w:val="21"/>
                    </w:rPr>
                    <w:t>3</w:t>
                  </w:r>
                  <w:r>
                    <w:rPr>
                      <w:rFonts w:hAnsiTheme="minorEastAsia" w:eastAsiaTheme="minorEastAsia"/>
                      <w:bCs/>
                      <w:szCs w:val="21"/>
                    </w:rPr>
                    <w:t>个月</w:t>
                  </w:r>
                </w:p>
              </w:tc>
              <w:tc>
                <w:tcPr>
                  <w:tcW w:w="1853" w:type="dxa"/>
                  <w:vAlign w:val="center"/>
                </w:tcPr>
                <w:p w14:paraId="162F425C">
                  <w:pPr>
                    <w:jc w:val="center"/>
                    <w:rPr>
                      <w:rFonts w:eastAsiaTheme="minorEastAsia"/>
                      <w:szCs w:val="21"/>
                    </w:rPr>
                  </w:pPr>
                  <w:r>
                    <w:rPr>
                      <w:rFonts w:hAnsiTheme="minorEastAsia" w:eastAsiaTheme="minorEastAsia"/>
                      <w:bCs/>
                      <w:szCs w:val="21"/>
                    </w:rPr>
                    <w:t>常温常压储存</w:t>
                  </w:r>
                </w:p>
              </w:tc>
            </w:tr>
          </w:tbl>
          <w:p w14:paraId="494B74ED">
            <w:pPr>
              <w:adjustRightInd w:val="0"/>
              <w:snapToGrid w:val="0"/>
              <w:spacing w:line="440" w:lineRule="exact"/>
              <w:ind w:firstLine="480"/>
              <w:rPr>
                <w:b/>
                <w:bCs/>
                <w:sz w:val="24"/>
              </w:rPr>
            </w:pPr>
            <w:r>
              <w:rPr>
                <w:rFonts w:hint="eastAsia"/>
                <w:b/>
                <w:bCs/>
                <w:sz w:val="24"/>
              </w:rPr>
              <w:t xml:space="preserve">4.2.6.2 </w:t>
            </w:r>
            <w:r>
              <w:rPr>
                <w:b/>
                <w:bCs/>
                <w:sz w:val="24"/>
              </w:rPr>
              <w:t>环境风险潜势初判</w:t>
            </w:r>
          </w:p>
          <w:p w14:paraId="1454D385">
            <w:pPr>
              <w:pStyle w:val="117"/>
              <w:ind w:firstLine="480"/>
            </w:pPr>
            <w:r>
              <w:t>根据《建设项目环境风险评价技术导则》(HJ 169-2018)附录B中计算每种危险物质对应的临界量比值Q。</w:t>
            </w:r>
          </w:p>
          <w:p w14:paraId="41190B7B">
            <w:pPr>
              <w:pStyle w:val="117"/>
              <w:ind w:firstLine="480"/>
            </w:pPr>
            <w:r>
              <w:rPr>
                <w:rFonts w:hint="eastAsia" w:ascii="宋体" w:hAnsi="宋体" w:cs="宋体"/>
              </w:rPr>
              <w:t>①</w:t>
            </w:r>
            <w:r>
              <w:t xml:space="preserve"> 当建设单位只涉及一种风险物质时，该物质的数量与临界量比值，即为Q。</w:t>
            </w:r>
          </w:p>
          <w:p w14:paraId="6EE407D3">
            <w:pPr>
              <w:pStyle w:val="117"/>
              <w:ind w:firstLine="480"/>
            </w:pPr>
            <w:r>
              <w:rPr>
                <w:rFonts w:hint="eastAsia" w:ascii="宋体" w:hAnsi="宋体" w:cs="宋体"/>
              </w:rPr>
              <w:t>②</w:t>
            </w:r>
            <w:r>
              <w:t xml:space="preserve"> 当建设单位存在多种风险物质时，按下式计算：</w:t>
            </w:r>
          </w:p>
          <w:p w14:paraId="1E7C2B5E">
            <w:pPr>
              <w:jc w:val="center"/>
            </w:pPr>
            <w:r>
              <w:drawing>
                <wp:inline distT="0" distB="0" distL="0" distR="0">
                  <wp:extent cx="1876425" cy="514350"/>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27" cstate="print"/>
                          <a:srcRect/>
                          <a:stretch>
                            <a:fillRect/>
                          </a:stretch>
                        </pic:blipFill>
                        <pic:spPr>
                          <a:xfrm>
                            <a:off x="0" y="0"/>
                            <a:ext cx="1876425" cy="514350"/>
                          </a:xfrm>
                          <a:prstGeom prst="rect">
                            <a:avLst/>
                          </a:prstGeom>
                          <a:noFill/>
                          <a:ln w="9525">
                            <a:noFill/>
                            <a:miter lim="800000"/>
                            <a:headEnd/>
                            <a:tailEnd/>
                          </a:ln>
                        </pic:spPr>
                      </pic:pic>
                    </a:graphicData>
                  </a:graphic>
                </wp:inline>
              </w:drawing>
            </w:r>
          </w:p>
          <w:p w14:paraId="0F4833FA">
            <w:pPr>
              <w:pStyle w:val="117"/>
              <w:ind w:firstLine="480"/>
            </w:pPr>
            <w:r>
              <w:t>式中：q</w:t>
            </w:r>
            <w:r>
              <w:rPr>
                <w:vertAlign w:val="subscript"/>
              </w:rPr>
              <w:t>1</w:t>
            </w:r>
            <w:r>
              <w:t>，q</w:t>
            </w:r>
            <w:r>
              <w:rPr>
                <w:vertAlign w:val="subscript"/>
              </w:rPr>
              <w:t>2</w:t>
            </w:r>
            <w:r>
              <w:t>……，q</w:t>
            </w:r>
            <w:r>
              <w:rPr>
                <w:vertAlign w:val="subscript"/>
              </w:rPr>
              <w:t>n</w:t>
            </w:r>
            <w:r>
              <w:t>——每种风险物质的存在量，t。</w:t>
            </w:r>
          </w:p>
          <w:p w14:paraId="44D9FC40">
            <w:pPr>
              <w:pStyle w:val="117"/>
              <w:ind w:firstLine="1200" w:firstLineChars="500"/>
            </w:pPr>
            <w:r>
              <w:t>Q</w:t>
            </w:r>
            <w:r>
              <w:rPr>
                <w:vertAlign w:val="subscript"/>
              </w:rPr>
              <w:t>1</w:t>
            </w:r>
            <w:r>
              <w:t>，Q</w:t>
            </w:r>
            <w:r>
              <w:rPr>
                <w:vertAlign w:val="subscript"/>
              </w:rPr>
              <w:t>2</w:t>
            </w:r>
            <w:r>
              <w:t>……，Q</w:t>
            </w:r>
            <w:r>
              <w:rPr>
                <w:vertAlign w:val="subscript"/>
              </w:rPr>
              <w:t>n</w:t>
            </w:r>
            <w:r>
              <w:t>——每种风险物质的临界量，t。</w:t>
            </w:r>
          </w:p>
          <w:p w14:paraId="7F3EE7E9">
            <w:pPr>
              <w:pStyle w:val="117"/>
              <w:ind w:firstLine="480"/>
            </w:pPr>
            <w:r>
              <w:t>当Q＜1时，该项目环境风险潜势为</w:t>
            </w:r>
            <w:r>
              <w:rPr>
                <w:rFonts w:hint="eastAsia" w:ascii="宋体" w:hAnsi="宋体" w:cs="宋体"/>
              </w:rPr>
              <w:t>Ⅰ</w:t>
            </w:r>
            <w:r>
              <w:t>。</w:t>
            </w:r>
          </w:p>
          <w:p w14:paraId="29CC7EDD">
            <w:pPr>
              <w:pStyle w:val="117"/>
              <w:ind w:firstLine="480"/>
            </w:pPr>
            <w:r>
              <w:t>当Q≥1时，将Q值划分为：</w:t>
            </w:r>
            <w:r>
              <w:rPr>
                <w:rFonts w:hint="eastAsia" w:ascii="宋体" w:hAnsi="宋体" w:cs="宋体"/>
              </w:rPr>
              <w:t>①</w:t>
            </w:r>
            <w:r>
              <w:t xml:space="preserve"> 1≤Q＜10；</w:t>
            </w:r>
            <w:r>
              <w:rPr>
                <w:rFonts w:hint="eastAsia" w:ascii="宋体" w:hAnsi="宋体" w:cs="宋体"/>
              </w:rPr>
              <w:t>②</w:t>
            </w:r>
            <w:r>
              <w:t xml:space="preserve"> 10≤Q＜100，</w:t>
            </w:r>
            <w:r>
              <w:rPr>
                <w:rFonts w:hint="eastAsia" w:ascii="宋体" w:hAnsi="宋体" w:cs="宋体"/>
              </w:rPr>
              <w:t>③</w:t>
            </w:r>
            <w:r>
              <w:t>Q≥100。</w:t>
            </w:r>
          </w:p>
          <w:p w14:paraId="347E7AB7">
            <w:pPr>
              <w:pStyle w:val="117"/>
              <w:ind w:firstLine="480"/>
            </w:pPr>
            <w:r>
              <w:t>本项目Q值计算结果见</w:t>
            </w:r>
            <w:r>
              <w:rPr>
                <w:rFonts w:hint="eastAsia"/>
              </w:rPr>
              <w:t>表</w:t>
            </w:r>
            <w:r>
              <w:t>4.2-2</w:t>
            </w:r>
            <w:r>
              <w:rPr>
                <w:rFonts w:hint="eastAsia"/>
              </w:rPr>
              <w:t>3</w:t>
            </w:r>
            <w:r>
              <w:t>。</w:t>
            </w:r>
          </w:p>
          <w:p w14:paraId="2C2FDA43">
            <w:pPr>
              <w:pStyle w:val="117"/>
              <w:ind w:firstLine="480"/>
            </w:pPr>
          </w:p>
          <w:p w14:paraId="7C4FEDB8">
            <w:pPr>
              <w:pStyle w:val="117"/>
              <w:ind w:firstLine="480"/>
            </w:pPr>
          </w:p>
          <w:p w14:paraId="47565D87">
            <w:pPr>
              <w:adjustRightInd w:val="0"/>
              <w:snapToGrid w:val="0"/>
              <w:spacing w:line="440" w:lineRule="exact"/>
              <w:jc w:val="center"/>
              <w:rPr>
                <w:b/>
                <w:szCs w:val="21"/>
              </w:rPr>
            </w:pPr>
            <w:r>
              <w:rPr>
                <w:b/>
                <w:szCs w:val="21"/>
              </w:rPr>
              <w:t>表4.2-2</w:t>
            </w:r>
            <w:r>
              <w:rPr>
                <w:rFonts w:hint="eastAsia"/>
                <w:b/>
                <w:szCs w:val="21"/>
              </w:rPr>
              <w:t>3</w:t>
            </w:r>
            <w:r>
              <w:rPr>
                <w:b/>
                <w:szCs w:val="21"/>
              </w:rPr>
              <w:t xml:space="preserve">  本项目环境风险物质Q值计算表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739"/>
              <w:gridCol w:w="1924"/>
              <w:gridCol w:w="1889"/>
              <w:gridCol w:w="1998"/>
            </w:tblGrid>
            <w:tr w14:paraId="5D68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818" w:type="dxa"/>
                  <w:vAlign w:val="center"/>
                </w:tcPr>
                <w:p w14:paraId="3E2E277B">
                  <w:pPr>
                    <w:pStyle w:val="106"/>
                  </w:pPr>
                  <w:r>
                    <w:t>序号</w:t>
                  </w:r>
                </w:p>
              </w:tc>
              <w:tc>
                <w:tcPr>
                  <w:tcW w:w="1739" w:type="dxa"/>
                  <w:vAlign w:val="center"/>
                </w:tcPr>
                <w:p w14:paraId="14639D09">
                  <w:pPr>
                    <w:pStyle w:val="106"/>
                  </w:pPr>
                  <w:r>
                    <w:t>危险物质</w:t>
                  </w:r>
                </w:p>
              </w:tc>
              <w:tc>
                <w:tcPr>
                  <w:tcW w:w="1924" w:type="dxa"/>
                  <w:vAlign w:val="center"/>
                </w:tcPr>
                <w:p w14:paraId="11B0E83F">
                  <w:pPr>
                    <w:pStyle w:val="106"/>
                  </w:pPr>
                  <w:r>
                    <w:t>最大储存量(t)</w:t>
                  </w:r>
                </w:p>
              </w:tc>
              <w:tc>
                <w:tcPr>
                  <w:tcW w:w="1889" w:type="dxa"/>
                  <w:vAlign w:val="center"/>
                </w:tcPr>
                <w:p w14:paraId="06D394D8">
                  <w:pPr>
                    <w:pStyle w:val="106"/>
                  </w:pPr>
                  <w:r>
                    <w:t>临界量(t)</w:t>
                  </w:r>
                </w:p>
              </w:tc>
              <w:tc>
                <w:tcPr>
                  <w:tcW w:w="1998" w:type="dxa"/>
                  <w:vAlign w:val="center"/>
                </w:tcPr>
                <w:p w14:paraId="6BF3A063">
                  <w:pPr>
                    <w:pStyle w:val="106"/>
                  </w:pPr>
                  <w:r>
                    <w:rPr>
                      <w:rFonts w:hint="eastAsia"/>
                    </w:rPr>
                    <w:t>危险物质</w:t>
                  </w:r>
                  <w:r>
                    <w:t>Q值</w:t>
                  </w:r>
                </w:p>
              </w:tc>
            </w:tr>
            <w:tr w14:paraId="7A3E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30C4925F">
                  <w:pPr>
                    <w:pStyle w:val="106"/>
                    <w:rPr>
                      <w:snapToGrid w:val="0"/>
                    </w:rPr>
                  </w:pPr>
                  <w:r>
                    <w:rPr>
                      <w:snapToGrid w:val="0"/>
                    </w:rPr>
                    <w:t>1</w:t>
                  </w:r>
                </w:p>
              </w:tc>
              <w:tc>
                <w:tcPr>
                  <w:tcW w:w="1739" w:type="dxa"/>
                  <w:vAlign w:val="center"/>
                </w:tcPr>
                <w:p w14:paraId="0193DC6B">
                  <w:pPr>
                    <w:adjustRightInd w:val="0"/>
                    <w:snapToGrid w:val="0"/>
                    <w:jc w:val="center"/>
                    <w:rPr>
                      <w:rFonts w:eastAsiaTheme="minorEastAsia"/>
                      <w:bCs/>
                      <w:szCs w:val="21"/>
                    </w:rPr>
                  </w:pPr>
                  <w:r>
                    <w:rPr>
                      <w:rFonts w:hAnsiTheme="minorEastAsia" w:eastAsiaTheme="minorEastAsia"/>
                      <w:bCs/>
                      <w:szCs w:val="21"/>
                    </w:rPr>
                    <w:t>胶印油墨</w:t>
                  </w:r>
                </w:p>
              </w:tc>
              <w:tc>
                <w:tcPr>
                  <w:tcW w:w="1924" w:type="dxa"/>
                  <w:vAlign w:val="center"/>
                </w:tcPr>
                <w:p w14:paraId="72FABB86">
                  <w:pPr>
                    <w:adjustRightInd w:val="0"/>
                    <w:snapToGrid w:val="0"/>
                    <w:jc w:val="center"/>
                    <w:rPr>
                      <w:rFonts w:eastAsiaTheme="minorEastAsia"/>
                      <w:bCs/>
                      <w:szCs w:val="21"/>
                    </w:rPr>
                  </w:pPr>
                  <w:r>
                    <w:rPr>
                      <w:rFonts w:eastAsiaTheme="minorEastAsia"/>
                      <w:bCs/>
                      <w:szCs w:val="21"/>
                    </w:rPr>
                    <w:t>2</w:t>
                  </w:r>
                </w:p>
              </w:tc>
              <w:tc>
                <w:tcPr>
                  <w:tcW w:w="1889" w:type="dxa"/>
                  <w:vAlign w:val="center"/>
                </w:tcPr>
                <w:p w14:paraId="43357F59">
                  <w:pPr>
                    <w:pStyle w:val="106"/>
                  </w:pPr>
                  <w:r>
                    <w:rPr>
                      <w:rFonts w:hint="eastAsia"/>
                    </w:rPr>
                    <w:t>100</w:t>
                  </w:r>
                </w:p>
              </w:tc>
              <w:tc>
                <w:tcPr>
                  <w:tcW w:w="1998" w:type="dxa"/>
                  <w:vAlign w:val="center"/>
                </w:tcPr>
                <w:p w14:paraId="628A47FB">
                  <w:pPr>
                    <w:pStyle w:val="106"/>
                  </w:pPr>
                  <w:r>
                    <w:rPr>
                      <w:rFonts w:hint="eastAsia"/>
                    </w:rPr>
                    <w:t>0.02</w:t>
                  </w:r>
                </w:p>
              </w:tc>
            </w:tr>
            <w:tr w14:paraId="53A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1CA9A99F">
                  <w:pPr>
                    <w:pStyle w:val="106"/>
                    <w:rPr>
                      <w:snapToGrid w:val="0"/>
                    </w:rPr>
                  </w:pPr>
                  <w:r>
                    <w:rPr>
                      <w:snapToGrid w:val="0"/>
                    </w:rPr>
                    <w:t>2</w:t>
                  </w:r>
                </w:p>
              </w:tc>
              <w:tc>
                <w:tcPr>
                  <w:tcW w:w="1739" w:type="dxa"/>
                  <w:vAlign w:val="center"/>
                </w:tcPr>
                <w:p w14:paraId="0E1A2F04">
                  <w:pPr>
                    <w:adjustRightInd w:val="0"/>
                    <w:snapToGrid w:val="0"/>
                    <w:jc w:val="center"/>
                    <w:rPr>
                      <w:rFonts w:eastAsiaTheme="minorEastAsia"/>
                      <w:bCs/>
                      <w:szCs w:val="21"/>
                    </w:rPr>
                  </w:pPr>
                  <w:r>
                    <w:rPr>
                      <w:rFonts w:hAnsiTheme="minorEastAsia" w:eastAsiaTheme="minorEastAsia"/>
                      <w:bCs/>
                      <w:szCs w:val="21"/>
                    </w:rPr>
                    <w:t>水性光油</w:t>
                  </w:r>
                </w:p>
              </w:tc>
              <w:tc>
                <w:tcPr>
                  <w:tcW w:w="1924" w:type="dxa"/>
                  <w:vAlign w:val="center"/>
                </w:tcPr>
                <w:p w14:paraId="3F723637">
                  <w:pPr>
                    <w:adjustRightInd w:val="0"/>
                    <w:snapToGrid w:val="0"/>
                    <w:jc w:val="center"/>
                    <w:rPr>
                      <w:rFonts w:eastAsiaTheme="minorEastAsia"/>
                      <w:bCs/>
                      <w:szCs w:val="21"/>
                    </w:rPr>
                  </w:pPr>
                  <w:r>
                    <w:rPr>
                      <w:rFonts w:eastAsiaTheme="minorEastAsia"/>
                      <w:bCs/>
                      <w:szCs w:val="21"/>
                    </w:rPr>
                    <w:t>0.4</w:t>
                  </w:r>
                </w:p>
              </w:tc>
              <w:tc>
                <w:tcPr>
                  <w:tcW w:w="1889" w:type="dxa"/>
                  <w:vAlign w:val="center"/>
                </w:tcPr>
                <w:p w14:paraId="34797614">
                  <w:pPr>
                    <w:pStyle w:val="106"/>
                    <w:rPr>
                      <w:snapToGrid w:val="0"/>
                    </w:rPr>
                  </w:pPr>
                  <w:r>
                    <w:rPr>
                      <w:rFonts w:hint="eastAsia"/>
                      <w:snapToGrid w:val="0"/>
                    </w:rPr>
                    <w:t>100</w:t>
                  </w:r>
                </w:p>
              </w:tc>
              <w:tc>
                <w:tcPr>
                  <w:tcW w:w="1998" w:type="dxa"/>
                  <w:vAlign w:val="center"/>
                </w:tcPr>
                <w:p w14:paraId="7B85CE05">
                  <w:pPr>
                    <w:pStyle w:val="106"/>
                    <w:rPr>
                      <w:snapToGrid w:val="0"/>
                    </w:rPr>
                  </w:pPr>
                  <w:r>
                    <w:rPr>
                      <w:rFonts w:hint="eastAsia"/>
                      <w:snapToGrid w:val="0"/>
                    </w:rPr>
                    <w:t>0.004</w:t>
                  </w:r>
                </w:p>
              </w:tc>
            </w:tr>
            <w:tr w14:paraId="204C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54E52E9D">
                  <w:pPr>
                    <w:pStyle w:val="106"/>
                    <w:rPr>
                      <w:snapToGrid w:val="0"/>
                    </w:rPr>
                  </w:pPr>
                  <w:r>
                    <w:rPr>
                      <w:snapToGrid w:val="0"/>
                    </w:rPr>
                    <w:t>3</w:t>
                  </w:r>
                </w:p>
              </w:tc>
              <w:tc>
                <w:tcPr>
                  <w:tcW w:w="1739" w:type="dxa"/>
                  <w:vAlign w:val="center"/>
                </w:tcPr>
                <w:p w14:paraId="74B3AAB9">
                  <w:pPr>
                    <w:adjustRightInd w:val="0"/>
                    <w:snapToGrid w:val="0"/>
                    <w:jc w:val="center"/>
                    <w:rPr>
                      <w:rFonts w:eastAsiaTheme="minorEastAsia"/>
                      <w:bCs/>
                      <w:szCs w:val="21"/>
                    </w:rPr>
                  </w:pPr>
                  <w:r>
                    <w:rPr>
                      <w:rFonts w:hAnsiTheme="minorEastAsia" w:eastAsiaTheme="minorEastAsia"/>
                      <w:bCs/>
                      <w:szCs w:val="21"/>
                    </w:rPr>
                    <w:t>洗车水</w:t>
                  </w:r>
                </w:p>
              </w:tc>
              <w:tc>
                <w:tcPr>
                  <w:tcW w:w="1924" w:type="dxa"/>
                  <w:vAlign w:val="center"/>
                </w:tcPr>
                <w:p w14:paraId="65E91A32">
                  <w:pPr>
                    <w:adjustRightInd w:val="0"/>
                    <w:snapToGrid w:val="0"/>
                    <w:jc w:val="center"/>
                    <w:rPr>
                      <w:rFonts w:eastAsiaTheme="minorEastAsia"/>
                      <w:bCs/>
                      <w:szCs w:val="21"/>
                    </w:rPr>
                  </w:pPr>
                  <w:r>
                    <w:rPr>
                      <w:rFonts w:eastAsiaTheme="minorEastAsia"/>
                      <w:bCs/>
                      <w:szCs w:val="21"/>
                    </w:rPr>
                    <w:t>0.25</w:t>
                  </w:r>
                </w:p>
              </w:tc>
              <w:tc>
                <w:tcPr>
                  <w:tcW w:w="1889" w:type="dxa"/>
                  <w:vAlign w:val="center"/>
                </w:tcPr>
                <w:p w14:paraId="44E7259A">
                  <w:pPr>
                    <w:pStyle w:val="106"/>
                    <w:rPr>
                      <w:snapToGrid w:val="0"/>
                    </w:rPr>
                  </w:pPr>
                  <w:r>
                    <w:rPr>
                      <w:rFonts w:hint="eastAsia"/>
                      <w:snapToGrid w:val="0"/>
                    </w:rPr>
                    <w:t>100</w:t>
                  </w:r>
                </w:p>
              </w:tc>
              <w:tc>
                <w:tcPr>
                  <w:tcW w:w="1998" w:type="dxa"/>
                  <w:vAlign w:val="center"/>
                </w:tcPr>
                <w:p w14:paraId="77D46E35">
                  <w:pPr>
                    <w:pStyle w:val="106"/>
                    <w:rPr>
                      <w:snapToGrid w:val="0"/>
                    </w:rPr>
                  </w:pPr>
                  <w:r>
                    <w:rPr>
                      <w:rFonts w:hint="eastAsia"/>
                      <w:snapToGrid w:val="0"/>
                    </w:rPr>
                    <w:t>0.0025</w:t>
                  </w:r>
                </w:p>
              </w:tc>
            </w:tr>
            <w:tr w14:paraId="5842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14289010">
                  <w:pPr>
                    <w:pStyle w:val="106"/>
                    <w:rPr>
                      <w:snapToGrid w:val="0"/>
                    </w:rPr>
                  </w:pPr>
                  <w:r>
                    <w:rPr>
                      <w:snapToGrid w:val="0"/>
                    </w:rPr>
                    <w:t>4</w:t>
                  </w:r>
                </w:p>
              </w:tc>
              <w:tc>
                <w:tcPr>
                  <w:tcW w:w="1739" w:type="dxa"/>
                  <w:vAlign w:val="center"/>
                </w:tcPr>
                <w:p w14:paraId="5D4D17B6">
                  <w:pPr>
                    <w:adjustRightInd w:val="0"/>
                    <w:snapToGrid w:val="0"/>
                    <w:jc w:val="center"/>
                    <w:rPr>
                      <w:rFonts w:eastAsiaTheme="minorEastAsia"/>
                      <w:bCs/>
                      <w:szCs w:val="21"/>
                    </w:rPr>
                  </w:pPr>
                  <w:r>
                    <w:rPr>
                      <w:rFonts w:hAnsiTheme="minorEastAsia" w:eastAsiaTheme="minorEastAsia"/>
                      <w:bCs/>
                      <w:szCs w:val="21"/>
                    </w:rPr>
                    <w:t>润版液</w:t>
                  </w:r>
                </w:p>
              </w:tc>
              <w:tc>
                <w:tcPr>
                  <w:tcW w:w="1924" w:type="dxa"/>
                  <w:vAlign w:val="center"/>
                </w:tcPr>
                <w:p w14:paraId="7A119E37">
                  <w:pPr>
                    <w:adjustRightInd w:val="0"/>
                    <w:snapToGrid w:val="0"/>
                    <w:jc w:val="center"/>
                    <w:rPr>
                      <w:rFonts w:eastAsiaTheme="minorEastAsia"/>
                      <w:bCs/>
                      <w:szCs w:val="21"/>
                    </w:rPr>
                  </w:pPr>
                  <w:r>
                    <w:rPr>
                      <w:rFonts w:eastAsiaTheme="minorEastAsia"/>
                      <w:bCs/>
                      <w:szCs w:val="21"/>
                    </w:rPr>
                    <w:t>0.2</w:t>
                  </w:r>
                </w:p>
              </w:tc>
              <w:tc>
                <w:tcPr>
                  <w:tcW w:w="1889" w:type="dxa"/>
                  <w:vAlign w:val="center"/>
                </w:tcPr>
                <w:p w14:paraId="5DC9BA2A">
                  <w:pPr>
                    <w:pStyle w:val="106"/>
                    <w:rPr>
                      <w:snapToGrid w:val="0"/>
                    </w:rPr>
                  </w:pPr>
                  <w:r>
                    <w:rPr>
                      <w:rFonts w:hint="eastAsia"/>
                      <w:snapToGrid w:val="0"/>
                    </w:rPr>
                    <w:t>100</w:t>
                  </w:r>
                </w:p>
              </w:tc>
              <w:tc>
                <w:tcPr>
                  <w:tcW w:w="1998" w:type="dxa"/>
                  <w:vAlign w:val="center"/>
                </w:tcPr>
                <w:p w14:paraId="48C8CF02">
                  <w:pPr>
                    <w:pStyle w:val="106"/>
                    <w:rPr>
                      <w:snapToGrid w:val="0"/>
                    </w:rPr>
                  </w:pPr>
                  <w:r>
                    <w:rPr>
                      <w:rFonts w:hint="eastAsia"/>
                      <w:snapToGrid w:val="0"/>
                    </w:rPr>
                    <w:t>0.002</w:t>
                  </w:r>
                </w:p>
              </w:tc>
            </w:tr>
            <w:tr w14:paraId="70DA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5288AD8D">
                  <w:pPr>
                    <w:pStyle w:val="106"/>
                    <w:rPr>
                      <w:snapToGrid w:val="0"/>
                    </w:rPr>
                  </w:pPr>
                  <w:r>
                    <w:rPr>
                      <w:rFonts w:hint="eastAsia"/>
                      <w:snapToGrid w:val="0"/>
                    </w:rPr>
                    <w:t>5</w:t>
                  </w:r>
                </w:p>
              </w:tc>
              <w:tc>
                <w:tcPr>
                  <w:tcW w:w="1739" w:type="dxa"/>
                  <w:vAlign w:val="center"/>
                </w:tcPr>
                <w:p w14:paraId="4755F1F4">
                  <w:pPr>
                    <w:adjustRightInd w:val="0"/>
                    <w:snapToGrid w:val="0"/>
                    <w:jc w:val="center"/>
                    <w:rPr>
                      <w:rFonts w:eastAsiaTheme="minorEastAsia"/>
                      <w:bCs/>
                      <w:szCs w:val="21"/>
                    </w:rPr>
                  </w:pPr>
                  <w:r>
                    <w:rPr>
                      <w:rFonts w:hAnsiTheme="minorEastAsia" w:eastAsiaTheme="minorEastAsia"/>
                      <w:kern w:val="0"/>
                      <w:szCs w:val="21"/>
                    </w:rPr>
                    <w:t>水基性胶粘剂</w:t>
                  </w:r>
                </w:p>
              </w:tc>
              <w:tc>
                <w:tcPr>
                  <w:tcW w:w="1924" w:type="dxa"/>
                  <w:vAlign w:val="center"/>
                </w:tcPr>
                <w:p w14:paraId="11554DEF">
                  <w:pPr>
                    <w:adjustRightInd w:val="0"/>
                    <w:snapToGrid w:val="0"/>
                    <w:jc w:val="center"/>
                    <w:rPr>
                      <w:rFonts w:eastAsiaTheme="minorEastAsia"/>
                      <w:bCs/>
                      <w:szCs w:val="21"/>
                    </w:rPr>
                  </w:pPr>
                  <w:r>
                    <w:rPr>
                      <w:rFonts w:eastAsiaTheme="minorEastAsia"/>
                      <w:bCs/>
                      <w:szCs w:val="21"/>
                    </w:rPr>
                    <w:t>25</w:t>
                  </w:r>
                </w:p>
              </w:tc>
              <w:tc>
                <w:tcPr>
                  <w:tcW w:w="1889" w:type="dxa"/>
                  <w:vAlign w:val="center"/>
                </w:tcPr>
                <w:p w14:paraId="529D3DB1">
                  <w:pPr>
                    <w:pStyle w:val="106"/>
                    <w:rPr>
                      <w:snapToGrid w:val="0"/>
                    </w:rPr>
                  </w:pPr>
                  <w:r>
                    <w:rPr>
                      <w:rFonts w:hint="eastAsia"/>
                      <w:snapToGrid w:val="0"/>
                    </w:rPr>
                    <w:t>100</w:t>
                  </w:r>
                </w:p>
              </w:tc>
              <w:tc>
                <w:tcPr>
                  <w:tcW w:w="1998" w:type="dxa"/>
                  <w:vAlign w:val="center"/>
                </w:tcPr>
                <w:p w14:paraId="4F89FDA4">
                  <w:pPr>
                    <w:pStyle w:val="106"/>
                    <w:rPr>
                      <w:snapToGrid w:val="0"/>
                    </w:rPr>
                  </w:pPr>
                  <w:r>
                    <w:rPr>
                      <w:rFonts w:hint="eastAsia"/>
                      <w:snapToGrid w:val="0"/>
                    </w:rPr>
                    <w:t>0.25</w:t>
                  </w:r>
                </w:p>
              </w:tc>
            </w:tr>
            <w:tr w14:paraId="655C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16AD7FF6">
                  <w:pPr>
                    <w:pStyle w:val="106"/>
                    <w:rPr>
                      <w:snapToGrid w:val="0"/>
                    </w:rPr>
                  </w:pPr>
                  <w:r>
                    <w:rPr>
                      <w:rFonts w:hint="eastAsia"/>
                      <w:snapToGrid w:val="0"/>
                    </w:rPr>
                    <w:t>6</w:t>
                  </w:r>
                </w:p>
              </w:tc>
              <w:tc>
                <w:tcPr>
                  <w:tcW w:w="1739" w:type="dxa"/>
                  <w:vAlign w:val="center"/>
                </w:tcPr>
                <w:p w14:paraId="3067451D">
                  <w:pPr>
                    <w:adjustRightInd w:val="0"/>
                    <w:snapToGrid w:val="0"/>
                    <w:jc w:val="center"/>
                    <w:rPr>
                      <w:rFonts w:eastAsiaTheme="minorEastAsia"/>
                      <w:bCs/>
                      <w:szCs w:val="21"/>
                    </w:rPr>
                  </w:pPr>
                  <w:r>
                    <w:rPr>
                      <w:rFonts w:hAnsiTheme="minorEastAsia" w:eastAsiaTheme="minorEastAsia"/>
                      <w:bCs/>
                      <w:szCs w:val="21"/>
                    </w:rPr>
                    <w:t>润滑油</w:t>
                  </w:r>
                </w:p>
              </w:tc>
              <w:tc>
                <w:tcPr>
                  <w:tcW w:w="1924" w:type="dxa"/>
                  <w:vAlign w:val="center"/>
                </w:tcPr>
                <w:p w14:paraId="3F511B0F">
                  <w:pPr>
                    <w:adjustRightInd w:val="0"/>
                    <w:snapToGrid w:val="0"/>
                    <w:jc w:val="center"/>
                    <w:rPr>
                      <w:rFonts w:eastAsiaTheme="minorEastAsia"/>
                      <w:bCs/>
                      <w:szCs w:val="21"/>
                    </w:rPr>
                  </w:pPr>
                  <w:r>
                    <w:rPr>
                      <w:rFonts w:eastAsiaTheme="minorEastAsia"/>
                      <w:bCs/>
                      <w:szCs w:val="21"/>
                    </w:rPr>
                    <w:t>0.17</w:t>
                  </w:r>
                </w:p>
              </w:tc>
              <w:tc>
                <w:tcPr>
                  <w:tcW w:w="1889" w:type="dxa"/>
                  <w:vAlign w:val="center"/>
                </w:tcPr>
                <w:p w14:paraId="43F7207B">
                  <w:pPr>
                    <w:pStyle w:val="106"/>
                    <w:rPr>
                      <w:snapToGrid w:val="0"/>
                    </w:rPr>
                  </w:pPr>
                  <w:r>
                    <w:rPr>
                      <w:rFonts w:hint="eastAsia"/>
                      <w:snapToGrid w:val="0"/>
                    </w:rPr>
                    <w:t>2500</w:t>
                  </w:r>
                </w:p>
              </w:tc>
              <w:tc>
                <w:tcPr>
                  <w:tcW w:w="1998" w:type="dxa"/>
                  <w:vAlign w:val="center"/>
                </w:tcPr>
                <w:p w14:paraId="6ABCA230">
                  <w:pPr>
                    <w:pStyle w:val="106"/>
                    <w:rPr>
                      <w:snapToGrid w:val="0"/>
                    </w:rPr>
                  </w:pPr>
                  <w:r>
                    <w:rPr>
                      <w:rFonts w:hint="eastAsia"/>
                      <w:snapToGrid w:val="0"/>
                    </w:rPr>
                    <w:t>0.000068</w:t>
                  </w:r>
                </w:p>
              </w:tc>
            </w:tr>
            <w:tr w14:paraId="038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3FC7285B">
                  <w:pPr>
                    <w:pStyle w:val="106"/>
                    <w:rPr>
                      <w:snapToGrid w:val="0"/>
                    </w:rPr>
                  </w:pPr>
                  <w:r>
                    <w:rPr>
                      <w:rFonts w:hint="eastAsia"/>
                      <w:snapToGrid w:val="0"/>
                    </w:rPr>
                    <w:t>7</w:t>
                  </w:r>
                </w:p>
              </w:tc>
              <w:tc>
                <w:tcPr>
                  <w:tcW w:w="1739" w:type="dxa"/>
                  <w:vAlign w:val="center"/>
                </w:tcPr>
                <w:p w14:paraId="0DD223DA">
                  <w:pPr>
                    <w:adjustRightInd w:val="0"/>
                    <w:snapToGrid w:val="0"/>
                    <w:jc w:val="center"/>
                    <w:rPr>
                      <w:rFonts w:eastAsiaTheme="minorEastAsia"/>
                      <w:bCs/>
                      <w:szCs w:val="21"/>
                    </w:rPr>
                  </w:pPr>
                  <w:r>
                    <w:rPr>
                      <w:rFonts w:hAnsiTheme="minorEastAsia" w:eastAsiaTheme="minorEastAsia"/>
                      <w:bCs/>
                      <w:szCs w:val="21"/>
                    </w:rPr>
                    <w:t>废润版液</w:t>
                  </w:r>
                </w:p>
              </w:tc>
              <w:tc>
                <w:tcPr>
                  <w:tcW w:w="1924" w:type="dxa"/>
                  <w:vAlign w:val="center"/>
                </w:tcPr>
                <w:p w14:paraId="1C8FA5CE">
                  <w:pPr>
                    <w:adjustRightInd w:val="0"/>
                    <w:snapToGrid w:val="0"/>
                    <w:jc w:val="center"/>
                    <w:rPr>
                      <w:rFonts w:eastAsiaTheme="minorEastAsia"/>
                      <w:bCs/>
                      <w:szCs w:val="21"/>
                    </w:rPr>
                  </w:pPr>
                  <w:r>
                    <w:rPr>
                      <w:rFonts w:eastAsiaTheme="minorEastAsia"/>
                      <w:bCs/>
                      <w:szCs w:val="21"/>
                    </w:rPr>
                    <w:t>1.6</w:t>
                  </w:r>
                </w:p>
              </w:tc>
              <w:tc>
                <w:tcPr>
                  <w:tcW w:w="1889" w:type="dxa"/>
                  <w:vAlign w:val="center"/>
                </w:tcPr>
                <w:p w14:paraId="46C0DA47">
                  <w:pPr>
                    <w:pStyle w:val="106"/>
                    <w:rPr>
                      <w:snapToGrid w:val="0"/>
                    </w:rPr>
                  </w:pPr>
                  <w:r>
                    <w:rPr>
                      <w:rFonts w:hint="eastAsia"/>
                      <w:snapToGrid w:val="0"/>
                    </w:rPr>
                    <w:t>100</w:t>
                  </w:r>
                </w:p>
              </w:tc>
              <w:tc>
                <w:tcPr>
                  <w:tcW w:w="1998" w:type="dxa"/>
                  <w:vAlign w:val="center"/>
                </w:tcPr>
                <w:p w14:paraId="1732E358">
                  <w:pPr>
                    <w:pStyle w:val="106"/>
                    <w:rPr>
                      <w:snapToGrid w:val="0"/>
                    </w:rPr>
                  </w:pPr>
                  <w:r>
                    <w:rPr>
                      <w:rFonts w:hint="eastAsia"/>
                      <w:snapToGrid w:val="0"/>
                    </w:rPr>
                    <w:t>0.016</w:t>
                  </w:r>
                </w:p>
              </w:tc>
            </w:tr>
            <w:tr w14:paraId="569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8" w:type="dxa"/>
                  <w:vAlign w:val="center"/>
                </w:tcPr>
                <w:p w14:paraId="5152FB19">
                  <w:pPr>
                    <w:pStyle w:val="106"/>
                    <w:rPr>
                      <w:snapToGrid w:val="0"/>
                    </w:rPr>
                  </w:pPr>
                  <w:r>
                    <w:rPr>
                      <w:rFonts w:hint="eastAsia"/>
                      <w:snapToGrid w:val="0"/>
                    </w:rPr>
                    <w:t>8</w:t>
                  </w:r>
                </w:p>
              </w:tc>
              <w:tc>
                <w:tcPr>
                  <w:tcW w:w="1739" w:type="dxa"/>
                  <w:vAlign w:val="center"/>
                </w:tcPr>
                <w:p w14:paraId="5CAEE48B">
                  <w:pPr>
                    <w:adjustRightInd w:val="0"/>
                    <w:snapToGrid w:val="0"/>
                    <w:jc w:val="center"/>
                    <w:rPr>
                      <w:rFonts w:eastAsiaTheme="minorEastAsia"/>
                      <w:bCs/>
                      <w:szCs w:val="21"/>
                    </w:rPr>
                  </w:pPr>
                  <w:r>
                    <w:rPr>
                      <w:rFonts w:hAnsiTheme="minorEastAsia" w:eastAsiaTheme="minorEastAsia"/>
                      <w:bCs/>
                      <w:szCs w:val="21"/>
                    </w:rPr>
                    <w:t>废润滑油</w:t>
                  </w:r>
                </w:p>
              </w:tc>
              <w:tc>
                <w:tcPr>
                  <w:tcW w:w="1924" w:type="dxa"/>
                  <w:vAlign w:val="center"/>
                </w:tcPr>
                <w:p w14:paraId="7768E35A">
                  <w:pPr>
                    <w:adjustRightInd w:val="0"/>
                    <w:snapToGrid w:val="0"/>
                    <w:jc w:val="center"/>
                    <w:rPr>
                      <w:rFonts w:eastAsiaTheme="minorEastAsia"/>
                      <w:bCs/>
                      <w:szCs w:val="21"/>
                    </w:rPr>
                  </w:pPr>
                  <w:r>
                    <w:rPr>
                      <w:rFonts w:hint="eastAsia" w:eastAsiaTheme="minorEastAsia"/>
                      <w:bCs/>
                      <w:szCs w:val="21"/>
                    </w:rPr>
                    <w:t>0.136</w:t>
                  </w:r>
                </w:p>
              </w:tc>
              <w:tc>
                <w:tcPr>
                  <w:tcW w:w="1889" w:type="dxa"/>
                  <w:vAlign w:val="center"/>
                </w:tcPr>
                <w:p w14:paraId="2A7CB1B9">
                  <w:pPr>
                    <w:pStyle w:val="106"/>
                    <w:rPr>
                      <w:snapToGrid w:val="0"/>
                    </w:rPr>
                  </w:pPr>
                  <w:r>
                    <w:rPr>
                      <w:rFonts w:hint="eastAsia"/>
                      <w:snapToGrid w:val="0"/>
                    </w:rPr>
                    <w:t>2500</w:t>
                  </w:r>
                </w:p>
              </w:tc>
              <w:tc>
                <w:tcPr>
                  <w:tcW w:w="1998" w:type="dxa"/>
                  <w:vAlign w:val="center"/>
                </w:tcPr>
                <w:p w14:paraId="6E093D4B">
                  <w:pPr>
                    <w:pStyle w:val="106"/>
                    <w:rPr>
                      <w:snapToGrid w:val="0"/>
                    </w:rPr>
                  </w:pPr>
                  <w:r>
                    <w:rPr>
                      <w:rFonts w:hint="eastAsia"/>
                      <w:snapToGrid w:val="0"/>
                    </w:rPr>
                    <w:t>0.0000544</w:t>
                  </w:r>
                </w:p>
              </w:tc>
            </w:tr>
            <w:tr w14:paraId="5211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70" w:type="dxa"/>
                  <w:gridSpan w:val="4"/>
                  <w:vAlign w:val="center"/>
                </w:tcPr>
                <w:p w14:paraId="356F27B5">
                  <w:pPr>
                    <w:pStyle w:val="106"/>
                    <w:rPr>
                      <w:snapToGrid w:val="0"/>
                    </w:rPr>
                  </w:pPr>
                  <w:r>
                    <w:rPr>
                      <w:snapToGrid w:val="0"/>
                    </w:rPr>
                    <w:t>∑</w:t>
                  </w:r>
                  <w:r>
                    <w:t>q</w:t>
                  </w:r>
                  <w:r>
                    <w:rPr>
                      <w:vertAlign w:val="subscript"/>
                    </w:rPr>
                    <w:t>n</w:t>
                  </w:r>
                  <w:r>
                    <w:t>/Q</w:t>
                  </w:r>
                  <w:r>
                    <w:rPr>
                      <w:vertAlign w:val="subscript"/>
                    </w:rPr>
                    <w:t>n</w:t>
                  </w:r>
                </w:p>
              </w:tc>
              <w:tc>
                <w:tcPr>
                  <w:tcW w:w="1998" w:type="dxa"/>
                  <w:vAlign w:val="center"/>
                </w:tcPr>
                <w:p w14:paraId="2BBD8A56">
                  <w:pPr>
                    <w:pStyle w:val="106"/>
                    <w:rPr>
                      <w:snapToGrid w:val="0"/>
                    </w:rPr>
                  </w:pPr>
                  <w:r>
                    <w:rPr>
                      <w:rFonts w:hint="eastAsia"/>
                      <w:snapToGrid w:val="0"/>
                    </w:rPr>
                    <w:t>0.2946224</w:t>
                  </w:r>
                </w:p>
              </w:tc>
            </w:tr>
          </w:tbl>
          <w:p w14:paraId="1A811309">
            <w:pPr>
              <w:adjustRightInd w:val="0"/>
              <w:snapToGrid w:val="0"/>
              <w:spacing w:line="440" w:lineRule="exact"/>
              <w:ind w:firstLine="480"/>
              <w:rPr>
                <w:sz w:val="24"/>
              </w:rPr>
            </w:pPr>
            <w:r>
              <w:rPr>
                <w:sz w:val="24"/>
              </w:rPr>
              <w:t>由上可知，本项目Q值小于1，项目风险潜势为</w:t>
            </w:r>
            <w:r>
              <w:rPr>
                <w:rFonts w:hint="eastAsia" w:ascii="宋体" w:hAnsi="宋体" w:cs="宋体"/>
                <w:sz w:val="24"/>
              </w:rPr>
              <w:t>Ⅰ</w:t>
            </w:r>
            <w:r>
              <w:rPr>
                <w:sz w:val="24"/>
              </w:rPr>
              <w:t>，根据《建设项目环境风险评价技术导则》(HJ169-2018)评价工作等级划分，本次环境风险评价为简单分析。</w:t>
            </w:r>
          </w:p>
          <w:p w14:paraId="0FB89597">
            <w:pPr>
              <w:adjustRightInd w:val="0"/>
              <w:snapToGrid w:val="0"/>
              <w:spacing w:line="440" w:lineRule="exact"/>
              <w:ind w:firstLine="480"/>
              <w:rPr>
                <w:b/>
                <w:bCs/>
                <w:sz w:val="24"/>
              </w:rPr>
            </w:pPr>
            <w:r>
              <w:rPr>
                <w:rFonts w:hint="eastAsia"/>
                <w:b/>
                <w:bCs/>
                <w:sz w:val="24"/>
              </w:rPr>
              <w:t>4.2.6.3</w:t>
            </w:r>
            <w:r>
              <w:rPr>
                <w:b/>
                <w:bCs/>
                <w:sz w:val="24"/>
              </w:rPr>
              <w:t xml:space="preserve"> 环境风险识别</w:t>
            </w:r>
          </w:p>
          <w:p w14:paraId="09F9B9B5">
            <w:pPr>
              <w:adjustRightInd w:val="0"/>
              <w:snapToGrid w:val="0"/>
              <w:spacing w:line="440" w:lineRule="exact"/>
              <w:ind w:firstLine="480"/>
              <w:rPr>
                <w:rFonts w:hAnsiTheme="minorEastAsia" w:eastAsiaTheme="minorEastAsia"/>
                <w:kern w:val="0"/>
                <w:sz w:val="24"/>
              </w:rPr>
            </w:pPr>
            <w:r>
              <w:rPr>
                <w:rFonts w:hint="eastAsia"/>
                <w:bCs/>
                <w:sz w:val="24"/>
              </w:rPr>
              <w:t>本项目主要危险物质涉及</w:t>
            </w:r>
            <w:r>
              <w:rPr>
                <w:rFonts w:hAnsiTheme="minorEastAsia" w:eastAsiaTheme="minorEastAsia"/>
                <w:kern w:val="0"/>
                <w:sz w:val="24"/>
              </w:rPr>
              <w:t>胶印油墨、水性光油、洗车水、</w:t>
            </w:r>
            <w:r>
              <w:rPr>
                <w:rFonts w:hint="eastAsia" w:hAnsiTheme="minorEastAsia" w:eastAsiaTheme="minorEastAsia"/>
                <w:kern w:val="0"/>
                <w:sz w:val="24"/>
              </w:rPr>
              <w:t>润版液</w:t>
            </w:r>
            <w:r>
              <w:rPr>
                <w:rFonts w:hAnsiTheme="minorEastAsia" w:eastAsiaTheme="minorEastAsia"/>
                <w:kern w:val="0"/>
                <w:sz w:val="24"/>
              </w:rPr>
              <w:t>、</w:t>
            </w:r>
            <w:r>
              <w:rPr>
                <w:rFonts w:hint="eastAsia" w:hAnsiTheme="minorEastAsia" w:eastAsiaTheme="minorEastAsia"/>
                <w:kern w:val="0"/>
                <w:sz w:val="24"/>
              </w:rPr>
              <w:t>水基性胶粘剂、润滑油、</w:t>
            </w:r>
            <w:r>
              <w:rPr>
                <w:rFonts w:hAnsiTheme="minorEastAsia" w:eastAsiaTheme="minorEastAsia"/>
                <w:kern w:val="0"/>
                <w:sz w:val="24"/>
              </w:rPr>
              <w:t>废润版液、废润滑油</w:t>
            </w:r>
            <w:r>
              <w:rPr>
                <w:rFonts w:hint="eastAsia" w:hAnsiTheme="minorEastAsia" w:eastAsiaTheme="minorEastAsia"/>
                <w:kern w:val="0"/>
                <w:sz w:val="24"/>
              </w:rPr>
              <w:t>等，其分布情况、可能影响环境的途径，见表4.2-24。</w:t>
            </w:r>
          </w:p>
          <w:p w14:paraId="2C81E0C1">
            <w:pPr>
              <w:adjustRightInd w:val="0"/>
              <w:snapToGrid w:val="0"/>
              <w:spacing w:line="440" w:lineRule="exact"/>
              <w:jc w:val="center"/>
              <w:rPr>
                <w:rFonts w:eastAsiaTheme="minorEastAsia"/>
                <w:b/>
                <w:bCs/>
                <w:szCs w:val="21"/>
              </w:rPr>
            </w:pPr>
            <w:r>
              <w:rPr>
                <w:rFonts w:hAnsiTheme="minorEastAsia" w:eastAsiaTheme="minorEastAsia"/>
                <w:b/>
                <w:kern w:val="0"/>
                <w:szCs w:val="21"/>
              </w:rPr>
              <w:t>表</w:t>
            </w:r>
            <w:r>
              <w:rPr>
                <w:rFonts w:eastAsiaTheme="minorEastAsia"/>
                <w:b/>
                <w:kern w:val="0"/>
                <w:szCs w:val="21"/>
              </w:rPr>
              <w:t xml:space="preserve">4.2-24 </w:t>
            </w:r>
            <w:r>
              <w:rPr>
                <w:rFonts w:hAnsiTheme="minorEastAsia" w:eastAsiaTheme="minorEastAsia"/>
                <w:b/>
                <w:kern w:val="0"/>
                <w:szCs w:val="21"/>
              </w:rPr>
              <w:t>建设项目环境风险识别表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03"/>
              <w:gridCol w:w="1417"/>
              <w:gridCol w:w="1276"/>
              <w:gridCol w:w="850"/>
              <w:gridCol w:w="851"/>
              <w:gridCol w:w="1701"/>
              <w:gridCol w:w="1144"/>
            </w:tblGrid>
            <w:tr w14:paraId="0BC7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ED359A4">
                  <w:pPr>
                    <w:adjustRightInd w:val="0"/>
                    <w:snapToGrid w:val="0"/>
                    <w:jc w:val="center"/>
                    <w:rPr>
                      <w:rFonts w:eastAsiaTheme="minorEastAsia"/>
                      <w:bCs/>
                      <w:szCs w:val="21"/>
                    </w:rPr>
                  </w:pPr>
                  <w:r>
                    <w:rPr>
                      <w:rFonts w:hAnsiTheme="minorEastAsia" w:eastAsiaTheme="minorEastAsia"/>
                      <w:bCs/>
                      <w:szCs w:val="21"/>
                    </w:rPr>
                    <w:t>序号</w:t>
                  </w:r>
                </w:p>
              </w:tc>
              <w:tc>
                <w:tcPr>
                  <w:tcW w:w="703" w:type="dxa"/>
                  <w:vAlign w:val="center"/>
                </w:tcPr>
                <w:p w14:paraId="4C05B6F2">
                  <w:pPr>
                    <w:adjustRightInd w:val="0"/>
                    <w:snapToGrid w:val="0"/>
                    <w:jc w:val="center"/>
                    <w:rPr>
                      <w:rFonts w:eastAsiaTheme="minorEastAsia"/>
                      <w:bCs/>
                      <w:szCs w:val="21"/>
                    </w:rPr>
                  </w:pPr>
                  <w:r>
                    <w:rPr>
                      <w:rFonts w:hAnsiTheme="minorEastAsia" w:eastAsiaTheme="minorEastAsia"/>
                      <w:bCs/>
                      <w:szCs w:val="21"/>
                    </w:rPr>
                    <w:t>危险单元</w:t>
                  </w:r>
                </w:p>
              </w:tc>
              <w:tc>
                <w:tcPr>
                  <w:tcW w:w="1417" w:type="dxa"/>
                  <w:vAlign w:val="center"/>
                </w:tcPr>
                <w:p w14:paraId="6C3AD0C6">
                  <w:pPr>
                    <w:adjustRightInd w:val="0"/>
                    <w:snapToGrid w:val="0"/>
                    <w:jc w:val="center"/>
                    <w:rPr>
                      <w:rFonts w:eastAsiaTheme="minorEastAsia"/>
                      <w:bCs/>
                      <w:szCs w:val="21"/>
                    </w:rPr>
                  </w:pPr>
                  <w:r>
                    <w:rPr>
                      <w:rFonts w:hAnsiTheme="minorEastAsia" w:eastAsiaTheme="minorEastAsia"/>
                      <w:bCs/>
                      <w:szCs w:val="21"/>
                    </w:rPr>
                    <w:t>风险源</w:t>
                  </w:r>
                </w:p>
              </w:tc>
              <w:tc>
                <w:tcPr>
                  <w:tcW w:w="1276" w:type="dxa"/>
                  <w:vAlign w:val="center"/>
                </w:tcPr>
                <w:p w14:paraId="2B8C5644">
                  <w:pPr>
                    <w:adjustRightInd w:val="0"/>
                    <w:snapToGrid w:val="0"/>
                    <w:jc w:val="center"/>
                    <w:rPr>
                      <w:rFonts w:eastAsiaTheme="minorEastAsia"/>
                      <w:bCs/>
                      <w:szCs w:val="21"/>
                    </w:rPr>
                  </w:pPr>
                  <w:r>
                    <w:rPr>
                      <w:rFonts w:hAnsiTheme="minorEastAsia" w:eastAsiaTheme="minorEastAsia"/>
                      <w:bCs/>
                      <w:szCs w:val="21"/>
                    </w:rPr>
                    <w:t>主要危险物质</w:t>
                  </w:r>
                </w:p>
              </w:tc>
              <w:tc>
                <w:tcPr>
                  <w:tcW w:w="850" w:type="dxa"/>
                  <w:vAlign w:val="center"/>
                </w:tcPr>
                <w:p w14:paraId="1CE5278C">
                  <w:pPr>
                    <w:adjustRightInd w:val="0"/>
                    <w:snapToGrid w:val="0"/>
                    <w:jc w:val="center"/>
                    <w:rPr>
                      <w:rFonts w:eastAsiaTheme="minorEastAsia"/>
                      <w:bCs/>
                      <w:szCs w:val="21"/>
                    </w:rPr>
                  </w:pPr>
                  <w:r>
                    <w:rPr>
                      <w:rFonts w:hAnsiTheme="minorEastAsia" w:eastAsiaTheme="minorEastAsia"/>
                      <w:bCs/>
                      <w:szCs w:val="21"/>
                    </w:rPr>
                    <w:t>环境风险类型</w:t>
                  </w:r>
                </w:p>
              </w:tc>
              <w:tc>
                <w:tcPr>
                  <w:tcW w:w="851" w:type="dxa"/>
                  <w:vAlign w:val="center"/>
                </w:tcPr>
                <w:p w14:paraId="622BDC0C">
                  <w:pPr>
                    <w:adjustRightInd w:val="0"/>
                    <w:snapToGrid w:val="0"/>
                    <w:jc w:val="center"/>
                    <w:rPr>
                      <w:rFonts w:eastAsiaTheme="minorEastAsia"/>
                      <w:bCs/>
                      <w:szCs w:val="21"/>
                    </w:rPr>
                  </w:pPr>
                  <w:r>
                    <w:rPr>
                      <w:rFonts w:hAnsiTheme="minorEastAsia" w:eastAsiaTheme="minorEastAsia"/>
                      <w:bCs/>
                      <w:szCs w:val="21"/>
                    </w:rPr>
                    <w:t>环境影响途径</w:t>
                  </w:r>
                </w:p>
              </w:tc>
              <w:tc>
                <w:tcPr>
                  <w:tcW w:w="1701" w:type="dxa"/>
                  <w:vAlign w:val="center"/>
                </w:tcPr>
                <w:p w14:paraId="70F8BED4">
                  <w:pPr>
                    <w:adjustRightInd w:val="0"/>
                    <w:snapToGrid w:val="0"/>
                    <w:jc w:val="center"/>
                    <w:rPr>
                      <w:rFonts w:eastAsiaTheme="minorEastAsia"/>
                      <w:bCs/>
                      <w:szCs w:val="21"/>
                    </w:rPr>
                  </w:pPr>
                  <w:r>
                    <w:rPr>
                      <w:rFonts w:hAnsiTheme="minorEastAsia" w:eastAsiaTheme="minorEastAsia"/>
                      <w:bCs/>
                      <w:szCs w:val="21"/>
                    </w:rPr>
                    <w:t>可能受影响的环境敏感目标</w:t>
                  </w:r>
                </w:p>
              </w:tc>
              <w:tc>
                <w:tcPr>
                  <w:tcW w:w="1144" w:type="dxa"/>
                  <w:vAlign w:val="center"/>
                </w:tcPr>
                <w:p w14:paraId="371A8F90">
                  <w:pPr>
                    <w:adjustRightInd w:val="0"/>
                    <w:snapToGrid w:val="0"/>
                    <w:jc w:val="center"/>
                    <w:rPr>
                      <w:rFonts w:eastAsiaTheme="minorEastAsia"/>
                      <w:bCs/>
                      <w:szCs w:val="21"/>
                    </w:rPr>
                  </w:pPr>
                  <w:r>
                    <w:rPr>
                      <w:rFonts w:hAnsiTheme="minorEastAsia" w:eastAsiaTheme="minorEastAsia"/>
                      <w:bCs/>
                      <w:szCs w:val="21"/>
                    </w:rPr>
                    <w:t>备注</w:t>
                  </w:r>
                </w:p>
              </w:tc>
            </w:tr>
            <w:tr w14:paraId="7D8F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496D54D">
                  <w:pPr>
                    <w:adjustRightInd w:val="0"/>
                    <w:snapToGrid w:val="0"/>
                    <w:jc w:val="center"/>
                    <w:rPr>
                      <w:rFonts w:eastAsiaTheme="minorEastAsia"/>
                      <w:bCs/>
                      <w:szCs w:val="21"/>
                    </w:rPr>
                  </w:pPr>
                  <w:r>
                    <w:rPr>
                      <w:rFonts w:eastAsiaTheme="minorEastAsia"/>
                      <w:bCs/>
                      <w:szCs w:val="21"/>
                    </w:rPr>
                    <w:t>1</w:t>
                  </w:r>
                </w:p>
              </w:tc>
              <w:tc>
                <w:tcPr>
                  <w:tcW w:w="703" w:type="dxa"/>
                  <w:vAlign w:val="center"/>
                </w:tcPr>
                <w:p w14:paraId="0EA038BF">
                  <w:pPr>
                    <w:adjustRightInd w:val="0"/>
                    <w:snapToGrid w:val="0"/>
                    <w:jc w:val="center"/>
                    <w:rPr>
                      <w:rFonts w:eastAsiaTheme="minorEastAsia"/>
                      <w:bCs/>
                      <w:szCs w:val="21"/>
                    </w:rPr>
                  </w:pPr>
                  <w:r>
                    <w:rPr>
                      <w:rFonts w:hAnsiTheme="minorEastAsia" w:eastAsiaTheme="minorEastAsia"/>
                      <w:bCs/>
                      <w:szCs w:val="21"/>
                    </w:rPr>
                    <w:t>化学品存放间</w:t>
                  </w:r>
                </w:p>
              </w:tc>
              <w:tc>
                <w:tcPr>
                  <w:tcW w:w="1417" w:type="dxa"/>
                  <w:vAlign w:val="center"/>
                </w:tcPr>
                <w:p w14:paraId="6D202F21">
                  <w:pPr>
                    <w:adjustRightInd w:val="0"/>
                    <w:snapToGrid w:val="0"/>
                    <w:jc w:val="center"/>
                    <w:rPr>
                      <w:rFonts w:eastAsiaTheme="minorEastAsia"/>
                      <w:bCs/>
                      <w:szCs w:val="21"/>
                    </w:rPr>
                  </w:pPr>
                  <w:r>
                    <w:rPr>
                      <w:rFonts w:hAnsiTheme="minorEastAsia" w:eastAsiaTheme="minorEastAsia"/>
                      <w:kern w:val="0"/>
                      <w:szCs w:val="21"/>
                    </w:rPr>
                    <w:t>胶印油墨、水性光油、洗车水、润版液、水基性胶粘剂、润滑油</w:t>
                  </w:r>
                </w:p>
              </w:tc>
              <w:tc>
                <w:tcPr>
                  <w:tcW w:w="1276" w:type="dxa"/>
                  <w:vAlign w:val="center"/>
                </w:tcPr>
                <w:p w14:paraId="095CE628">
                  <w:pPr>
                    <w:adjustRightInd w:val="0"/>
                    <w:snapToGrid w:val="0"/>
                    <w:jc w:val="center"/>
                    <w:rPr>
                      <w:rFonts w:eastAsiaTheme="minorEastAsia"/>
                      <w:bCs/>
                      <w:szCs w:val="21"/>
                    </w:rPr>
                  </w:pPr>
                  <w:r>
                    <w:rPr>
                      <w:rFonts w:hAnsiTheme="minorEastAsia" w:eastAsiaTheme="minorEastAsia"/>
                      <w:kern w:val="0"/>
                      <w:szCs w:val="21"/>
                    </w:rPr>
                    <w:t>胶印油墨、水性光油、洗车水、润版液、水基性胶粘剂、润滑油</w:t>
                  </w:r>
                </w:p>
              </w:tc>
              <w:tc>
                <w:tcPr>
                  <w:tcW w:w="850" w:type="dxa"/>
                  <w:vAlign w:val="center"/>
                </w:tcPr>
                <w:p w14:paraId="5916D08D">
                  <w:pPr>
                    <w:adjustRightInd w:val="0"/>
                    <w:snapToGrid w:val="0"/>
                    <w:jc w:val="center"/>
                    <w:rPr>
                      <w:rFonts w:eastAsiaTheme="minorEastAsia"/>
                      <w:bCs/>
                      <w:szCs w:val="21"/>
                    </w:rPr>
                  </w:pPr>
                  <w:r>
                    <w:rPr>
                      <w:rFonts w:hAnsiTheme="minorEastAsia" w:eastAsiaTheme="minorEastAsia"/>
                      <w:bCs/>
                      <w:szCs w:val="21"/>
                    </w:rPr>
                    <w:t>火灾、泄漏</w:t>
                  </w:r>
                </w:p>
              </w:tc>
              <w:tc>
                <w:tcPr>
                  <w:tcW w:w="851" w:type="dxa"/>
                  <w:vAlign w:val="center"/>
                </w:tcPr>
                <w:p w14:paraId="3CA14C6D">
                  <w:pPr>
                    <w:adjustRightInd w:val="0"/>
                    <w:snapToGrid w:val="0"/>
                    <w:jc w:val="center"/>
                    <w:rPr>
                      <w:rFonts w:eastAsiaTheme="minorEastAsia"/>
                      <w:bCs/>
                      <w:szCs w:val="21"/>
                    </w:rPr>
                  </w:pPr>
                  <w:r>
                    <w:rPr>
                      <w:rFonts w:eastAsiaTheme="minorEastAsia"/>
                      <w:bCs/>
                      <w:szCs w:val="21"/>
                    </w:rPr>
                    <w:t>/</w:t>
                  </w:r>
                </w:p>
              </w:tc>
              <w:tc>
                <w:tcPr>
                  <w:tcW w:w="1701" w:type="dxa"/>
                  <w:vAlign w:val="center"/>
                </w:tcPr>
                <w:p w14:paraId="47BEA42B">
                  <w:pPr>
                    <w:adjustRightInd w:val="0"/>
                    <w:snapToGrid w:val="0"/>
                    <w:jc w:val="center"/>
                    <w:rPr>
                      <w:rFonts w:eastAsiaTheme="minorEastAsia"/>
                      <w:bCs/>
                      <w:szCs w:val="21"/>
                    </w:rPr>
                  </w:pPr>
                  <w:r>
                    <w:rPr>
                      <w:rFonts w:hAnsiTheme="minorEastAsia" w:eastAsiaTheme="minorEastAsia"/>
                      <w:bCs/>
                      <w:szCs w:val="21"/>
                    </w:rPr>
                    <w:t>土壤、地表水、地下水</w:t>
                  </w:r>
                </w:p>
              </w:tc>
              <w:tc>
                <w:tcPr>
                  <w:tcW w:w="1144" w:type="dxa"/>
                  <w:vMerge w:val="restart"/>
                  <w:vAlign w:val="center"/>
                </w:tcPr>
                <w:p w14:paraId="6BE94466">
                  <w:pPr>
                    <w:autoSpaceDE w:val="0"/>
                    <w:autoSpaceDN w:val="0"/>
                    <w:adjustRightInd w:val="0"/>
                    <w:jc w:val="center"/>
                    <w:rPr>
                      <w:rFonts w:eastAsiaTheme="minorEastAsia"/>
                      <w:kern w:val="0"/>
                      <w:szCs w:val="21"/>
                    </w:rPr>
                  </w:pPr>
                  <w:r>
                    <w:rPr>
                      <w:rFonts w:hAnsiTheme="minorEastAsia" w:eastAsiaTheme="minorEastAsia"/>
                      <w:kern w:val="0"/>
                      <w:szCs w:val="21"/>
                    </w:rPr>
                    <w:t>本项目严格采取了分区防渗措施，危废间等重</w:t>
                  </w:r>
                </w:p>
                <w:p w14:paraId="6C5F686A">
                  <w:pPr>
                    <w:autoSpaceDE w:val="0"/>
                    <w:autoSpaceDN w:val="0"/>
                    <w:adjustRightInd w:val="0"/>
                    <w:jc w:val="center"/>
                    <w:rPr>
                      <w:rFonts w:eastAsiaTheme="minorEastAsia"/>
                      <w:bCs/>
                      <w:szCs w:val="21"/>
                    </w:rPr>
                  </w:pPr>
                  <w:r>
                    <w:rPr>
                      <w:rFonts w:hAnsiTheme="minorEastAsia" w:eastAsiaTheme="minorEastAsia"/>
                      <w:kern w:val="0"/>
                      <w:szCs w:val="21"/>
                    </w:rPr>
                    <w:t>点防渗区采取了</w:t>
                  </w:r>
                  <w:r>
                    <w:rPr>
                      <w:rFonts w:eastAsiaTheme="minorEastAsia"/>
                      <w:kern w:val="0"/>
                      <w:szCs w:val="21"/>
                    </w:rPr>
                    <w:t>“</w:t>
                  </w:r>
                  <w:r>
                    <w:rPr>
                      <w:rFonts w:hAnsiTheme="minorEastAsia" w:eastAsiaTheme="minorEastAsia"/>
                      <w:kern w:val="0"/>
                      <w:szCs w:val="21"/>
                    </w:rPr>
                    <w:t>四防措施</w:t>
                  </w:r>
                  <w:r>
                    <w:rPr>
                      <w:rFonts w:eastAsiaTheme="minorEastAsia"/>
                      <w:kern w:val="0"/>
                      <w:szCs w:val="21"/>
                    </w:rPr>
                    <w:t>”</w:t>
                  </w:r>
                  <w:r>
                    <w:rPr>
                      <w:rFonts w:hAnsiTheme="minorEastAsia" w:eastAsiaTheme="minorEastAsia"/>
                      <w:kern w:val="0"/>
                      <w:szCs w:val="21"/>
                    </w:rPr>
                    <w:t>。</w:t>
                  </w:r>
                </w:p>
              </w:tc>
            </w:tr>
            <w:tr w14:paraId="01BD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E335D94">
                  <w:pPr>
                    <w:adjustRightInd w:val="0"/>
                    <w:snapToGrid w:val="0"/>
                    <w:jc w:val="center"/>
                    <w:rPr>
                      <w:rFonts w:eastAsiaTheme="minorEastAsia"/>
                      <w:bCs/>
                      <w:szCs w:val="21"/>
                    </w:rPr>
                  </w:pPr>
                  <w:r>
                    <w:rPr>
                      <w:rFonts w:eastAsiaTheme="minorEastAsia"/>
                      <w:bCs/>
                      <w:szCs w:val="21"/>
                    </w:rPr>
                    <w:t>2</w:t>
                  </w:r>
                </w:p>
              </w:tc>
              <w:tc>
                <w:tcPr>
                  <w:tcW w:w="703" w:type="dxa"/>
                  <w:vAlign w:val="center"/>
                </w:tcPr>
                <w:p w14:paraId="2DB9FA2A">
                  <w:pPr>
                    <w:adjustRightInd w:val="0"/>
                    <w:snapToGrid w:val="0"/>
                    <w:jc w:val="center"/>
                    <w:rPr>
                      <w:rFonts w:eastAsiaTheme="minorEastAsia"/>
                      <w:bCs/>
                      <w:szCs w:val="21"/>
                    </w:rPr>
                  </w:pPr>
                  <w:r>
                    <w:rPr>
                      <w:rFonts w:hAnsiTheme="minorEastAsia" w:eastAsiaTheme="minorEastAsia"/>
                      <w:bCs/>
                      <w:szCs w:val="21"/>
                    </w:rPr>
                    <w:t>危废暂存间</w:t>
                  </w:r>
                </w:p>
              </w:tc>
              <w:tc>
                <w:tcPr>
                  <w:tcW w:w="1417" w:type="dxa"/>
                  <w:vAlign w:val="center"/>
                </w:tcPr>
                <w:p w14:paraId="47EC6C59">
                  <w:pPr>
                    <w:adjustRightInd w:val="0"/>
                    <w:snapToGrid w:val="0"/>
                    <w:jc w:val="center"/>
                    <w:rPr>
                      <w:rFonts w:eastAsiaTheme="minorEastAsia"/>
                      <w:bCs/>
                      <w:szCs w:val="21"/>
                    </w:rPr>
                  </w:pPr>
                  <w:r>
                    <w:rPr>
                      <w:rFonts w:hAnsiTheme="minorEastAsia" w:eastAsiaTheme="minorEastAsia"/>
                      <w:bCs/>
                      <w:szCs w:val="21"/>
                    </w:rPr>
                    <w:t>危险废物</w:t>
                  </w:r>
                </w:p>
              </w:tc>
              <w:tc>
                <w:tcPr>
                  <w:tcW w:w="1276" w:type="dxa"/>
                  <w:vAlign w:val="center"/>
                </w:tcPr>
                <w:p w14:paraId="2D0ACE9B">
                  <w:pPr>
                    <w:adjustRightInd w:val="0"/>
                    <w:snapToGrid w:val="0"/>
                    <w:jc w:val="center"/>
                    <w:rPr>
                      <w:rFonts w:eastAsiaTheme="minorEastAsia"/>
                      <w:bCs/>
                      <w:szCs w:val="21"/>
                    </w:rPr>
                  </w:pPr>
                  <w:r>
                    <w:rPr>
                      <w:rFonts w:hAnsiTheme="minorEastAsia" w:eastAsiaTheme="minorEastAsia"/>
                      <w:kern w:val="0"/>
                      <w:szCs w:val="21"/>
                    </w:rPr>
                    <w:t>废润版液、废润滑油</w:t>
                  </w:r>
                </w:p>
              </w:tc>
              <w:tc>
                <w:tcPr>
                  <w:tcW w:w="850" w:type="dxa"/>
                  <w:vAlign w:val="center"/>
                </w:tcPr>
                <w:p w14:paraId="224B7F85">
                  <w:pPr>
                    <w:adjustRightInd w:val="0"/>
                    <w:snapToGrid w:val="0"/>
                    <w:jc w:val="center"/>
                    <w:rPr>
                      <w:rFonts w:eastAsiaTheme="minorEastAsia"/>
                      <w:bCs/>
                      <w:szCs w:val="21"/>
                    </w:rPr>
                  </w:pPr>
                  <w:r>
                    <w:rPr>
                      <w:rFonts w:hAnsiTheme="minorEastAsia" w:eastAsiaTheme="minorEastAsia"/>
                      <w:bCs/>
                      <w:szCs w:val="21"/>
                    </w:rPr>
                    <w:t>火灾、泄漏</w:t>
                  </w:r>
                </w:p>
              </w:tc>
              <w:tc>
                <w:tcPr>
                  <w:tcW w:w="851" w:type="dxa"/>
                  <w:vAlign w:val="center"/>
                </w:tcPr>
                <w:p w14:paraId="54B5653F">
                  <w:pPr>
                    <w:adjustRightInd w:val="0"/>
                    <w:snapToGrid w:val="0"/>
                    <w:jc w:val="center"/>
                    <w:rPr>
                      <w:rFonts w:eastAsiaTheme="minorEastAsia"/>
                      <w:bCs/>
                      <w:szCs w:val="21"/>
                    </w:rPr>
                  </w:pPr>
                  <w:r>
                    <w:rPr>
                      <w:rFonts w:eastAsiaTheme="minorEastAsia"/>
                      <w:bCs/>
                      <w:szCs w:val="21"/>
                    </w:rPr>
                    <w:t>/</w:t>
                  </w:r>
                </w:p>
              </w:tc>
              <w:tc>
                <w:tcPr>
                  <w:tcW w:w="1701" w:type="dxa"/>
                  <w:vAlign w:val="center"/>
                </w:tcPr>
                <w:p w14:paraId="0EA82E23">
                  <w:pPr>
                    <w:adjustRightInd w:val="0"/>
                    <w:snapToGrid w:val="0"/>
                    <w:jc w:val="center"/>
                    <w:rPr>
                      <w:rFonts w:eastAsiaTheme="minorEastAsia"/>
                      <w:bCs/>
                      <w:szCs w:val="21"/>
                    </w:rPr>
                  </w:pPr>
                  <w:r>
                    <w:rPr>
                      <w:rFonts w:hAnsiTheme="minorEastAsia" w:eastAsiaTheme="minorEastAsia"/>
                      <w:bCs/>
                      <w:szCs w:val="21"/>
                    </w:rPr>
                    <w:t>土壤、地表水、地下水</w:t>
                  </w:r>
                </w:p>
              </w:tc>
              <w:tc>
                <w:tcPr>
                  <w:tcW w:w="1144" w:type="dxa"/>
                  <w:vMerge w:val="continue"/>
                  <w:vAlign w:val="center"/>
                </w:tcPr>
                <w:p w14:paraId="0E81405D">
                  <w:pPr>
                    <w:adjustRightInd w:val="0"/>
                    <w:snapToGrid w:val="0"/>
                    <w:jc w:val="center"/>
                    <w:rPr>
                      <w:rFonts w:eastAsiaTheme="minorEastAsia"/>
                      <w:bCs/>
                      <w:szCs w:val="21"/>
                    </w:rPr>
                  </w:pPr>
                </w:p>
              </w:tc>
            </w:tr>
          </w:tbl>
          <w:p w14:paraId="3D5CFB23">
            <w:pPr>
              <w:adjustRightInd w:val="0"/>
              <w:snapToGrid w:val="0"/>
              <w:spacing w:line="440" w:lineRule="exact"/>
              <w:ind w:firstLine="480"/>
              <w:rPr>
                <w:b/>
                <w:bCs/>
                <w:sz w:val="24"/>
              </w:rPr>
            </w:pPr>
            <w:r>
              <w:rPr>
                <w:rFonts w:hint="eastAsia"/>
                <w:b/>
                <w:bCs/>
                <w:sz w:val="24"/>
              </w:rPr>
              <w:t>4.2.6.4</w:t>
            </w:r>
            <w:r>
              <w:rPr>
                <w:b/>
                <w:bCs/>
                <w:sz w:val="24"/>
              </w:rPr>
              <w:t xml:space="preserve"> 环境风险</w:t>
            </w:r>
            <w:r>
              <w:rPr>
                <w:rFonts w:hint="eastAsia"/>
                <w:b/>
                <w:bCs/>
                <w:sz w:val="24"/>
              </w:rPr>
              <w:t>防范措施及应急要求</w:t>
            </w:r>
          </w:p>
          <w:p w14:paraId="4EA0F407">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1</w:t>
            </w:r>
            <w:r>
              <w:rPr>
                <w:rFonts w:hAnsiTheme="minorEastAsia" w:eastAsiaTheme="minorEastAsia"/>
                <w:kern w:val="0"/>
                <w:sz w:val="24"/>
              </w:rPr>
              <w:t>、</w:t>
            </w:r>
            <w:r>
              <w:rPr>
                <w:rFonts w:hint="eastAsia" w:hAnsiTheme="minorEastAsia" w:eastAsiaTheme="minorEastAsia"/>
                <w:kern w:val="0"/>
                <w:sz w:val="24"/>
              </w:rPr>
              <w:t>化学品存放间</w:t>
            </w:r>
            <w:r>
              <w:rPr>
                <w:rFonts w:hAnsiTheme="minorEastAsia" w:eastAsiaTheme="minorEastAsia"/>
                <w:kern w:val="0"/>
                <w:sz w:val="24"/>
              </w:rPr>
              <w:t>，胶印油墨、水性光油、洗车水、润版液、水基性胶粘剂、润滑油等化学品均存储于</w:t>
            </w:r>
            <w:r>
              <w:rPr>
                <w:rFonts w:hint="eastAsia" w:hAnsiTheme="minorEastAsia" w:eastAsiaTheme="minorEastAsia"/>
                <w:kern w:val="0"/>
                <w:sz w:val="24"/>
              </w:rPr>
              <w:t>化学品存放间</w:t>
            </w:r>
            <w:r>
              <w:rPr>
                <w:rFonts w:hAnsiTheme="minorEastAsia" w:eastAsiaTheme="minorEastAsia"/>
                <w:kern w:val="0"/>
                <w:sz w:val="24"/>
              </w:rPr>
              <w:t>。各种物料在</w:t>
            </w:r>
            <w:r>
              <w:rPr>
                <w:rFonts w:hint="eastAsia" w:hAnsiTheme="minorEastAsia" w:eastAsiaTheme="minorEastAsia"/>
                <w:kern w:val="0"/>
                <w:sz w:val="24"/>
              </w:rPr>
              <w:t>化学品存放间</w:t>
            </w:r>
            <w:r>
              <w:rPr>
                <w:rFonts w:hAnsiTheme="minorEastAsia" w:eastAsiaTheme="minorEastAsia"/>
                <w:kern w:val="0"/>
                <w:sz w:val="24"/>
              </w:rPr>
              <w:t>内进行分区储存，并对地面采用环氧漆做防腐防渗处理。为了防止液体物料泄漏出</w:t>
            </w:r>
            <w:r>
              <w:rPr>
                <w:rFonts w:hint="eastAsia" w:hAnsiTheme="minorEastAsia" w:eastAsiaTheme="minorEastAsia"/>
                <w:kern w:val="0"/>
                <w:sz w:val="24"/>
              </w:rPr>
              <w:t>化学品存放间</w:t>
            </w:r>
            <w:r>
              <w:rPr>
                <w:rFonts w:hAnsiTheme="minorEastAsia" w:eastAsiaTheme="minorEastAsia"/>
                <w:kern w:val="0"/>
                <w:sz w:val="24"/>
              </w:rPr>
              <w:t>，</w:t>
            </w:r>
            <w:r>
              <w:rPr>
                <w:rFonts w:hint="eastAsia" w:hAnsiTheme="minorEastAsia" w:eastAsiaTheme="minorEastAsia"/>
                <w:kern w:val="0"/>
                <w:sz w:val="24"/>
              </w:rPr>
              <w:t>化学品存放间</w:t>
            </w:r>
            <w:r>
              <w:rPr>
                <w:rFonts w:hAnsiTheme="minorEastAsia" w:eastAsiaTheme="minorEastAsia"/>
                <w:kern w:val="0"/>
                <w:sz w:val="24"/>
              </w:rPr>
              <w:t>四周应设置围堰及环形收集沟，两个环形收集沟交汇处设置收集井，便于对</w:t>
            </w:r>
            <w:r>
              <w:rPr>
                <w:rFonts w:hint="eastAsia" w:hAnsiTheme="minorEastAsia" w:eastAsiaTheme="minorEastAsia"/>
                <w:kern w:val="0"/>
                <w:sz w:val="24"/>
                <w:lang w:eastAsia="zh-CN"/>
              </w:rPr>
              <w:t>泄漏</w:t>
            </w:r>
            <w:r>
              <w:rPr>
                <w:rFonts w:hAnsiTheme="minorEastAsia" w:eastAsiaTheme="minorEastAsia"/>
                <w:kern w:val="0"/>
                <w:sz w:val="24"/>
              </w:rPr>
              <w:t>液体物料的收集和转移。同时厂房内应长期储备足量消防沙，当出现油墨、洗车水等物料泄漏事故时及时用砂土吸附处理。当发生物料泄漏时，应立即切断火源，隔离泄漏污染区，严格限制人员出入。同时向主管负责人报告。查找并切断泄漏源，防止进入下水道，应急处理人员应佩戴正压式呼吸器，穿防静电消防防护服。</w:t>
            </w:r>
          </w:p>
          <w:p w14:paraId="477BE2D2">
            <w:pPr>
              <w:autoSpaceDE w:val="0"/>
              <w:autoSpaceDN w:val="0"/>
              <w:adjustRightInd w:val="0"/>
              <w:spacing w:line="480" w:lineRule="exact"/>
              <w:ind w:firstLine="480" w:firstLineChars="200"/>
              <w:jc w:val="left"/>
              <w:rPr>
                <w:rFonts w:eastAsiaTheme="minorEastAsia"/>
                <w:kern w:val="0"/>
                <w:sz w:val="24"/>
              </w:rPr>
            </w:pPr>
            <w:r>
              <w:rPr>
                <w:rFonts w:hAnsiTheme="minorEastAsia" w:eastAsiaTheme="minorEastAsia"/>
                <w:kern w:val="0"/>
                <w:sz w:val="24"/>
              </w:rPr>
              <w:t>针对小量和大量泄漏情况，具体应急处置如下：</w:t>
            </w:r>
          </w:p>
          <w:p w14:paraId="7F2E6C4A">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A</w:t>
            </w:r>
            <w:r>
              <w:rPr>
                <w:rFonts w:hAnsiTheme="minorEastAsia" w:eastAsiaTheme="minorEastAsia"/>
                <w:kern w:val="0"/>
                <w:sz w:val="24"/>
              </w:rPr>
              <w:t>、小量泄漏应急处置：将溢流液体引入环形收集沟，并利用收集井对液体进行汇集，再转移到该容器内，用砂土、活性炭或其它惰性材料吸收残液，也可用不燃性分散剂制成的乳液或肥皂水、洗涤剂洗刷，并使用装置将废液等全部收集专用容器中，与使用过的吸附物一起，按照危险废物进行委外处理。</w:t>
            </w:r>
          </w:p>
          <w:p w14:paraId="4F36F65E">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B</w:t>
            </w:r>
            <w:r>
              <w:rPr>
                <w:rFonts w:hAnsiTheme="minorEastAsia" w:eastAsiaTheme="minorEastAsia"/>
                <w:kern w:val="0"/>
                <w:sz w:val="24"/>
              </w:rPr>
              <w:t>、大量泄漏应急处置：首先应将泄漏物控制在围堰或构筑消防砂袋围堤，用泡沫覆盖，降低蒸汽灾害，并转移至专用收集器内，回收或按照危险废物进行委外处理。</w:t>
            </w:r>
          </w:p>
          <w:p w14:paraId="21A000F8">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2</w:t>
            </w:r>
            <w:r>
              <w:rPr>
                <w:rFonts w:hAnsiTheme="minorEastAsia" w:eastAsiaTheme="minorEastAsia"/>
                <w:kern w:val="0"/>
                <w:sz w:val="24"/>
              </w:rPr>
              <w:t>、危废暂存间，危险废物应分类收集，避免不相容的危险品混放，防止泄漏、流失，危废暂存间四周砌防水矮墙。危险废物暂存间主要是临时存放废润滑液、废</w:t>
            </w:r>
            <w:r>
              <w:rPr>
                <w:rFonts w:hint="eastAsia" w:hAnsiTheme="minorEastAsia" w:eastAsiaTheme="minorEastAsia"/>
                <w:kern w:val="0"/>
                <w:sz w:val="24"/>
              </w:rPr>
              <w:t>润版液</w:t>
            </w:r>
            <w:r>
              <w:rPr>
                <w:rFonts w:hAnsiTheme="minorEastAsia" w:eastAsiaTheme="minorEastAsia"/>
                <w:kern w:val="0"/>
                <w:sz w:val="24"/>
              </w:rPr>
              <w:t>等，使用专门的容器分类收集贮存，应在容器周围设置围堰；少量泄漏可用抹布擦去或用干砂土围堵并吸附外泄物。泄漏物用容器回收并密封，置于安全场所。</w:t>
            </w:r>
          </w:p>
          <w:p w14:paraId="1862E4FE">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3</w:t>
            </w:r>
            <w:r>
              <w:rPr>
                <w:rFonts w:hAnsiTheme="minorEastAsia" w:eastAsiaTheme="minorEastAsia"/>
                <w:kern w:val="0"/>
                <w:sz w:val="24"/>
              </w:rPr>
              <w:t>、生产区：主要包括</w:t>
            </w:r>
            <w:r>
              <w:rPr>
                <w:rFonts w:hint="eastAsia" w:hAnsiTheme="minorEastAsia" w:eastAsiaTheme="minorEastAsia"/>
                <w:kern w:val="0"/>
                <w:sz w:val="24"/>
              </w:rPr>
              <w:t>裁切区、</w:t>
            </w:r>
            <w:r>
              <w:rPr>
                <w:rFonts w:hAnsiTheme="minorEastAsia" w:eastAsiaTheme="minorEastAsia"/>
                <w:kern w:val="0"/>
                <w:sz w:val="24"/>
              </w:rPr>
              <w:t>胶印油墨印刷车间、</w:t>
            </w:r>
            <w:r>
              <w:rPr>
                <w:rFonts w:hint="eastAsia" w:hAnsiTheme="minorEastAsia" w:eastAsiaTheme="minorEastAsia"/>
                <w:kern w:val="0"/>
                <w:sz w:val="24"/>
              </w:rPr>
              <w:t>过油区</w:t>
            </w:r>
            <w:r>
              <w:rPr>
                <w:rFonts w:hAnsiTheme="minorEastAsia" w:eastAsiaTheme="minorEastAsia"/>
                <w:kern w:val="0"/>
                <w:sz w:val="24"/>
              </w:rPr>
              <w:t>、裱纸区</w:t>
            </w:r>
            <w:r>
              <w:rPr>
                <w:rFonts w:hint="eastAsia" w:hAnsiTheme="minorEastAsia" w:eastAsiaTheme="minorEastAsia"/>
                <w:kern w:val="0"/>
                <w:sz w:val="24"/>
              </w:rPr>
              <w:t>、模切区、糊盒区</w:t>
            </w:r>
            <w:r>
              <w:rPr>
                <w:rFonts w:hAnsiTheme="minorEastAsia" w:eastAsiaTheme="minorEastAsia"/>
                <w:kern w:val="0"/>
                <w:sz w:val="24"/>
              </w:rPr>
              <w:t>。物料在运送过程中要实现封闭运输，且对于液体物料，需要采用带托盘的推车进行运输，采用</w:t>
            </w:r>
            <w:r>
              <w:rPr>
                <w:rFonts w:eastAsiaTheme="minorEastAsia"/>
                <w:kern w:val="0"/>
                <w:sz w:val="24"/>
              </w:rPr>
              <w:t>2</w:t>
            </w:r>
            <w:r>
              <w:rPr>
                <w:rFonts w:hAnsiTheme="minorEastAsia" w:eastAsiaTheme="minorEastAsia"/>
                <w:kern w:val="0"/>
                <w:sz w:val="24"/>
              </w:rPr>
              <w:t>人同时运输，一人观察一人运输。物料运送至生产区暂存区暂存时，应保持密封，且放置在托盘上。胶印油墨印刷</w:t>
            </w:r>
            <w:r>
              <w:rPr>
                <w:rFonts w:hint="eastAsia" w:hAnsiTheme="minorEastAsia" w:eastAsiaTheme="minorEastAsia"/>
                <w:kern w:val="0"/>
                <w:sz w:val="24"/>
              </w:rPr>
              <w:t>房</w:t>
            </w:r>
            <w:r>
              <w:rPr>
                <w:rFonts w:hAnsiTheme="minorEastAsia" w:eastAsiaTheme="minorEastAsia"/>
                <w:kern w:val="0"/>
                <w:sz w:val="24"/>
              </w:rPr>
              <w:t>应设置为重点防渗区。</w:t>
            </w:r>
          </w:p>
          <w:p w14:paraId="7BC07B86">
            <w:pPr>
              <w:autoSpaceDE w:val="0"/>
              <w:autoSpaceDN w:val="0"/>
              <w:adjustRightInd w:val="0"/>
              <w:spacing w:line="480" w:lineRule="exact"/>
              <w:ind w:firstLine="480" w:firstLineChars="200"/>
              <w:jc w:val="left"/>
              <w:rPr>
                <w:rFonts w:eastAsiaTheme="minorEastAsia"/>
                <w:kern w:val="0"/>
                <w:sz w:val="24"/>
              </w:rPr>
            </w:pPr>
            <w:r>
              <w:rPr>
                <w:rFonts w:eastAsiaTheme="minorEastAsia"/>
                <w:kern w:val="0"/>
                <w:sz w:val="24"/>
              </w:rPr>
              <w:t>4</w:t>
            </w:r>
            <w:r>
              <w:rPr>
                <w:rFonts w:hAnsiTheme="minorEastAsia" w:eastAsiaTheme="minorEastAsia"/>
                <w:kern w:val="0"/>
                <w:sz w:val="24"/>
              </w:rPr>
              <w:t>、次</w:t>
            </w:r>
            <w:r>
              <w:rPr>
                <w:rFonts w:eastAsiaTheme="minorEastAsia"/>
                <w:kern w:val="0"/>
                <w:sz w:val="24"/>
              </w:rPr>
              <w:t>/</w:t>
            </w:r>
            <w:r>
              <w:rPr>
                <w:rFonts w:hAnsiTheme="minorEastAsia" w:eastAsiaTheme="minorEastAsia"/>
                <w:kern w:val="0"/>
                <w:sz w:val="24"/>
              </w:rPr>
              <w:t>伴生污染防治措施中使用的消防沙等，按要求存放在危废暂存间内，交有资质单位处置。</w:t>
            </w:r>
          </w:p>
          <w:p w14:paraId="53B4C218">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5</w:t>
            </w:r>
            <w:r>
              <w:rPr>
                <w:rFonts w:hAnsiTheme="minorEastAsia" w:eastAsiaTheme="minorEastAsia"/>
                <w:kern w:val="0"/>
                <w:sz w:val="24"/>
              </w:rPr>
              <w:t>、注重火灾事故的预防设施和救援设施，</w:t>
            </w:r>
            <w:r>
              <w:rPr>
                <w:rFonts w:hint="eastAsia" w:hAnsiTheme="minorEastAsia" w:eastAsiaTheme="minorEastAsia"/>
                <w:kern w:val="0"/>
                <w:sz w:val="24"/>
              </w:rPr>
              <w:t>化学品存放间</w:t>
            </w:r>
            <w:r>
              <w:rPr>
                <w:rFonts w:hAnsiTheme="minorEastAsia" w:eastAsiaTheme="minorEastAsia"/>
                <w:kern w:val="0"/>
                <w:sz w:val="24"/>
              </w:rPr>
              <w:t>、危险废物暂存间等禁止吸烟，远离火源、热源、电源，无产生火花的条件，禁止明火作业；厂区设置灭火器，设置各种安全标志。</w:t>
            </w:r>
            <w:r>
              <w:rPr>
                <w:rFonts w:hint="eastAsia" w:hAnsiTheme="minorEastAsia" w:eastAsiaTheme="minorEastAsia"/>
                <w:kern w:val="0"/>
                <w:sz w:val="24"/>
              </w:rPr>
              <w:t>化学品存放间</w:t>
            </w:r>
            <w:r>
              <w:rPr>
                <w:rFonts w:hAnsiTheme="minorEastAsia" w:eastAsiaTheme="minorEastAsia"/>
                <w:kern w:val="0"/>
                <w:sz w:val="24"/>
              </w:rPr>
              <w:t>和危险废物暂存间设置二氧化碳、泡沫、粉末灭火器等消防器材。</w:t>
            </w:r>
          </w:p>
          <w:p w14:paraId="5D4CC74B">
            <w:pPr>
              <w:autoSpaceDE w:val="0"/>
              <w:autoSpaceDN w:val="0"/>
              <w:adjustRightInd w:val="0"/>
              <w:spacing w:line="480" w:lineRule="exact"/>
              <w:ind w:firstLine="480" w:firstLineChars="200"/>
              <w:jc w:val="left"/>
              <w:rPr>
                <w:rFonts w:eastAsiaTheme="minorEastAsia"/>
                <w:kern w:val="0"/>
                <w:sz w:val="24"/>
              </w:rPr>
            </w:pPr>
            <w:r>
              <w:rPr>
                <w:rFonts w:hint="eastAsia" w:eastAsiaTheme="minorEastAsia"/>
                <w:kern w:val="0"/>
                <w:sz w:val="24"/>
              </w:rPr>
              <w:t>6</w:t>
            </w:r>
            <w:r>
              <w:rPr>
                <w:rFonts w:hAnsiTheme="minorEastAsia" w:eastAsiaTheme="minorEastAsia"/>
                <w:kern w:val="0"/>
                <w:sz w:val="24"/>
              </w:rPr>
              <w:t>、风险管理：提高操作人员业务素质是降低事故风险的重要措施。</w:t>
            </w:r>
            <w:r>
              <w:rPr>
                <w:rFonts w:hint="eastAsia" w:hAnsiTheme="minorEastAsia" w:eastAsiaTheme="minorEastAsia"/>
                <w:kern w:val="0"/>
                <w:sz w:val="24"/>
              </w:rPr>
              <w:t>化学品存放间</w:t>
            </w:r>
            <w:r>
              <w:rPr>
                <w:rFonts w:hAnsiTheme="minorEastAsia" w:eastAsiaTheme="minorEastAsia"/>
                <w:kern w:val="0"/>
                <w:sz w:val="24"/>
              </w:rPr>
              <w:t>及生产区域工作人员上班车间内禁止吸烟、打手机等，避免皮肤直接接触各种有毒有害危险性物质。加强岗前教育，提高操作人员业务素质。</w:t>
            </w:r>
          </w:p>
          <w:p w14:paraId="50D18AA1">
            <w:pPr>
              <w:autoSpaceDE w:val="0"/>
              <w:autoSpaceDN w:val="0"/>
              <w:adjustRightInd w:val="0"/>
              <w:spacing w:line="480" w:lineRule="exact"/>
              <w:ind w:firstLine="480" w:firstLineChars="200"/>
              <w:jc w:val="left"/>
              <w:rPr>
                <w:rFonts w:eastAsiaTheme="minorEastAsia"/>
                <w:sz w:val="24"/>
              </w:rPr>
            </w:pPr>
            <w:r>
              <w:rPr>
                <w:rFonts w:hint="eastAsia" w:eastAsiaTheme="minorEastAsia"/>
                <w:kern w:val="0"/>
                <w:sz w:val="24"/>
              </w:rPr>
              <w:t>7</w:t>
            </w:r>
            <w:r>
              <w:rPr>
                <w:rFonts w:hAnsiTheme="minorEastAsia" w:eastAsiaTheme="minorEastAsia"/>
                <w:kern w:val="0"/>
                <w:sz w:val="24"/>
              </w:rPr>
              <w:t>、项目建成后应按照《突发事件应急预案管理办法》</w:t>
            </w:r>
            <w:r>
              <w:rPr>
                <w:rFonts w:eastAsiaTheme="minorEastAsia"/>
                <w:kern w:val="0"/>
                <w:sz w:val="24"/>
              </w:rPr>
              <w:t>(</w:t>
            </w:r>
            <w:r>
              <w:rPr>
                <w:rFonts w:hAnsiTheme="minorEastAsia" w:eastAsiaTheme="minorEastAsia"/>
                <w:kern w:val="0"/>
                <w:sz w:val="24"/>
              </w:rPr>
              <w:t>国办发〔</w:t>
            </w:r>
            <w:r>
              <w:rPr>
                <w:rFonts w:eastAsiaTheme="minorEastAsia"/>
                <w:kern w:val="0"/>
                <w:sz w:val="24"/>
              </w:rPr>
              <w:t>2013</w:t>
            </w:r>
            <w:r>
              <w:rPr>
                <w:rFonts w:hAnsiTheme="minorEastAsia" w:eastAsiaTheme="minorEastAsia"/>
                <w:kern w:val="0"/>
                <w:sz w:val="24"/>
              </w:rPr>
              <w:t>〕</w:t>
            </w:r>
            <w:r>
              <w:rPr>
                <w:rFonts w:eastAsiaTheme="minorEastAsia"/>
                <w:kern w:val="0"/>
                <w:sz w:val="24"/>
              </w:rPr>
              <w:t>101</w:t>
            </w:r>
            <w:r>
              <w:rPr>
                <w:rFonts w:hAnsiTheme="minorEastAsia" w:eastAsiaTheme="minorEastAsia"/>
                <w:kern w:val="0"/>
                <w:sz w:val="24"/>
              </w:rPr>
              <w:t>号</w:t>
            </w:r>
            <w:r>
              <w:rPr>
                <w:rFonts w:eastAsiaTheme="minorEastAsia"/>
                <w:kern w:val="0"/>
                <w:sz w:val="24"/>
              </w:rPr>
              <w:t>)</w:t>
            </w:r>
            <w:r>
              <w:rPr>
                <w:rFonts w:hAnsiTheme="minorEastAsia" w:eastAsiaTheme="minorEastAsia"/>
                <w:kern w:val="0"/>
                <w:sz w:val="24"/>
              </w:rPr>
              <w:t>、《企事业单位件突发环境事件应急预案备案管理办法（试行）》</w:t>
            </w:r>
            <w:r>
              <w:rPr>
                <w:rFonts w:eastAsiaTheme="minorEastAsia"/>
                <w:kern w:val="0"/>
                <w:sz w:val="24"/>
              </w:rPr>
              <w:t>(</w:t>
            </w:r>
            <w:r>
              <w:rPr>
                <w:rFonts w:hAnsiTheme="minorEastAsia" w:eastAsiaTheme="minorEastAsia"/>
                <w:kern w:val="0"/>
                <w:sz w:val="24"/>
              </w:rPr>
              <w:t>环办发（</w:t>
            </w:r>
            <w:r>
              <w:rPr>
                <w:rFonts w:eastAsiaTheme="minorEastAsia"/>
                <w:kern w:val="0"/>
                <w:sz w:val="24"/>
              </w:rPr>
              <w:t>2015</w:t>
            </w:r>
            <w:r>
              <w:rPr>
                <w:rFonts w:hAnsiTheme="minorEastAsia" w:eastAsiaTheme="minorEastAsia"/>
                <w:kern w:val="0"/>
                <w:sz w:val="24"/>
              </w:rPr>
              <w:t>）</w:t>
            </w:r>
            <w:r>
              <w:rPr>
                <w:rFonts w:eastAsiaTheme="minorEastAsia"/>
                <w:kern w:val="0"/>
                <w:sz w:val="24"/>
              </w:rPr>
              <w:t xml:space="preserve">4 </w:t>
            </w:r>
            <w:r>
              <w:rPr>
                <w:rFonts w:hAnsiTheme="minorEastAsia" w:eastAsiaTheme="minorEastAsia"/>
                <w:kern w:val="0"/>
                <w:sz w:val="24"/>
              </w:rPr>
              <w:t>号</w:t>
            </w:r>
            <w:r>
              <w:rPr>
                <w:rFonts w:eastAsiaTheme="minorEastAsia"/>
                <w:kern w:val="0"/>
                <w:sz w:val="24"/>
              </w:rPr>
              <w:t>)</w:t>
            </w:r>
            <w:r>
              <w:rPr>
                <w:rFonts w:hAnsiTheme="minorEastAsia" w:eastAsiaTheme="minorEastAsia"/>
                <w:kern w:val="0"/>
                <w:sz w:val="24"/>
              </w:rPr>
              <w:t>、《企业突发环境事件风险分级方法》（</w:t>
            </w:r>
            <w:r>
              <w:rPr>
                <w:rFonts w:eastAsiaTheme="minorEastAsia"/>
                <w:kern w:val="0"/>
                <w:sz w:val="24"/>
              </w:rPr>
              <w:t>HJ941-2018</w:t>
            </w:r>
            <w:r>
              <w:rPr>
                <w:rFonts w:hAnsiTheme="minorEastAsia" w:eastAsiaTheme="minorEastAsia"/>
                <w:kern w:val="0"/>
                <w:sz w:val="24"/>
              </w:rPr>
              <w:t>）等文件要求，编制本项目突发环境事件应急预案，并进行评审、发布、备案。</w:t>
            </w:r>
          </w:p>
          <w:p w14:paraId="1220D5E2">
            <w:pPr>
              <w:autoSpaceDE w:val="0"/>
              <w:autoSpaceDN w:val="0"/>
              <w:adjustRightInd w:val="0"/>
              <w:spacing w:line="480" w:lineRule="exact"/>
              <w:ind w:firstLine="482" w:firstLineChars="200"/>
              <w:jc w:val="left"/>
              <w:rPr>
                <w:rFonts w:eastAsiaTheme="minorEastAsia"/>
                <w:b/>
                <w:kern w:val="0"/>
                <w:sz w:val="24"/>
              </w:rPr>
            </w:pPr>
            <w:r>
              <w:rPr>
                <w:rFonts w:eastAsiaTheme="minorEastAsia"/>
                <w:b/>
                <w:bCs/>
                <w:sz w:val="24"/>
              </w:rPr>
              <w:t>4.2.6.5</w:t>
            </w:r>
            <w:r>
              <w:rPr>
                <w:rFonts w:hAnsiTheme="minorEastAsia" w:eastAsiaTheme="minorEastAsia"/>
                <w:b/>
                <w:kern w:val="0"/>
                <w:sz w:val="24"/>
              </w:rPr>
              <w:t>风险评价结论</w:t>
            </w:r>
          </w:p>
          <w:p w14:paraId="03B3CB8A">
            <w:pPr>
              <w:autoSpaceDE w:val="0"/>
              <w:autoSpaceDN w:val="0"/>
              <w:adjustRightInd w:val="0"/>
              <w:spacing w:line="480" w:lineRule="exact"/>
              <w:ind w:firstLine="480" w:firstLineChars="200"/>
              <w:jc w:val="left"/>
              <w:rPr>
                <w:rFonts w:eastAsiaTheme="minorEastAsia"/>
                <w:sz w:val="24"/>
              </w:rPr>
            </w:pPr>
            <w:r>
              <w:rPr>
                <w:rFonts w:hAnsiTheme="minorEastAsia" w:eastAsiaTheme="minorEastAsia"/>
                <w:kern w:val="0"/>
                <w:sz w:val="24"/>
              </w:rPr>
              <w:t>综上所述，拟建项目所用原材料均不构成重大危险源，生产过程中也不存在重大风险。项目营运期存在一定的环境风险，在采取必要的风险防范措施、完善事故应急预案后，不会对区域环境造成较大的环境风险影响。本项目环境风险水平可接受。因此，从环境风险的角度而言，项目建设可行。</w:t>
            </w:r>
          </w:p>
          <w:p w14:paraId="63E707C9">
            <w:pPr>
              <w:adjustRightInd w:val="0"/>
              <w:snapToGrid w:val="0"/>
              <w:rPr>
                <w:rFonts w:ascii="宋体" w:hAnsi="宋体" w:cs="宋体"/>
                <w:b/>
                <w:bCs/>
                <w:spacing w:val="-10"/>
                <w:sz w:val="24"/>
              </w:rPr>
            </w:pPr>
          </w:p>
          <w:p w14:paraId="442F4FFA">
            <w:pPr>
              <w:adjustRightInd w:val="0"/>
              <w:snapToGrid w:val="0"/>
              <w:rPr>
                <w:rFonts w:ascii="宋体" w:hAnsi="宋体" w:cs="宋体"/>
                <w:b/>
                <w:bCs/>
                <w:spacing w:val="-10"/>
                <w:sz w:val="24"/>
              </w:rPr>
            </w:pPr>
          </w:p>
          <w:p w14:paraId="07D4EAFB">
            <w:pPr>
              <w:overflowPunct w:val="0"/>
              <w:jc w:val="center"/>
              <w:rPr>
                <w:sz w:val="24"/>
              </w:rPr>
            </w:pPr>
          </w:p>
        </w:tc>
      </w:tr>
    </w:tbl>
    <w:p w14:paraId="762F2883">
      <w:pPr>
        <w:pStyle w:val="20"/>
        <w:jc w:val="center"/>
        <w:outlineLvl w:val="0"/>
        <w:rPr>
          <w:rFonts w:ascii="黑体" w:hAnsi="黑体" w:eastAsia="黑体"/>
          <w:snapToGrid w:val="0"/>
          <w:sz w:val="30"/>
          <w:szCs w:val="30"/>
        </w:rPr>
      </w:pPr>
    </w:p>
    <w:p w14:paraId="38A5E3B1">
      <w:pPr>
        <w:pStyle w:val="20"/>
        <w:jc w:val="center"/>
        <w:outlineLvl w:val="0"/>
        <w:rPr>
          <w:rFonts w:ascii="黑体" w:hAnsi="黑体" w:eastAsia="黑体"/>
          <w:snapToGrid w:val="0"/>
          <w:sz w:val="30"/>
          <w:szCs w:val="30"/>
        </w:rPr>
      </w:pPr>
    </w:p>
    <w:p w14:paraId="2C5CADB2">
      <w:pPr>
        <w:pStyle w:val="20"/>
        <w:jc w:val="center"/>
        <w:outlineLvl w:val="0"/>
        <w:rPr>
          <w:rFonts w:ascii="黑体" w:hAnsi="黑体" w:eastAsia="黑体"/>
          <w:snapToGrid w:val="0"/>
          <w:sz w:val="30"/>
          <w:szCs w:val="30"/>
        </w:rPr>
      </w:pPr>
    </w:p>
    <w:p w14:paraId="29495087">
      <w:pPr>
        <w:pStyle w:val="20"/>
        <w:jc w:val="center"/>
        <w:outlineLvl w:val="0"/>
        <w:rPr>
          <w:rFonts w:ascii="黑体" w:hAnsi="黑体" w:eastAsia="黑体"/>
          <w:snapToGrid w:val="0"/>
          <w:sz w:val="30"/>
          <w:szCs w:val="30"/>
        </w:rPr>
      </w:pPr>
    </w:p>
    <w:p w14:paraId="4D376BC1">
      <w:pPr>
        <w:pStyle w:val="20"/>
        <w:jc w:val="center"/>
        <w:outlineLvl w:val="0"/>
        <w:rPr>
          <w:rFonts w:ascii="黑体" w:hAnsi="黑体" w:eastAsia="黑体"/>
          <w:snapToGrid w:val="0"/>
          <w:sz w:val="30"/>
          <w:szCs w:val="30"/>
        </w:rPr>
      </w:pPr>
    </w:p>
    <w:p w14:paraId="40F00EFD">
      <w:pPr>
        <w:pStyle w:val="20"/>
        <w:jc w:val="center"/>
        <w:outlineLvl w:val="0"/>
        <w:rPr>
          <w:rFonts w:ascii="黑体" w:hAnsi="黑体" w:eastAsia="黑体"/>
          <w:snapToGrid w:val="0"/>
          <w:sz w:val="30"/>
          <w:szCs w:val="30"/>
        </w:rPr>
      </w:pPr>
    </w:p>
    <w:p w14:paraId="1191579C">
      <w:pPr>
        <w:pStyle w:val="20"/>
        <w:jc w:val="center"/>
        <w:outlineLvl w:val="0"/>
        <w:rPr>
          <w:rFonts w:ascii="黑体" w:hAnsi="黑体" w:eastAsia="黑体"/>
          <w:snapToGrid w:val="0"/>
          <w:sz w:val="30"/>
          <w:szCs w:val="30"/>
        </w:rPr>
      </w:pPr>
    </w:p>
    <w:p w14:paraId="08E17CDA">
      <w:pPr>
        <w:pStyle w:val="20"/>
        <w:jc w:val="center"/>
        <w:outlineLvl w:val="0"/>
        <w:rPr>
          <w:rFonts w:ascii="黑体" w:hAnsi="黑体" w:eastAsia="黑体"/>
          <w:snapToGrid w:val="0"/>
          <w:sz w:val="30"/>
          <w:szCs w:val="30"/>
        </w:rPr>
      </w:pPr>
    </w:p>
    <w:p w14:paraId="5C33A5C9">
      <w:pPr>
        <w:pStyle w:val="20"/>
        <w:jc w:val="center"/>
        <w:outlineLvl w:val="0"/>
        <w:rPr>
          <w:rFonts w:ascii="黑体" w:hAnsi="黑体" w:eastAsia="黑体"/>
          <w:snapToGrid w:val="0"/>
          <w:sz w:val="30"/>
          <w:szCs w:val="30"/>
        </w:rPr>
      </w:pPr>
    </w:p>
    <w:p w14:paraId="6324B1C5">
      <w:pPr>
        <w:pStyle w:val="20"/>
        <w:jc w:val="center"/>
        <w:outlineLvl w:val="0"/>
        <w:rPr>
          <w:rFonts w:ascii="黑体" w:hAnsi="黑体" w:eastAsia="黑体"/>
          <w:snapToGrid w:val="0"/>
          <w:sz w:val="30"/>
          <w:szCs w:val="30"/>
        </w:rPr>
      </w:pPr>
    </w:p>
    <w:p w14:paraId="6C0FA683">
      <w:pPr>
        <w:pStyle w:val="20"/>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9" w:name="_Hlk54167917"/>
      <w:r>
        <w:rPr>
          <w:rFonts w:hint="eastAsia" w:ascii="黑体" w:hAnsi="黑体" w:eastAsia="黑体"/>
          <w:snapToGrid w:val="0"/>
          <w:sz w:val="30"/>
          <w:szCs w:val="30"/>
        </w:rPr>
        <w:t>环境保护措施监督检查清单</w:t>
      </w:r>
      <w:bookmarkEnd w:id="9"/>
    </w:p>
    <w:tbl>
      <w:tblPr>
        <w:tblStyle w:val="24"/>
        <w:tblW w:w="92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929"/>
        <w:gridCol w:w="772"/>
        <w:gridCol w:w="1417"/>
        <w:gridCol w:w="680"/>
        <w:gridCol w:w="1730"/>
        <w:gridCol w:w="2068"/>
      </w:tblGrid>
      <w:tr w14:paraId="7A1B8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0" w:type="dxa"/>
            <w:tcBorders>
              <w:tl2br w:val="single" w:color="auto" w:sz="4" w:space="0"/>
            </w:tcBorders>
          </w:tcPr>
          <w:p w14:paraId="79156829">
            <w:pPr>
              <w:adjustRightInd w:val="0"/>
              <w:snapToGrid w:val="0"/>
              <w:rPr>
                <w:rFonts w:eastAsiaTheme="minorEastAsia"/>
                <w:szCs w:val="21"/>
              </w:rPr>
            </w:pPr>
            <w:r>
              <w:rPr>
                <w:rFonts w:hint="eastAsia" w:hAnsiTheme="minorEastAsia" w:eastAsiaTheme="minorEastAsia"/>
                <w:szCs w:val="21"/>
              </w:rPr>
              <w:t xml:space="preserve">      </w:t>
            </w:r>
            <w:r>
              <w:rPr>
                <w:rFonts w:hAnsiTheme="minorEastAsia" w:eastAsiaTheme="minorEastAsia"/>
                <w:szCs w:val="21"/>
              </w:rPr>
              <w:t>内容</w:t>
            </w:r>
          </w:p>
          <w:p w14:paraId="2D4DFDFE">
            <w:pPr>
              <w:adjustRightInd w:val="0"/>
              <w:snapToGrid w:val="0"/>
              <w:rPr>
                <w:rFonts w:eastAsiaTheme="minorEastAsia"/>
                <w:szCs w:val="21"/>
              </w:rPr>
            </w:pPr>
            <w:r>
              <w:rPr>
                <w:rFonts w:hAnsiTheme="minorEastAsia" w:eastAsiaTheme="minorEastAsia"/>
                <w:szCs w:val="21"/>
              </w:rPr>
              <w:t>要素</w:t>
            </w:r>
          </w:p>
        </w:tc>
        <w:tc>
          <w:tcPr>
            <w:tcW w:w="1701" w:type="dxa"/>
            <w:gridSpan w:val="2"/>
            <w:vAlign w:val="center"/>
          </w:tcPr>
          <w:p w14:paraId="62A48AE3">
            <w:pPr>
              <w:adjustRightInd w:val="0"/>
              <w:snapToGrid w:val="0"/>
              <w:jc w:val="center"/>
              <w:rPr>
                <w:rFonts w:eastAsiaTheme="minorEastAsia"/>
                <w:szCs w:val="21"/>
              </w:rPr>
            </w:pPr>
            <w:r>
              <w:rPr>
                <w:rFonts w:hAnsiTheme="minorEastAsia" w:eastAsiaTheme="minorEastAsia"/>
                <w:szCs w:val="21"/>
              </w:rPr>
              <w:t>排放口</w:t>
            </w:r>
            <w:r>
              <w:rPr>
                <w:rFonts w:eastAsiaTheme="minorEastAsia"/>
                <w:szCs w:val="21"/>
              </w:rPr>
              <w:t>(</w:t>
            </w:r>
            <w:r>
              <w:rPr>
                <w:rFonts w:hAnsiTheme="minorEastAsia" w:eastAsiaTheme="minorEastAsia"/>
                <w:szCs w:val="21"/>
              </w:rPr>
              <w:t>编号、</w:t>
            </w:r>
          </w:p>
          <w:p w14:paraId="6B4DF595">
            <w:pPr>
              <w:adjustRightInd w:val="0"/>
              <w:snapToGrid w:val="0"/>
              <w:jc w:val="center"/>
              <w:rPr>
                <w:rFonts w:eastAsiaTheme="minorEastAsia"/>
                <w:szCs w:val="21"/>
              </w:rPr>
            </w:pPr>
            <w:r>
              <w:rPr>
                <w:rFonts w:hAnsiTheme="minorEastAsia" w:eastAsiaTheme="minorEastAsia"/>
                <w:szCs w:val="21"/>
              </w:rPr>
              <w:t>名称</w:t>
            </w:r>
            <w:r>
              <w:rPr>
                <w:rFonts w:eastAsiaTheme="minorEastAsia"/>
                <w:szCs w:val="21"/>
              </w:rPr>
              <w:t>)/</w:t>
            </w:r>
            <w:r>
              <w:rPr>
                <w:rFonts w:hAnsiTheme="minorEastAsia" w:eastAsiaTheme="minorEastAsia"/>
                <w:szCs w:val="21"/>
              </w:rPr>
              <w:t>污染源</w:t>
            </w:r>
          </w:p>
        </w:tc>
        <w:tc>
          <w:tcPr>
            <w:tcW w:w="1417" w:type="dxa"/>
            <w:vAlign w:val="center"/>
          </w:tcPr>
          <w:p w14:paraId="40D75ED5">
            <w:pPr>
              <w:adjustRightInd w:val="0"/>
              <w:snapToGrid w:val="0"/>
              <w:jc w:val="center"/>
              <w:rPr>
                <w:rFonts w:eastAsiaTheme="minorEastAsia"/>
                <w:szCs w:val="21"/>
              </w:rPr>
            </w:pPr>
            <w:r>
              <w:rPr>
                <w:rFonts w:hAnsiTheme="minorEastAsia" w:eastAsiaTheme="minorEastAsia"/>
                <w:szCs w:val="21"/>
              </w:rPr>
              <w:t>污染物</w:t>
            </w:r>
          </w:p>
          <w:p w14:paraId="23ADFAC6">
            <w:pPr>
              <w:adjustRightInd w:val="0"/>
              <w:snapToGrid w:val="0"/>
              <w:jc w:val="center"/>
              <w:rPr>
                <w:rFonts w:eastAsiaTheme="minorEastAsia"/>
                <w:szCs w:val="21"/>
              </w:rPr>
            </w:pPr>
            <w:r>
              <w:rPr>
                <w:rFonts w:hAnsiTheme="minorEastAsia" w:eastAsiaTheme="minorEastAsia"/>
                <w:szCs w:val="21"/>
              </w:rPr>
              <w:t>项目</w:t>
            </w:r>
          </w:p>
        </w:tc>
        <w:tc>
          <w:tcPr>
            <w:tcW w:w="2410" w:type="dxa"/>
            <w:gridSpan w:val="2"/>
            <w:vAlign w:val="center"/>
          </w:tcPr>
          <w:p w14:paraId="7D7A3515">
            <w:pPr>
              <w:adjustRightInd w:val="0"/>
              <w:snapToGrid w:val="0"/>
              <w:jc w:val="center"/>
              <w:rPr>
                <w:rFonts w:eastAsiaTheme="minorEastAsia"/>
                <w:szCs w:val="21"/>
              </w:rPr>
            </w:pPr>
            <w:r>
              <w:rPr>
                <w:rFonts w:hAnsiTheme="minorEastAsia" w:eastAsiaTheme="minorEastAsia"/>
                <w:szCs w:val="21"/>
              </w:rPr>
              <w:t>环境保护措施</w:t>
            </w:r>
          </w:p>
        </w:tc>
        <w:tc>
          <w:tcPr>
            <w:tcW w:w="2068" w:type="dxa"/>
            <w:vAlign w:val="center"/>
          </w:tcPr>
          <w:p w14:paraId="11C333FC">
            <w:pPr>
              <w:adjustRightInd w:val="0"/>
              <w:snapToGrid w:val="0"/>
              <w:jc w:val="center"/>
              <w:rPr>
                <w:rFonts w:eastAsiaTheme="minorEastAsia"/>
                <w:szCs w:val="21"/>
              </w:rPr>
            </w:pPr>
            <w:r>
              <w:rPr>
                <w:rFonts w:hAnsiTheme="minorEastAsia" w:eastAsiaTheme="minorEastAsia"/>
                <w:szCs w:val="21"/>
              </w:rPr>
              <w:t>执行标准</w:t>
            </w:r>
          </w:p>
        </w:tc>
      </w:tr>
      <w:tr w14:paraId="622E4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0" w:type="dxa"/>
            <w:vMerge w:val="restart"/>
            <w:vAlign w:val="center"/>
          </w:tcPr>
          <w:p w14:paraId="5C6D77C6">
            <w:pPr>
              <w:adjustRightInd w:val="0"/>
              <w:snapToGrid w:val="0"/>
              <w:jc w:val="center"/>
              <w:rPr>
                <w:rFonts w:eastAsiaTheme="minorEastAsia"/>
                <w:szCs w:val="21"/>
              </w:rPr>
            </w:pPr>
            <w:r>
              <w:rPr>
                <w:rFonts w:hAnsiTheme="minorEastAsia" w:eastAsiaTheme="minorEastAsia"/>
                <w:szCs w:val="21"/>
              </w:rPr>
              <w:t>大气环境</w:t>
            </w:r>
          </w:p>
        </w:tc>
        <w:tc>
          <w:tcPr>
            <w:tcW w:w="929" w:type="dxa"/>
            <w:vAlign w:val="center"/>
          </w:tcPr>
          <w:p w14:paraId="5F4A5B01">
            <w:pPr>
              <w:adjustRightInd w:val="0"/>
              <w:snapToGrid w:val="0"/>
              <w:jc w:val="center"/>
              <w:rPr>
                <w:rFonts w:eastAsiaTheme="minorEastAsia"/>
                <w:bCs/>
                <w:szCs w:val="21"/>
              </w:rPr>
            </w:pPr>
            <w:r>
              <w:rPr>
                <w:rFonts w:eastAsiaTheme="minorEastAsia"/>
                <w:bCs/>
                <w:szCs w:val="21"/>
              </w:rPr>
              <w:t>1#</w:t>
            </w:r>
            <w:r>
              <w:rPr>
                <w:rFonts w:hAnsiTheme="minorEastAsia" w:eastAsiaTheme="minorEastAsia"/>
                <w:bCs/>
                <w:szCs w:val="21"/>
              </w:rPr>
              <w:t>排气筒</w:t>
            </w:r>
          </w:p>
        </w:tc>
        <w:tc>
          <w:tcPr>
            <w:tcW w:w="772" w:type="dxa"/>
            <w:vAlign w:val="center"/>
          </w:tcPr>
          <w:p w14:paraId="408FC3A7">
            <w:pPr>
              <w:adjustRightInd w:val="0"/>
              <w:snapToGrid w:val="0"/>
              <w:jc w:val="center"/>
              <w:rPr>
                <w:rFonts w:eastAsiaTheme="minorEastAsia"/>
                <w:bCs/>
                <w:szCs w:val="21"/>
              </w:rPr>
            </w:pPr>
            <w:r>
              <w:rPr>
                <w:rFonts w:hAnsiTheme="minorEastAsia" w:eastAsiaTheme="minorEastAsia"/>
                <w:szCs w:val="21"/>
              </w:rPr>
              <w:t>印刷、润版、清洁</w:t>
            </w:r>
            <w:r>
              <w:rPr>
                <w:rFonts w:hint="eastAsia" w:hAnsiTheme="minorEastAsia" w:eastAsiaTheme="minorEastAsia"/>
                <w:szCs w:val="21"/>
              </w:rPr>
              <w:t>、过油</w:t>
            </w:r>
            <w:r>
              <w:rPr>
                <w:rFonts w:hAnsiTheme="minorEastAsia" w:eastAsiaTheme="minorEastAsia"/>
                <w:szCs w:val="21"/>
              </w:rPr>
              <w:t>废气</w:t>
            </w:r>
          </w:p>
        </w:tc>
        <w:tc>
          <w:tcPr>
            <w:tcW w:w="1417" w:type="dxa"/>
            <w:vAlign w:val="center"/>
          </w:tcPr>
          <w:p w14:paraId="52E92793">
            <w:pPr>
              <w:adjustRightInd w:val="0"/>
              <w:snapToGrid w:val="0"/>
              <w:jc w:val="center"/>
              <w:rPr>
                <w:rFonts w:eastAsiaTheme="minorEastAsia"/>
                <w:bCs/>
                <w:szCs w:val="21"/>
              </w:rPr>
            </w:pPr>
            <w:r>
              <w:rPr>
                <w:rFonts w:hAnsiTheme="minorEastAsia" w:eastAsiaTheme="minorEastAsia"/>
                <w:bCs/>
                <w:szCs w:val="21"/>
              </w:rPr>
              <w:t>非甲烷总烃</w:t>
            </w:r>
          </w:p>
        </w:tc>
        <w:tc>
          <w:tcPr>
            <w:tcW w:w="2410" w:type="dxa"/>
            <w:gridSpan w:val="2"/>
            <w:vAlign w:val="center"/>
          </w:tcPr>
          <w:p w14:paraId="2712640F">
            <w:pPr>
              <w:autoSpaceDE w:val="0"/>
              <w:autoSpaceDN w:val="0"/>
              <w:adjustRightInd w:val="0"/>
              <w:jc w:val="left"/>
              <w:rPr>
                <w:rFonts w:eastAsiaTheme="minorEastAsia"/>
                <w:kern w:val="0"/>
                <w:szCs w:val="21"/>
              </w:rPr>
            </w:pPr>
            <w:r>
              <w:rPr>
                <w:rFonts w:hAnsiTheme="minorEastAsia" w:eastAsiaTheme="minorEastAsia"/>
                <w:kern w:val="0"/>
                <w:szCs w:val="21"/>
              </w:rPr>
              <w:t>经集气罩收集后经废气处理设施（</w:t>
            </w:r>
            <w:r>
              <w:rPr>
                <w:rFonts w:hint="eastAsia" w:eastAsiaTheme="minorEastAsia"/>
                <w:szCs w:val="21"/>
              </w:rPr>
              <w:t>二级</w:t>
            </w:r>
            <w:r>
              <w:rPr>
                <w:rFonts w:hAnsiTheme="minorEastAsia" w:eastAsiaTheme="minorEastAsia"/>
                <w:szCs w:val="21"/>
              </w:rPr>
              <w:t>活性炭吸附</w:t>
            </w:r>
            <w:r>
              <w:rPr>
                <w:rFonts w:hAnsiTheme="minorEastAsia" w:eastAsiaTheme="minorEastAsia"/>
                <w:kern w:val="0"/>
                <w:szCs w:val="21"/>
              </w:rPr>
              <w:t>）处理后由</w:t>
            </w:r>
          </w:p>
          <w:p w14:paraId="02DEE24B">
            <w:pPr>
              <w:autoSpaceDE w:val="0"/>
              <w:autoSpaceDN w:val="0"/>
              <w:adjustRightInd w:val="0"/>
              <w:jc w:val="left"/>
              <w:rPr>
                <w:rFonts w:eastAsiaTheme="minorEastAsia"/>
                <w:kern w:val="0"/>
                <w:szCs w:val="21"/>
              </w:rPr>
            </w:pPr>
            <w:r>
              <w:rPr>
                <w:rFonts w:eastAsiaTheme="minorEastAsia"/>
                <w:kern w:val="0"/>
                <w:szCs w:val="21"/>
              </w:rPr>
              <w:t>1</w:t>
            </w:r>
            <w:r>
              <w:rPr>
                <w:rFonts w:hint="eastAsia" w:eastAsiaTheme="minorEastAsia"/>
                <w:kern w:val="0"/>
                <w:szCs w:val="21"/>
              </w:rPr>
              <w:t>根</w:t>
            </w:r>
            <w:r>
              <w:rPr>
                <w:rFonts w:hint="eastAsia" w:hAnsiTheme="minorEastAsia" w:eastAsiaTheme="minorEastAsia"/>
                <w:kern w:val="0"/>
                <w:szCs w:val="21"/>
              </w:rPr>
              <w:t>15</w:t>
            </w:r>
            <w:r>
              <w:rPr>
                <w:rFonts w:eastAsiaTheme="minorEastAsia"/>
                <w:kern w:val="0"/>
                <w:szCs w:val="21"/>
              </w:rPr>
              <w:t xml:space="preserve">m </w:t>
            </w:r>
            <w:r>
              <w:rPr>
                <w:rFonts w:hAnsiTheme="minorEastAsia" w:eastAsiaTheme="minorEastAsia"/>
                <w:kern w:val="0"/>
                <w:szCs w:val="21"/>
              </w:rPr>
              <w:t>排气筒（</w:t>
            </w:r>
            <w:r>
              <w:rPr>
                <w:rFonts w:eastAsiaTheme="minorEastAsia"/>
                <w:kern w:val="0"/>
                <w:szCs w:val="21"/>
              </w:rPr>
              <w:t>1#</w:t>
            </w:r>
            <w:r>
              <w:rPr>
                <w:rFonts w:hAnsiTheme="minorEastAsia" w:eastAsiaTheme="minorEastAsia"/>
                <w:kern w:val="0"/>
                <w:szCs w:val="21"/>
              </w:rPr>
              <w:t>）排放。风机风量为</w:t>
            </w:r>
            <w:r>
              <w:rPr>
                <w:rFonts w:hint="eastAsia" w:eastAsiaTheme="minorEastAsia"/>
                <w:kern w:val="0"/>
                <w:szCs w:val="21"/>
              </w:rPr>
              <w:t>46600</w:t>
            </w:r>
            <w:r>
              <w:rPr>
                <w:rFonts w:eastAsiaTheme="minorEastAsia"/>
                <w:kern w:val="0"/>
                <w:szCs w:val="21"/>
              </w:rPr>
              <w:t>m</w:t>
            </w:r>
            <w:r>
              <w:rPr>
                <w:rFonts w:eastAsiaTheme="minorEastAsia"/>
                <w:kern w:val="0"/>
                <w:szCs w:val="21"/>
                <w:vertAlign w:val="superscript"/>
              </w:rPr>
              <w:t>3</w:t>
            </w:r>
            <w:r>
              <w:rPr>
                <w:rFonts w:eastAsiaTheme="minorEastAsia"/>
                <w:kern w:val="0"/>
                <w:szCs w:val="21"/>
              </w:rPr>
              <w:t>/h</w:t>
            </w:r>
            <w:r>
              <w:rPr>
                <w:rFonts w:hAnsiTheme="minorEastAsia" w:eastAsiaTheme="minorEastAsia"/>
                <w:kern w:val="0"/>
                <w:szCs w:val="21"/>
              </w:rPr>
              <w:t>，收集效率</w:t>
            </w:r>
          </w:p>
          <w:p w14:paraId="386BE1A5">
            <w:pPr>
              <w:adjustRightInd w:val="0"/>
              <w:snapToGrid w:val="0"/>
              <w:jc w:val="center"/>
              <w:rPr>
                <w:rFonts w:eastAsiaTheme="minorEastAsia"/>
                <w:bCs/>
                <w:szCs w:val="21"/>
              </w:rPr>
            </w:pPr>
            <w:r>
              <w:rPr>
                <w:rFonts w:hAnsiTheme="minorEastAsia" w:eastAsiaTheme="minorEastAsia"/>
                <w:kern w:val="0"/>
                <w:szCs w:val="21"/>
              </w:rPr>
              <w:t>为</w:t>
            </w:r>
            <w:r>
              <w:rPr>
                <w:rFonts w:eastAsiaTheme="minorEastAsia"/>
                <w:kern w:val="0"/>
                <w:szCs w:val="21"/>
              </w:rPr>
              <w:t>80%</w:t>
            </w:r>
            <w:r>
              <w:rPr>
                <w:rFonts w:hAnsiTheme="minorEastAsia" w:eastAsiaTheme="minorEastAsia"/>
                <w:kern w:val="0"/>
                <w:szCs w:val="21"/>
              </w:rPr>
              <w:t>，处理效率为</w:t>
            </w:r>
            <w:r>
              <w:rPr>
                <w:rFonts w:hint="eastAsia" w:eastAsiaTheme="minorEastAsia"/>
                <w:kern w:val="0"/>
                <w:szCs w:val="21"/>
              </w:rPr>
              <w:t>28</w:t>
            </w:r>
            <w:r>
              <w:rPr>
                <w:rFonts w:eastAsiaTheme="minorEastAsia"/>
                <w:kern w:val="0"/>
                <w:szCs w:val="21"/>
              </w:rPr>
              <w:t>%</w:t>
            </w:r>
          </w:p>
        </w:tc>
        <w:tc>
          <w:tcPr>
            <w:tcW w:w="2068" w:type="dxa"/>
            <w:vAlign w:val="center"/>
          </w:tcPr>
          <w:p w14:paraId="5000B66C">
            <w:pPr>
              <w:adjustRightInd w:val="0"/>
              <w:snapToGrid w:val="0"/>
              <w:jc w:val="center"/>
              <w:rPr>
                <w:rFonts w:eastAsiaTheme="minorEastAsia"/>
                <w:bCs/>
                <w:szCs w:val="21"/>
              </w:rPr>
            </w:pPr>
            <w:r>
              <w:rPr>
                <w:rFonts w:hAnsiTheme="minorEastAsia" w:eastAsiaTheme="minorEastAsia"/>
                <w:kern w:val="0"/>
                <w:szCs w:val="21"/>
              </w:rPr>
              <w:t>《包装印刷业大气污染物排放标准》（</w:t>
            </w:r>
            <w:r>
              <w:rPr>
                <w:rFonts w:eastAsiaTheme="minorEastAsia"/>
                <w:kern w:val="0"/>
                <w:szCs w:val="21"/>
              </w:rPr>
              <w:t>DB50/758-2017</w:t>
            </w:r>
            <w:r>
              <w:rPr>
                <w:rFonts w:hAnsiTheme="minorEastAsia" w:eastAsiaTheme="minorEastAsia"/>
                <w:kern w:val="0"/>
                <w:szCs w:val="21"/>
              </w:rPr>
              <w:t>）</w:t>
            </w:r>
          </w:p>
        </w:tc>
      </w:tr>
      <w:tr w14:paraId="3504E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0" w:type="dxa"/>
            <w:vMerge w:val="continue"/>
            <w:vAlign w:val="center"/>
          </w:tcPr>
          <w:p w14:paraId="04D6C07C">
            <w:pPr>
              <w:adjustRightInd w:val="0"/>
              <w:snapToGrid w:val="0"/>
              <w:jc w:val="center"/>
              <w:rPr>
                <w:rFonts w:eastAsiaTheme="minorEastAsia"/>
                <w:szCs w:val="21"/>
              </w:rPr>
            </w:pPr>
          </w:p>
        </w:tc>
        <w:tc>
          <w:tcPr>
            <w:tcW w:w="1701" w:type="dxa"/>
            <w:gridSpan w:val="2"/>
            <w:vAlign w:val="center"/>
          </w:tcPr>
          <w:p w14:paraId="1BB2AB63">
            <w:pPr>
              <w:adjustRightInd w:val="0"/>
              <w:snapToGrid w:val="0"/>
              <w:jc w:val="center"/>
              <w:rPr>
                <w:rFonts w:eastAsiaTheme="minorEastAsia"/>
                <w:bCs/>
                <w:szCs w:val="21"/>
              </w:rPr>
            </w:pPr>
            <w:r>
              <w:rPr>
                <w:rFonts w:hAnsiTheme="minorEastAsia" w:eastAsiaTheme="minorEastAsia"/>
                <w:bCs/>
                <w:szCs w:val="21"/>
              </w:rPr>
              <w:t>食堂油烟</w:t>
            </w:r>
          </w:p>
        </w:tc>
        <w:tc>
          <w:tcPr>
            <w:tcW w:w="1417" w:type="dxa"/>
            <w:vAlign w:val="center"/>
          </w:tcPr>
          <w:p w14:paraId="68B3BB77">
            <w:pPr>
              <w:adjustRightInd w:val="0"/>
              <w:snapToGrid w:val="0"/>
              <w:jc w:val="center"/>
              <w:rPr>
                <w:rFonts w:eastAsiaTheme="minorEastAsia"/>
                <w:bCs/>
                <w:szCs w:val="21"/>
              </w:rPr>
            </w:pPr>
            <w:r>
              <w:rPr>
                <w:rFonts w:hAnsiTheme="minorEastAsia" w:eastAsiaTheme="minorEastAsia"/>
                <w:bCs/>
                <w:szCs w:val="21"/>
              </w:rPr>
              <w:t>油烟、非甲烷总烃</w:t>
            </w:r>
          </w:p>
        </w:tc>
        <w:tc>
          <w:tcPr>
            <w:tcW w:w="2410" w:type="dxa"/>
            <w:gridSpan w:val="2"/>
            <w:vAlign w:val="center"/>
          </w:tcPr>
          <w:p w14:paraId="3EA0DC87">
            <w:pPr>
              <w:adjustRightInd w:val="0"/>
              <w:snapToGrid w:val="0"/>
              <w:rPr>
                <w:rFonts w:eastAsiaTheme="minorEastAsia"/>
                <w:bCs/>
                <w:szCs w:val="21"/>
              </w:rPr>
            </w:pPr>
            <w:r>
              <w:rPr>
                <w:rFonts w:hAnsiTheme="minorEastAsia" w:eastAsiaTheme="minorEastAsia"/>
                <w:bCs/>
                <w:szCs w:val="21"/>
              </w:rPr>
              <w:t>经油烟净化器处理后经专用烟道排放</w:t>
            </w:r>
          </w:p>
        </w:tc>
        <w:tc>
          <w:tcPr>
            <w:tcW w:w="2068" w:type="dxa"/>
            <w:vAlign w:val="center"/>
          </w:tcPr>
          <w:p w14:paraId="6BC665F1">
            <w:pPr>
              <w:autoSpaceDE w:val="0"/>
              <w:autoSpaceDN w:val="0"/>
              <w:adjustRightInd w:val="0"/>
              <w:jc w:val="left"/>
              <w:rPr>
                <w:rFonts w:eastAsiaTheme="minorEastAsia"/>
                <w:kern w:val="0"/>
                <w:szCs w:val="21"/>
              </w:rPr>
            </w:pPr>
            <w:r>
              <w:rPr>
                <w:rFonts w:hAnsiTheme="minorEastAsia" w:eastAsiaTheme="minorEastAsia"/>
                <w:kern w:val="0"/>
                <w:szCs w:val="21"/>
              </w:rPr>
              <w:t>《餐饮业大气污染物排放标准》</w:t>
            </w:r>
          </w:p>
          <w:p w14:paraId="5FE6AE00">
            <w:pPr>
              <w:adjustRightInd w:val="0"/>
              <w:snapToGrid w:val="0"/>
              <w:rPr>
                <w:rFonts w:eastAsiaTheme="minorEastAsia"/>
                <w:bCs/>
                <w:szCs w:val="21"/>
              </w:rPr>
            </w:pPr>
            <w:r>
              <w:rPr>
                <w:rFonts w:hAnsiTheme="minorEastAsia" w:eastAsiaTheme="minorEastAsia"/>
                <w:kern w:val="0"/>
                <w:szCs w:val="21"/>
              </w:rPr>
              <w:t>（</w:t>
            </w:r>
            <w:r>
              <w:rPr>
                <w:rFonts w:eastAsiaTheme="minorEastAsia"/>
                <w:kern w:val="0"/>
                <w:szCs w:val="21"/>
              </w:rPr>
              <w:t>DB50859-2018</w:t>
            </w:r>
            <w:r>
              <w:rPr>
                <w:rFonts w:hAnsiTheme="minorEastAsia" w:eastAsiaTheme="minorEastAsia"/>
                <w:kern w:val="0"/>
                <w:szCs w:val="21"/>
              </w:rPr>
              <w:t>）</w:t>
            </w:r>
          </w:p>
        </w:tc>
      </w:tr>
      <w:tr w14:paraId="0FDFB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0" w:type="dxa"/>
            <w:vMerge w:val="continue"/>
            <w:vAlign w:val="center"/>
          </w:tcPr>
          <w:p w14:paraId="0323CEB7">
            <w:pPr>
              <w:adjustRightInd w:val="0"/>
              <w:snapToGrid w:val="0"/>
              <w:jc w:val="center"/>
              <w:rPr>
                <w:rFonts w:eastAsiaTheme="minorEastAsia"/>
                <w:szCs w:val="21"/>
              </w:rPr>
            </w:pPr>
          </w:p>
        </w:tc>
        <w:tc>
          <w:tcPr>
            <w:tcW w:w="1701" w:type="dxa"/>
            <w:gridSpan w:val="2"/>
            <w:vAlign w:val="center"/>
          </w:tcPr>
          <w:p w14:paraId="3490856A">
            <w:pPr>
              <w:adjustRightInd w:val="0"/>
              <w:snapToGrid w:val="0"/>
              <w:jc w:val="center"/>
              <w:rPr>
                <w:rFonts w:eastAsiaTheme="minorEastAsia"/>
                <w:bCs/>
                <w:szCs w:val="21"/>
              </w:rPr>
            </w:pPr>
            <w:r>
              <w:rPr>
                <w:rFonts w:hAnsiTheme="minorEastAsia" w:eastAsiaTheme="minorEastAsia"/>
                <w:bCs/>
                <w:szCs w:val="21"/>
              </w:rPr>
              <w:t>厂界</w:t>
            </w:r>
          </w:p>
        </w:tc>
        <w:tc>
          <w:tcPr>
            <w:tcW w:w="1417" w:type="dxa"/>
            <w:vAlign w:val="center"/>
          </w:tcPr>
          <w:p w14:paraId="2DFDD2BB">
            <w:pPr>
              <w:adjustRightInd w:val="0"/>
              <w:snapToGrid w:val="0"/>
              <w:jc w:val="center"/>
              <w:rPr>
                <w:rFonts w:eastAsiaTheme="minorEastAsia"/>
                <w:bCs/>
                <w:szCs w:val="21"/>
              </w:rPr>
            </w:pPr>
            <w:r>
              <w:rPr>
                <w:rFonts w:hAnsiTheme="minorEastAsia" w:eastAsiaTheme="minorEastAsia"/>
                <w:bCs/>
                <w:szCs w:val="21"/>
              </w:rPr>
              <w:t>颗粒物、非甲烷总烃</w:t>
            </w:r>
            <w:r>
              <w:rPr>
                <w:rFonts w:hint="eastAsia" w:hAnsiTheme="minorEastAsia" w:eastAsiaTheme="minorEastAsia"/>
                <w:bCs/>
                <w:szCs w:val="21"/>
              </w:rPr>
              <w:t>、臭气浓度</w:t>
            </w:r>
          </w:p>
        </w:tc>
        <w:tc>
          <w:tcPr>
            <w:tcW w:w="2410" w:type="dxa"/>
            <w:gridSpan w:val="2"/>
            <w:vAlign w:val="center"/>
          </w:tcPr>
          <w:p w14:paraId="18DE6B3D">
            <w:pPr>
              <w:adjustRightInd w:val="0"/>
              <w:snapToGrid w:val="0"/>
              <w:jc w:val="center"/>
              <w:rPr>
                <w:rFonts w:eastAsiaTheme="minorEastAsia"/>
                <w:bCs/>
                <w:szCs w:val="21"/>
              </w:rPr>
            </w:pPr>
            <w:r>
              <w:rPr>
                <w:rFonts w:hAnsiTheme="minorEastAsia" w:eastAsiaTheme="minorEastAsia"/>
                <w:bCs/>
                <w:szCs w:val="21"/>
              </w:rPr>
              <w:t>加强通风</w:t>
            </w:r>
          </w:p>
        </w:tc>
        <w:tc>
          <w:tcPr>
            <w:tcW w:w="2068" w:type="dxa"/>
            <w:vAlign w:val="center"/>
          </w:tcPr>
          <w:p w14:paraId="3A037CD1">
            <w:pPr>
              <w:autoSpaceDE w:val="0"/>
              <w:autoSpaceDN w:val="0"/>
              <w:adjustRightInd w:val="0"/>
              <w:jc w:val="left"/>
              <w:rPr>
                <w:rFonts w:eastAsiaTheme="minorEastAsia"/>
                <w:bCs/>
                <w:szCs w:val="21"/>
              </w:rPr>
            </w:pPr>
            <w:r>
              <w:rPr>
                <w:rFonts w:hAnsiTheme="minorEastAsia" w:eastAsiaTheme="minorEastAsia"/>
                <w:kern w:val="0"/>
                <w:szCs w:val="21"/>
              </w:rPr>
              <w:t>《包装印刷业大气污染物排放标准》（</w:t>
            </w:r>
            <w:r>
              <w:rPr>
                <w:rFonts w:eastAsiaTheme="minorEastAsia"/>
                <w:kern w:val="0"/>
                <w:szCs w:val="21"/>
              </w:rPr>
              <w:t>DB50/758-2017</w:t>
            </w:r>
            <w:r>
              <w:rPr>
                <w:rFonts w:hAnsiTheme="minorEastAsia" w:eastAsiaTheme="minorEastAsia"/>
                <w:kern w:val="0"/>
                <w:szCs w:val="21"/>
              </w:rPr>
              <w:t>）、《大气污染物综合排放标准》（</w:t>
            </w:r>
            <w:r>
              <w:rPr>
                <w:rFonts w:eastAsiaTheme="minorEastAsia"/>
                <w:kern w:val="0"/>
                <w:szCs w:val="21"/>
              </w:rPr>
              <w:t>DB50/418-2016</w:t>
            </w:r>
            <w:r>
              <w:rPr>
                <w:rFonts w:hAnsiTheme="minorEastAsia" w:eastAsiaTheme="minorEastAsia"/>
                <w:kern w:val="0"/>
                <w:szCs w:val="21"/>
              </w:rPr>
              <w:t>）</w:t>
            </w:r>
            <w:r>
              <w:rPr>
                <w:rFonts w:hint="eastAsia" w:hAnsiTheme="minorEastAsia" w:eastAsiaTheme="minorEastAsia"/>
                <w:kern w:val="0"/>
                <w:szCs w:val="21"/>
              </w:rPr>
              <w:t>、</w:t>
            </w:r>
            <w:r>
              <w:rPr>
                <w:szCs w:val="21"/>
              </w:rPr>
              <w:t>《</w:t>
            </w:r>
            <w:r>
              <w:rPr>
                <w:rFonts w:hint="eastAsia"/>
                <w:szCs w:val="21"/>
              </w:rPr>
              <w:t>恶臭</w:t>
            </w:r>
            <w:r>
              <w:rPr>
                <w:szCs w:val="21"/>
              </w:rPr>
              <w:t>污染</w:t>
            </w:r>
            <w:r>
              <w:rPr>
                <w:rFonts w:hint="eastAsia"/>
                <w:szCs w:val="21"/>
              </w:rPr>
              <w:t>物</w:t>
            </w:r>
            <w:r>
              <w:rPr>
                <w:szCs w:val="21"/>
              </w:rPr>
              <w:t>排放标准》(GB</w:t>
            </w:r>
            <w:r>
              <w:rPr>
                <w:rFonts w:hint="eastAsia"/>
                <w:szCs w:val="21"/>
              </w:rPr>
              <w:t>14554</w:t>
            </w:r>
            <w:r>
              <w:rPr>
                <w:szCs w:val="21"/>
              </w:rPr>
              <w:t>-</w:t>
            </w:r>
            <w:r>
              <w:rPr>
                <w:rFonts w:hint="eastAsia"/>
                <w:szCs w:val="21"/>
              </w:rPr>
              <w:t>93</w:t>
            </w:r>
            <w:r>
              <w:rPr>
                <w:szCs w:val="21"/>
              </w:rPr>
              <w:t>)</w:t>
            </w:r>
          </w:p>
        </w:tc>
      </w:tr>
      <w:tr w14:paraId="66F96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0" w:type="dxa"/>
            <w:vMerge w:val="continue"/>
            <w:vAlign w:val="center"/>
          </w:tcPr>
          <w:p w14:paraId="7BCBEB03">
            <w:pPr>
              <w:adjustRightInd w:val="0"/>
              <w:snapToGrid w:val="0"/>
              <w:jc w:val="center"/>
              <w:rPr>
                <w:rFonts w:eastAsiaTheme="minorEastAsia"/>
                <w:szCs w:val="21"/>
              </w:rPr>
            </w:pPr>
          </w:p>
        </w:tc>
        <w:tc>
          <w:tcPr>
            <w:tcW w:w="1701" w:type="dxa"/>
            <w:gridSpan w:val="2"/>
            <w:vAlign w:val="center"/>
          </w:tcPr>
          <w:p w14:paraId="239E69D3">
            <w:pPr>
              <w:adjustRightInd w:val="0"/>
              <w:snapToGrid w:val="0"/>
              <w:jc w:val="center"/>
              <w:rPr>
                <w:rFonts w:eastAsiaTheme="minorEastAsia"/>
                <w:bCs/>
                <w:szCs w:val="21"/>
              </w:rPr>
            </w:pPr>
            <w:r>
              <w:rPr>
                <w:rFonts w:hAnsiTheme="minorEastAsia" w:eastAsiaTheme="minorEastAsia"/>
                <w:bCs/>
                <w:szCs w:val="21"/>
              </w:rPr>
              <w:t>厂区内、车间外</w:t>
            </w:r>
          </w:p>
        </w:tc>
        <w:tc>
          <w:tcPr>
            <w:tcW w:w="1417" w:type="dxa"/>
            <w:vAlign w:val="center"/>
          </w:tcPr>
          <w:p w14:paraId="12291A92">
            <w:pPr>
              <w:adjustRightInd w:val="0"/>
              <w:snapToGrid w:val="0"/>
              <w:jc w:val="center"/>
              <w:rPr>
                <w:rFonts w:eastAsiaTheme="minorEastAsia"/>
                <w:bCs/>
                <w:szCs w:val="21"/>
              </w:rPr>
            </w:pPr>
            <w:r>
              <w:rPr>
                <w:rFonts w:hAnsiTheme="minorEastAsia" w:eastAsiaTheme="minorEastAsia"/>
                <w:bCs/>
                <w:szCs w:val="21"/>
              </w:rPr>
              <w:t>非甲烷总烃</w:t>
            </w:r>
          </w:p>
        </w:tc>
        <w:tc>
          <w:tcPr>
            <w:tcW w:w="2410" w:type="dxa"/>
            <w:gridSpan w:val="2"/>
            <w:vAlign w:val="center"/>
          </w:tcPr>
          <w:p w14:paraId="011DA944">
            <w:pPr>
              <w:adjustRightInd w:val="0"/>
              <w:snapToGrid w:val="0"/>
              <w:jc w:val="center"/>
              <w:rPr>
                <w:rFonts w:eastAsiaTheme="minorEastAsia"/>
                <w:bCs/>
                <w:szCs w:val="21"/>
              </w:rPr>
            </w:pPr>
            <w:r>
              <w:rPr>
                <w:rFonts w:eastAsiaTheme="minorEastAsia"/>
                <w:bCs/>
                <w:szCs w:val="21"/>
              </w:rPr>
              <w:t>/</w:t>
            </w:r>
          </w:p>
        </w:tc>
        <w:tc>
          <w:tcPr>
            <w:tcW w:w="2068" w:type="dxa"/>
            <w:vAlign w:val="center"/>
          </w:tcPr>
          <w:p w14:paraId="04692CDC">
            <w:pPr>
              <w:autoSpaceDE w:val="0"/>
              <w:autoSpaceDN w:val="0"/>
              <w:adjustRightInd w:val="0"/>
              <w:jc w:val="left"/>
              <w:rPr>
                <w:rFonts w:eastAsiaTheme="minorEastAsia"/>
                <w:kern w:val="0"/>
                <w:szCs w:val="21"/>
              </w:rPr>
            </w:pPr>
            <w:r>
              <w:rPr>
                <w:rFonts w:hAnsiTheme="minorEastAsia" w:eastAsiaTheme="minorEastAsia"/>
                <w:kern w:val="0"/>
                <w:szCs w:val="21"/>
              </w:rPr>
              <w:t>《挥发性有机物无组织排放控制标准》</w:t>
            </w:r>
          </w:p>
          <w:p w14:paraId="20956990">
            <w:pPr>
              <w:adjustRightInd w:val="0"/>
              <w:snapToGrid w:val="0"/>
              <w:jc w:val="center"/>
              <w:rPr>
                <w:rFonts w:eastAsiaTheme="minorEastAsia"/>
                <w:bCs/>
                <w:szCs w:val="21"/>
              </w:rPr>
            </w:pPr>
            <w:r>
              <w:rPr>
                <w:rFonts w:hAnsiTheme="minorEastAsia" w:eastAsiaTheme="minorEastAsia"/>
                <w:kern w:val="0"/>
                <w:szCs w:val="21"/>
              </w:rPr>
              <w:t>（</w:t>
            </w:r>
            <w:r>
              <w:rPr>
                <w:rFonts w:eastAsiaTheme="minorEastAsia"/>
                <w:kern w:val="0"/>
                <w:szCs w:val="21"/>
              </w:rPr>
              <w:t>GB37822-2019</w:t>
            </w:r>
            <w:r>
              <w:rPr>
                <w:rFonts w:hAnsiTheme="minorEastAsia" w:eastAsiaTheme="minorEastAsia"/>
                <w:kern w:val="0"/>
                <w:szCs w:val="21"/>
              </w:rPr>
              <w:t>）</w:t>
            </w:r>
          </w:p>
        </w:tc>
      </w:tr>
      <w:tr w14:paraId="52650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0" w:type="dxa"/>
            <w:vAlign w:val="center"/>
          </w:tcPr>
          <w:p w14:paraId="194672DA">
            <w:pPr>
              <w:adjustRightInd w:val="0"/>
              <w:snapToGrid w:val="0"/>
              <w:jc w:val="center"/>
              <w:rPr>
                <w:rFonts w:eastAsiaTheme="minorEastAsia"/>
                <w:szCs w:val="21"/>
              </w:rPr>
            </w:pPr>
            <w:r>
              <w:rPr>
                <w:rFonts w:hAnsiTheme="minorEastAsia" w:eastAsiaTheme="minorEastAsia"/>
                <w:szCs w:val="21"/>
              </w:rPr>
              <w:t>地表水环境</w:t>
            </w:r>
          </w:p>
        </w:tc>
        <w:tc>
          <w:tcPr>
            <w:tcW w:w="1701" w:type="dxa"/>
            <w:gridSpan w:val="2"/>
            <w:vAlign w:val="center"/>
          </w:tcPr>
          <w:p w14:paraId="1104DAE1">
            <w:pPr>
              <w:adjustRightInd w:val="0"/>
              <w:snapToGrid w:val="0"/>
              <w:jc w:val="center"/>
              <w:rPr>
                <w:rFonts w:eastAsiaTheme="minorEastAsia"/>
                <w:szCs w:val="21"/>
              </w:rPr>
            </w:pPr>
            <w:r>
              <w:rPr>
                <w:rFonts w:hAnsiTheme="minorEastAsia" w:eastAsiaTheme="minorEastAsia"/>
                <w:szCs w:val="21"/>
              </w:rPr>
              <w:t>员工生活污水、食堂废水、地面清洁废水</w:t>
            </w:r>
          </w:p>
        </w:tc>
        <w:tc>
          <w:tcPr>
            <w:tcW w:w="1417" w:type="dxa"/>
            <w:vAlign w:val="center"/>
          </w:tcPr>
          <w:p w14:paraId="64FE67FD">
            <w:pPr>
              <w:adjustRightInd w:val="0"/>
              <w:snapToGrid w:val="0"/>
              <w:jc w:val="center"/>
              <w:rPr>
                <w:rFonts w:eastAsiaTheme="minorEastAsia"/>
                <w:szCs w:val="21"/>
              </w:rPr>
            </w:pPr>
            <w:r>
              <w:rPr>
                <w:rFonts w:eastAsiaTheme="minorEastAsia"/>
                <w:szCs w:val="21"/>
              </w:rPr>
              <w:t>pH</w:t>
            </w:r>
            <w:r>
              <w:rPr>
                <w:rFonts w:hAnsiTheme="minorEastAsia" w:eastAsiaTheme="minorEastAsia"/>
                <w:szCs w:val="21"/>
              </w:rPr>
              <w:t>、</w:t>
            </w:r>
            <w:r>
              <w:rPr>
                <w:rFonts w:eastAsiaTheme="minorEastAsia"/>
                <w:szCs w:val="21"/>
              </w:rPr>
              <w:t>COD</w:t>
            </w:r>
            <w:r>
              <w:rPr>
                <w:rFonts w:hAnsiTheme="minorEastAsia" w:eastAsiaTheme="minorEastAsia"/>
                <w:szCs w:val="21"/>
              </w:rPr>
              <w:t>、</w:t>
            </w:r>
            <w:r>
              <w:rPr>
                <w:rFonts w:eastAsiaTheme="minorEastAsia"/>
                <w:szCs w:val="21"/>
              </w:rPr>
              <w:t>BOD</w:t>
            </w:r>
            <w:r>
              <w:rPr>
                <w:rFonts w:eastAsiaTheme="minorEastAsia"/>
                <w:szCs w:val="21"/>
                <w:vertAlign w:val="subscript"/>
              </w:rPr>
              <w:t>5</w:t>
            </w:r>
            <w:r>
              <w:rPr>
                <w:rFonts w:hAnsiTheme="minorEastAsia" w:eastAsiaTheme="minorEastAsia"/>
                <w:szCs w:val="21"/>
              </w:rPr>
              <w:t>、</w:t>
            </w:r>
            <w:r>
              <w:rPr>
                <w:rFonts w:eastAsiaTheme="minorEastAsia"/>
                <w:szCs w:val="21"/>
              </w:rPr>
              <w:t>SS</w:t>
            </w:r>
            <w:r>
              <w:rPr>
                <w:rFonts w:hAnsiTheme="minorEastAsia" w:eastAsiaTheme="minorEastAsia"/>
                <w:szCs w:val="21"/>
              </w:rPr>
              <w:t>、</w:t>
            </w:r>
            <w:r>
              <w:rPr>
                <w:rFonts w:eastAsiaTheme="minorEastAsia"/>
                <w:szCs w:val="21"/>
              </w:rPr>
              <w:t>NH</w:t>
            </w:r>
            <w:r>
              <w:rPr>
                <w:rFonts w:eastAsiaTheme="minorEastAsia"/>
                <w:szCs w:val="21"/>
                <w:vertAlign w:val="subscript"/>
              </w:rPr>
              <w:t>3</w:t>
            </w:r>
            <w:r>
              <w:rPr>
                <w:rFonts w:eastAsiaTheme="minorEastAsia"/>
                <w:szCs w:val="21"/>
              </w:rPr>
              <w:t>-N</w:t>
            </w:r>
            <w:r>
              <w:rPr>
                <w:rFonts w:hAnsiTheme="minorEastAsia" w:eastAsiaTheme="minorEastAsia"/>
                <w:szCs w:val="21"/>
              </w:rPr>
              <w:t>、动植物油、石油类、总磷</w:t>
            </w:r>
          </w:p>
        </w:tc>
        <w:tc>
          <w:tcPr>
            <w:tcW w:w="2410" w:type="dxa"/>
            <w:gridSpan w:val="2"/>
            <w:vAlign w:val="center"/>
          </w:tcPr>
          <w:p w14:paraId="0FE5E9A3">
            <w:pPr>
              <w:rPr>
                <w:rFonts w:eastAsiaTheme="minorEastAsia"/>
                <w:szCs w:val="21"/>
              </w:rPr>
            </w:pPr>
            <w:r>
              <w:rPr>
                <w:rFonts w:hAnsiTheme="minorEastAsia" w:eastAsiaTheme="minorEastAsia"/>
                <w:kern w:val="0"/>
                <w:szCs w:val="21"/>
              </w:rPr>
              <w:t>食堂废水经隔油池（设计处理能力</w:t>
            </w:r>
            <w:r>
              <w:rPr>
                <w:rFonts w:eastAsiaTheme="minorEastAsia"/>
                <w:kern w:val="0"/>
                <w:szCs w:val="21"/>
              </w:rPr>
              <w:t>8</w:t>
            </w:r>
            <w:r>
              <w:rPr>
                <w:rFonts w:hint="eastAsia" w:eastAsiaTheme="minorEastAsia"/>
                <w:kern w:val="0"/>
                <w:szCs w:val="21"/>
              </w:rPr>
              <w:t>0</w:t>
            </w:r>
            <w:r>
              <w:rPr>
                <w:rFonts w:eastAsiaTheme="minorEastAsia"/>
                <w:kern w:val="0"/>
                <w:szCs w:val="21"/>
              </w:rPr>
              <w:t>m</w:t>
            </w:r>
            <w:r>
              <w:rPr>
                <w:rFonts w:eastAsiaTheme="minorEastAsia"/>
                <w:kern w:val="0"/>
                <w:szCs w:val="21"/>
                <w:vertAlign w:val="superscript"/>
              </w:rPr>
              <w:t>3</w:t>
            </w:r>
            <w:r>
              <w:rPr>
                <w:rFonts w:eastAsiaTheme="minorEastAsia"/>
                <w:kern w:val="0"/>
                <w:szCs w:val="21"/>
              </w:rPr>
              <w:t>/d</w:t>
            </w:r>
            <w:r>
              <w:rPr>
                <w:rFonts w:hAnsiTheme="minorEastAsia" w:eastAsiaTheme="minorEastAsia"/>
                <w:kern w:val="0"/>
                <w:szCs w:val="21"/>
              </w:rPr>
              <w:t>）处理后与员工生活污水、地面清洁废水</w:t>
            </w:r>
            <w:r>
              <w:rPr>
                <w:rFonts w:hint="eastAsia" w:hAnsiTheme="minorEastAsia" w:eastAsiaTheme="minorEastAsia"/>
                <w:kern w:val="0"/>
                <w:szCs w:val="21"/>
              </w:rPr>
              <w:t>、</w:t>
            </w:r>
            <w:r>
              <w:rPr>
                <w:rFonts w:hint="eastAsia"/>
                <w:kern w:val="0"/>
                <w:sz w:val="24"/>
              </w:rPr>
              <w:t>循环冷却水系统排污水</w:t>
            </w:r>
            <w:r>
              <w:rPr>
                <w:rFonts w:hAnsiTheme="minorEastAsia" w:eastAsiaTheme="minorEastAsia"/>
                <w:kern w:val="0"/>
                <w:szCs w:val="21"/>
              </w:rPr>
              <w:t>一起进入自建生化池（设计处理规模为</w:t>
            </w:r>
            <w:r>
              <w:rPr>
                <w:rFonts w:hint="eastAsia" w:eastAsiaTheme="minorEastAsia"/>
                <w:kern w:val="0"/>
                <w:szCs w:val="21"/>
              </w:rPr>
              <w:t>200</w:t>
            </w:r>
            <w:r>
              <w:rPr>
                <w:rFonts w:eastAsiaTheme="minorEastAsia"/>
                <w:kern w:val="0"/>
                <w:szCs w:val="21"/>
              </w:rPr>
              <w:t>m</w:t>
            </w:r>
            <w:r>
              <w:rPr>
                <w:rFonts w:eastAsiaTheme="minorEastAsia"/>
                <w:kern w:val="0"/>
                <w:szCs w:val="21"/>
                <w:vertAlign w:val="superscript"/>
              </w:rPr>
              <w:t>3</w:t>
            </w:r>
            <w:r>
              <w:rPr>
                <w:rFonts w:eastAsiaTheme="minorEastAsia"/>
                <w:kern w:val="0"/>
                <w:szCs w:val="21"/>
              </w:rPr>
              <w:t>/d</w:t>
            </w:r>
            <w:r>
              <w:rPr>
                <w:rFonts w:hAnsiTheme="minorEastAsia" w:eastAsiaTheme="minorEastAsia"/>
                <w:kern w:val="0"/>
                <w:szCs w:val="21"/>
              </w:rPr>
              <w:t>）处理达标后通过市政管网排入李渡大耍坝污水处理厂处理达标后排入长江。</w:t>
            </w:r>
          </w:p>
        </w:tc>
        <w:tc>
          <w:tcPr>
            <w:tcW w:w="2068" w:type="dxa"/>
            <w:vAlign w:val="center"/>
          </w:tcPr>
          <w:p w14:paraId="0084187A">
            <w:pPr>
              <w:adjustRightInd w:val="0"/>
              <w:snapToGrid w:val="0"/>
              <w:rPr>
                <w:rFonts w:eastAsiaTheme="minorEastAsia"/>
                <w:szCs w:val="21"/>
              </w:rPr>
            </w:pPr>
            <w:r>
              <w:rPr>
                <w:rFonts w:hAnsiTheme="minorEastAsia" w:eastAsiaTheme="minorEastAsia"/>
                <w:kern w:val="0"/>
                <w:szCs w:val="21"/>
              </w:rPr>
              <w:t>《污水综合排放标准》（</w:t>
            </w:r>
            <w:r>
              <w:rPr>
                <w:rFonts w:eastAsiaTheme="minorEastAsia"/>
                <w:kern w:val="0"/>
                <w:szCs w:val="21"/>
              </w:rPr>
              <w:t>GB8978-1996</w:t>
            </w:r>
            <w:r>
              <w:rPr>
                <w:rFonts w:hAnsiTheme="minorEastAsia" w:eastAsiaTheme="minorEastAsia"/>
                <w:kern w:val="0"/>
                <w:szCs w:val="21"/>
              </w:rPr>
              <w:t>）三级标准</w:t>
            </w:r>
          </w:p>
        </w:tc>
      </w:tr>
      <w:tr w14:paraId="1E0EB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0" w:type="dxa"/>
            <w:vAlign w:val="center"/>
          </w:tcPr>
          <w:p w14:paraId="22574DBB">
            <w:pPr>
              <w:adjustRightInd w:val="0"/>
              <w:snapToGrid w:val="0"/>
              <w:jc w:val="center"/>
              <w:rPr>
                <w:rFonts w:eastAsiaTheme="minorEastAsia"/>
                <w:szCs w:val="21"/>
              </w:rPr>
            </w:pPr>
            <w:r>
              <w:rPr>
                <w:rFonts w:hAnsiTheme="minorEastAsia" w:eastAsiaTheme="minorEastAsia"/>
                <w:szCs w:val="21"/>
              </w:rPr>
              <w:t>声环境</w:t>
            </w:r>
          </w:p>
        </w:tc>
        <w:tc>
          <w:tcPr>
            <w:tcW w:w="1701" w:type="dxa"/>
            <w:gridSpan w:val="2"/>
            <w:vAlign w:val="center"/>
          </w:tcPr>
          <w:p w14:paraId="49EF593C">
            <w:pPr>
              <w:adjustRightInd w:val="0"/>
              <w:snapToGrid w:val="0"/>
              <w:jc w:val="center"/>
              <w:rPr>
                <w:rFonts w:eastAsiaTheme="minorEastAsia"/>
                <w:szCs w:val="21"/>
              </w:rPr>
            </w:pPr>
            <w:r>
              <w:rPr>
                <w:rFonts w:hAnsiTheme="minorEastAsia" w:eastAsiaTheme="minorEastAsia"/>
                <w:szCs w:val="21"/>
              </w:rPr>
              <w:t>生产设备</w:t>
            </w:r>
          </w:p>
        </w:tc>
        <w:tc>
          <w:tcPr>
            <w:tcW w:w="1417" w:type="dxa"/>
            <w:vAlign w:val="center"/>
          </w:tcPr>
          <w:p w14:paraId="15B4022E">
            <w:pPr>
              <w:adjustRightInd w:val="0"/>
              <w:snapToGrid w:val="0"/>
              <w:jc w:val="center"/>
              <w:rPr>
                <w:rFonts w:eastAsiaTheme="minorEastAsia"/>
                <w:szCs w:val="21"/>
              </w:rPr>
            </w:pPr>
            <w:r>
              <w:rPr>
                <w:rFonts w:hAnsiTheme="minorEastAsia" w:eastAsiaTheme="minorEastAsia"/>
                <w:szCs w:val="21"/>
              </w:rPr>
              <w:t>噪声</w:t>
            </w:r>
          </w:p>
        </w:tc>
        <w:tc>
          <w:tcPr>
            <w:tcW w:w="2410" w:type="dxa"/>
            <w:gridSpan w:val="2"/>
            <w:vAlign w:val="center"/>
          </w:tcPr>
          <w:p w14:paraId="07A00E85">
            <w:pPr>
              <w:adjustRightInd w:val="0"/>
              <w:snapToGrid w:val="0"/>
              <w:rPr>
                <w:rFonts w:eastAsiaTheme="minorEastAsia"/>
                <w:szCs w:val="21"/>
              </w:rPr>
            </w:pPr>
            <w:r>
              <w:rPr>
                <w:rFonts w:hAnsiTheme="minorEastAsia" w:eastAsiaTheme="minorEastAsia"/>
                <w:szCs w:val="21"/>
              </w:rPr>
              <w:t>基础减振、合理布局、隔声；同时对医院内部合理布置、加强门诊部管理</w:t>
            </w:r>
          </w:p>
        </w:tc>
        <w:tc>
          <w:tcPr>
            <w:tcW w:w="2068" w:type="dxa"/>
            <w:vAlign w:val="center"/>
          </w:tcPr>
          <w:p w14:paraId="40C5C2D7">
            <w:pPr>
              <w:adjustRightInd w:val="0"/>
              <w:snapToGrid w:val="0"/>
              <w:rPr>
                <w:rFonts w:eastAsiaTheme="minorEastAsia"/>
                <w:szCs w:val="21"/>
              </w:rPr>
            </w:pPr>
            <w:r>
              <w:rPr>
                <w:rFonts w:hAnsiTheme="minorEastAsia" w:eastAsiaTheme="minorEastAsia"/>
                <w:szCs w:val="21"/>
              </w:rPr>
              <w:t>《工业企业厂界环境噪声排放标准》</w:t>
            </w:r>
            <w:r>
              <w:rPr>
                <w:rFonts w:eastAsiaTheme="minorEastAsia"/>
                <w:szCs w:val="21"/>
              </w:rPr>
              <w:t>(GB12348</w:t>
            </w:r>
            <w:r>
              <w:rPr>
                <w:rFonts w:hAnsiTheme="minorEastAsia" w:eastAsiaTheme="minorEastAsia"/>
                <w:szCs w:val="21"/>
              </w:rPr>
              <w:t>－</w:t>
            </w:r>
            <w:r>
              <w:rPr>
                <w:rFonts w:eastAsiaTheme="minorEastAsia"/>
                <w:szCs w:val="21"/>
              </w:rPr>
              <w:t>2008)3</w:t>
            </w:r>
            <w:r>
              <w:rPr>
                <w:rFonts w:hAnsiTheme="minorEastAsia" w:eastAsiaTheme="minorEastAsia"/>
                <w:szCs w:val="21"/>
              </w:rPr>
              <w:t>类标准</w:t>
            </w:r>
          </w:p>
        </w:tc>
      </w:tr>
      <w:tr w14:paraId="443C9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20" w:type="dxa"/>
            <w:vAlign w:val="center"/>
          </w:tcPr>
          <w:p w14:paraId="4881CA10">
            <w:pPr>
              <w:adjustRightInd w:val="0"/>
              <w:snapToGrid w:val="0"/>
              <w:jc w:val="center"/>
              <w:rPr>
                <w:rFonts w:eastAsiaTheme="minorEastAsia"/>
                <w:szCs w:val="21"/>
              </w:rPr>
            </w:pPr>
            <w:r>
              <w:rPr>
                <w:rFonts w:hAnsiTheme="minorEastAsia" w:eastAsiaTheme="minorEastAsia"/>
                <w:szCs w:val="21"/>
              </w:rPr>
              <w:t>固体废物</w:t>
            </w:r>
          </w:p>
        </w:tc>
        <w:tc>
          <w:tcPr>
            <w:tcW w:w="7596" w:type="dxa"/>
            <w:gridSpan w:val="6"/>
            <w:vAlign w:val="center"/>
          </w:tcPr>
          <w:p w14:paraId="367AB9FB">
            <w:pPr>
              <w:autoSpaceDE w:val="0"/>
              <w:autoSpaceDN w:val="0"/>
              <w:adjustRightInd w:val="0"/>
              <w:spacing w:line="360" w:lineRule="exact"/>
              <w:jc w:val="left"/>
              <w:rPr>
                <w:rFonts w:eastAsiaTheme="minorEastAsia"/>
                <w:kern w:val="0"/>
                <w:szCs w:val="21"/>
              </w:rPr>
            </w:pPr>
            <w:r>
              <w:rPr>
                <w:rFonts w:hAnsiTheme="minorEastAsia" w:eastAsiaTheme="minorEastAsia"/>
                <w:kern w:val="0"/>
                <w:szCs w:val="21"/>
              </w:rPr>
              <w:t>①一般工业固体废物：主要包括废纸、不合格产品、废包装材料，分类收集后暂存于</w:t>
            </w:r>
            <w:r>
              <w:rPr>
                <w:rFonts w:hint="eastAsia" w:hAnsiTheme="minorEastAsia" w:eastAsiaTheme="minorEastAsia"/>
                <w:kern w:val="0"/>
                <w:szCs w:val="21"/>
              </w:rPr>
              <w:t>2#厂房一楼西侧的</w:t>
            </w:r>
            <w:r>
              <w:rPr>
                <w:rFonts w:hAnsiTheme="minorEastAsia" w:eastAsiaTheme="minorEastAsia"/>
                <w:kern w:val="0"/>
                <w:szCs w:val="21"/>
              </w:rPr>
              <w:t>一般固废暂存区，交由物资回收单位处理。</w:t>
            </w:r>
            <w:r>
              <w:rPr>
                <w:rFonts w:hint="eastAsia" w:hAnsiTheme="minorEastAsia" w:eastAsiaTheme="minorEastAsia"/>
                <w:kern w:val="0"/>
                <w:szCs w:val="21"/>
              </w:rPr>
              <w:t>2#厂房一楼西侧</w:t>
            </w:r>
            <w:r>
              <w:rPr>
                <w:rFonts w:hAnsiTheme="minorEastAsia" w:eastAsiaTheme="minorEastAsia"/>
                <w:kern w:val="0"/>
                <w:szCs w:val="21"/>
              </w:rPr>
              <w:t>设一般固废暂存点，约</w:t>
            </w:r>
            <w:r>
              <w:rPr>
                <w:rFonts w:hint="eastAsia" w:eastAsiaTheme="minorEastAsia"/>
                <w:kern w:val="0"/>
                <w:szCs w:val="21"/>
              </w:rPr>
              <w:t>60</w:t>
            </w:r>
            <w:r>
              <w:rPr>
                <w:rFonts w:eastAsiaTheme="minorEastAsia"/>
                <w:kern w:val="0"/>
                <w:szCs w:val="21"/>
              </w:rPr>
              <w:t>m</w:t>
            </w:r>
            <w:r>
              <w:rPr>
                <w:rFonts w:eastAsiaTheme="minorEastAsia"/>
                <w:kern w:val="0"/>
                <w:szCs w:val="21"/>
                <w:vertAlign w:val="superscript"/>
              </w:rPr>
              <w:t>2</w:t>
            </w:r>
            <w:r>
              <w:rPr>
                <w:rFonts w:hAnsiTheme="minorEastAsia" w:eastAsiaTheme="minorEastAsia"/>
                <w:kern w:val="0"/>
                <w:szCs w:val="21"/>
              </w:rPr>
              <w:t>，设标识牌。</w:t>
            </w:r>
          </w:p>
          <w:p w14:paraId="5874E79C">
            <w:pPr>
              <w:autoSpaceDE w:val="0"/>
              <w:autoSpaceDN w:val="0"/>
              <w:adjustRightInd w:val="0"/>
              <w:spacing w:line="360" w:lineRule="exact"/>
              <w:jc w:val="left"/>
              <w:rPr>
                <w:rFonts w:eastAsiaTheme="minorEastAsia"/>
                <w:kern w:val="0"/>
                <w:szCs w:val="21"/>
              </w:rPr>
            </w:pPr>
            <w:r>
              <w:rPr>
                <w:rFonts w:hAnsiTheme="minorEastAsia" w:eastAsiaTheme="minorEastAsia"/>
                <w:kern w:val="0"/>
                <w:szCs w:val="21"/>
              </w:rPr>
              <w:t>②危险废物：主要包括主要包括废润版液、废棉纱布、废包装桶、废</w:t>
            </w:r>
            <w:r>
              <w:rPr>
                <w:rFonts w:eastAsiaTheme="minorEastAsia"/>
                <w:kern w:val="0"/>
                <w:szCs w:val="21"/>
              </w:rPr>
              <w:t xml:space="preserve">CTP </w:t>
            </w:r>
            <w:r>
              <w:rPr>
                <w:rFonts w:hAnsiTheme="minorEastAsia" w:eastAsiaTheme="minorEastAsia"/>
                <w:kern w:val="0"/>
                <w:szCs w:val="21"/>
              </w:rPr>
              <w:t>版、废润滑油、废活性炭，经收集后分类暂存于危废暂存间，定期交有资质单位处理。设危废暂存间</w:t>
            </w:r>
            <w:r>
              <w:rPr>
                <w:rFonts w:eastAsiaTheme="minorEastAsia"/>
                <w:kern w:val="0"/>
                <w:szCs w:val="21"/>
              </w:rPr>
              <w:t>1</w:t>
            </w:r>
            <w:r>
              <w:rPr>
                <w:rFonts w:hAnsiTheme="minorEastAsia" w:eastAsiaTheme="minorEastAsia"/>
                <w:kern w:val="0"/>
                <w:szCs w:val="21"/>
              </w:rPr>
              <w:t>间，位于</w:t>
            </w:r>
            <w:r>
              <w:rPr>
                <w:rFonts w:hint="eastAsia"/>
                <w:szCs w:val="21"/>
              </w:rPr>
              <w:t>9#材料库2F东侧</w:t>
            </w:r>
            <w:r>
              <w:rPr>
                <w:rFonts w:hAnsiTheme="minorEastAsia" w:eastAsiaTheme="minorEastAsia"/>
                <w:kern w:val="0"/>
                <w:szCs w:val="21"/>
              </w:rPr>
              <w:t>，约</w:t>
            </w:r>
            <w:r>
              <w:rPr>
                <w:rFonts w:hint="eastAsia" w:eastAsiaTheme="minorEastAsia"/>
                <w:kern w:val="0"/>
                <w:szCs w:val="21"/>
              </w:rPr>
              <w:t>3</w:t>
            </w:r>
            <w:r>
              <w:rPr>
                <w:rFonts w:eastAsiaTheme="minorEastAsia"/>
                <w:kern w:val="0"/>
                <w:szCs w:val="21"/>
              </w:rPr>
              <w:t>0m</w:t>
            </w:r>
            <w:r>
              <w:rPr>
                <w:rFonts w:eastAsiaTheme="minorEastAsia"/>
                <w:kern w:val="0"/>
                <w:szCs w:val="21"/>
                <w:vertAlign w:val="superscript"/>
              </w:rPr>
              <w:t>2</w:t>
            </w:r>
            <w:r>
              <w:rPr>
                <w:rFonts w:hAnsiTheme="minorEastAsia" w:eastAsiaTheme="minorEastAsia"/>
                <w:kern w:val="0"/>
                <w:szCs w:val="21"/>
              </w:rPr>
              <w:t>，且暂存间做好防风、防雨、防晒、防渗措施，并设标志牌。</w:t>
            </w:r>
          </w:p>
          <w:p w14:paraId="081D2369">
            <w:pPr>
              <w:adjustRightInd w:val="0"/>
              <w:snapToGrid w:val="0"/>
              <w:spacing w:line="360" w:lineRule="exact"/>
              <w:rPr>
                <w:rFonts w:eastAsiaTheme="minorEastAsia"/>
                <w:kern w:val="0"/>
                <w:szCs w:val="21"/>
              </w:rPr>
            </w:pPr>
            <w:r>
              <w:rPr>
                <w:rFonts w:hAnsiTheme="minorEastAsia" w:eastAsiaTheme="minorEastAsia"/>
                <w:kern w:val="0"/>
                <w:szCs w:val="21"/>
              </w:rPr>
              <w:t>③生活垃圾：生活垃圾集中收集后交由环卫部门统一收集处理。</w:t>
            </w:r>
          </w:p>
          <w:p w14:paraId="06C96BEA">
            <w:pPr>
              <w:adjustRightInd w:val="0"/>
              <w:snapToGrid w:val="0"/>
              <w:spacing w:line="360" w:lineRule="exact"/>
              <w:rPr>
                <w:rFonts w:eastAsiaTheme="minorEastAsia"/>
                <w:bCs/>
                <w:szCs w:val="21"/>
              </w:rPr>
            </w:pPr>
            <w:r>
              <w:rPr>
                <w:rFonts w:hAnsiTheme="minorEastAsia" w:eastAsiaTheme="minorEastAsia"/>
                <w:bCs/>
                <w:szCs w:val="21"/>
              </w:rPr>
              <w:t>④餐厨垃圾：餐厨垃圾经收集后交由有资质单位处置。</w:t>
            </w:r>
          </w:p>
          <w:p w14:paraId="791721DC">
            <w:pPr>
              <w:adjustRightInd w:val="0"/>
              <w:snapToGrid w:val="0"/>
              <w:spacing w:line="360" w:lineRule="exact"/>
              <w:rPr>
                <w:rFonts w:eastAsiaTheme="minorEastAsia"/>
                <w:bCs/>
                <w:szCs w:val="21"/>
              </w:rPr>
            </w:pPr>
            <w:r>
              <w:rPr>
                <w:rFonts w:hAnsiTheme="minorEastAsia" w:eastAsiaTheme="minorEastAsia"/>
                <w:bCs/>
                <w:szCs w:val="21"/>
              </w:rPr>
              <w:t>⑤生化池污泥：生化池污泥定期清掏，交环卫部门处理。</w:t>
            </w:r>
          </w:p>
        </w:tc>
      </w:tr>
      <w:tr w14:paraId="67927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20" w:type="dxa"/>
            <w:vAlign w:val="center"/>
          </w:tcPr>
          <w:p w14:paraId="7ECB936F">
            <w:pPr>
              <w:adjustRightInd w:val="0"/>
              <w:snapToGrid w:val="0"/>
              <w:jc w:val="center"/>
              <w:rPr>
                <w:rFonts w:eastAsiaTheme="minorEastAsia"/>
                <w:szCs w:val="21"/>
              </w:rPr>
            </w:pPr>
            <w:r>
              <w:rPr>
                <w:rFonts w:hAnsiTheme="minorEastAsia" w:eastAsiaTheme="minorEastAsia"/>
                <w:szCs w:val="21"/>
              </w:rPr>
              <w:t>土壤及地下水</w:t>
            </w:r>
          </w:p>
          <w:p w14:paraId="74C9F4E3">
            <w:pPr>
              <w:adjustRightInd w:val="0"/>
              <w:snapToGrid w:val="0"/>
              <w:jc w:val="center"/>
              <w:rPr>
                <w:rFonts w:eastAsiaTheme="minorEastAsia"/>
                <w:szCs w:val="21"/>
              </w:rPr>
            </w:pPr>
            <w:r>
              <w:rPr>
                <w:rFonts w:hAnsiTheme="minorEastAsia" w:eastAsiaTheme="minorEastAsia"/>
                <w:szCs w:val="21"/>
              </w:rPr>
              <w:t>污染防治措施</w:t>
            </w:r>
          </w:p>
        </w:tc>
        <w:tc>
          <w:tcPr>
            <w:tcW w:w="7596" w:type="dxa"/>
            <w:gridSpan w:val="6"/>
            <w:vAlign w:val="center"/>
          </w:tcPr>
          <w:p w14:paraId="763413A1">
            <w:pPr>
              <w:autoSpaceDE w:val="0"/>
              <w:autoSpaceDN w:val="0"/>
              <w:adjustRightInd w:val="0"/>
              <w:spacing w:line="360" w:lineRule="exact"/>
              <w:jc w:val="left"/>
              <w:rPr>
                <w:rFonts w:eastAsiaTheme="minorEastAsia"/>
                <w:bCs/>
                <w:szCs w:val="21"/>
              </w:rPr>
            </w:pPr>
            <w:r>
              <w:rPr>
                <w:rFonts w:hAnsiTheme="minorEastAsia" w:eastAsiaTheme="minorEastAsia"/>
                <w:kern w:val="0"/>
                <w:szCs w:val="21"/>
              </w:rPr>
              <w:t>分区防控，重点防渗区主要包括</w:t>
            </w:r>
            <w:r>
              <w:rPr>
                <w:rFonts w:hint="eastAsia" w:hAnsiTheme="minorEastAsia" w:eastAsiaTheme="minorEastAsia"/>
                <w:kern w:val="0"/>
                <w:szCs w:val="21"/>
              </w:rPr>
              <w:t>化学品存放间</w:t>
            </w:r>
            <w:r>
              <w:rPr>
                <w:rFonts w:hAnsiTheme="minorEastAsia" w:eastAsiaTheme="minorEastAsia"/>
                <w:kern w:val="0"/>
                <w:szCs w:val="21"/>
              </w:rPr>
              <w:t>、胶印油墨印刷</w:t>
            </w:r>
            <w:r>
              <w:rPr>
                <w:rFonts w:hint="eastAsia" w:hAnsiTheme="minorEastAsia" w:eastAsiaTheme="minorEastAsia"/>
                <w:kern w:val="0"/>
                <w:szCs w:val="21"/>
              </w:rPr>
              <w:t>间</w:t>
            </w:r>
            <w:r>
              <w:rPr>
                <w:rFonts w:hAnsiTheme="minorEastAsia" w:eastAsiaTheme="minorEastAsia"/>
                <w:kern w:val="0"/>
                <w:szCs w:val="21"/>
              </w:rPr>
              <w:t>、危废暂存间及生化池。重点防渗区的防渗技术要求等效黏土防渗层不低于</w:t>
            </w:r>
            <w:r>
              <w:rPr>
                <w:rFonts w:eastAsiaTheme="minorEastAsia"/>
                <w:kern w:val="0"/>
                <w:szCs w:val="21"/>
              </w:rPr>
              <w:t>6.0m</w:t>
            </w:r>
            <w:r>
              <w:rPr>
                <w:rFonts w:hAnsiTheme="minorEastAsia" w:eastAsiaTheme="minorEastAsia"/>
                <w:kern w:val="0"/>
                <w:szCs w:val="21"/>
              </w:rPr>
              <w:t>，渗透系数不大于</w:t>
            </w:r>
            <w:r>
              <w:rPr>
                <w:rFonts w:eastAsiaTheme="minorEastAsia"/>
                <w:kern w:val="0"/>
                <w:szCs w:val="21"/>
              </w:rPr>
              <w:t>1.0×10</w:t>
            </w:r>
            <w:r>
              <w:rPr>
                <w:rFonts w:eastAsiaTheme="minorEastAsia"/>
                <w:kern w:val="0"/>
                <w:szCs w:val="21"/>
                <w:vertAlign w:val="superscript"/>
              </w:rPr>
              <w:t>-7</w:t>
            </w:r>
            <w:r>
              <w:rPr>
                <w:rFonts w:eastAsiaTheme="minorEastAsia"/>
                <w:kern w:val="0"/>
                <w:szCs w:val="21"/>
              </w:rPr>
              <w:t xml:space="preserve">cm/s </w:t>
            </w:r>
            <w:r>
              <w:rPr>
                <w:rFonts w:hAnsiTheme="minorEastAsia" w:eastAsiaTheme="minorEastAsia"/>
                <w:kern w:val="0"/>
                <w:szCs w:val="21"/>
              </w:rPr>
              <w:t>或参照</w:t>
            </w:r>
            <w:r>
              <w:rPr>
                <w:rFonts w:eastAsiaTheme="minorEastAsia"/>
                <w:kern w:val="0"/>
                <w:szCs w:val="21"/>
              </w:rPr>
              <w:t>GB18598</w:t>
            </w:r>
            <w:r>
              <w:rPr>
                <w:rFonts w:hAnsiTheme="minorEastAsia" w:eastAsiaTheme="minorEastAsia"/>
                <w:kern w:val="0"/>
                <w:szCs w:val="21"/>
              </w:rPr>
              <w:t>执行。一般防渗区：指厂区上述重点防渗区外的其他生产区域，包括生产车间、一般固废暂存间、生活垃圾收集点等区域。一般防渗区防渗技术要求：等效黏土防渗层</w:t>
            </w:r>
            <w:r>
              <w:rPr>
                <w:rFonts w:eastAsiaTheme="minorEastAsia"/>
                <w:kern w:val="0"/>
                <w:szCs w:val="21"/>
              </w:rPr>
              <w:t>Mb≥1.5m</w:t>
            </w:r>
            <w:r>
              <w:rPr>
                <w:rFonts w:hAnsiTheme="minorEastAsia" w:eastAsiaTheme="minorEastAsia"/>
                <w:kern w:val="0"/>
                <w:szCs w:val="21"/>
              </w:rPr>
              <w:t>，</w:t>
            </w:r>
            <w:r>
              <w:rPr>
                <w:rFonts w:eastAsiaTheme="minorEastAsia"/>
                <w:kern w:val="0"/>
                <w:szCs w:val="21"/>
              </w:rPr>
              <w:t>K≤1×10</w:t>
            </w:r>
            <w:r>
              <w:rPr>
                <w:rFonts w:eastAsiaTheme="minorEastAsia"/>
                <w:kern w:val="0"/>
                <w:szCs w:val="21"/>
                <w:vertAlign w:val="superscript"/>
              </w:rPr>
              <w:t>-7</w:t>
            </w:r>
            <w:r>
              <w:rPr>
                <w:rFonts w:eastAsiaTheme="minorEastAsia"/>
                <w:kern w:val="0"/>
                <w:szCs w:val="21"/>
              </w:rPr>
              <w:t>cm/s</w:t>
            </w:r>
            <w:r>
              <w:rPr>
                <w:rFonts w:hAnsiTheme="minorEastAsia" w:eastAsiaTheme="minorEastAsia"/>
                <w:kern w:val="0"/>
                <w:szCs w:val="21"/>
              </w:rPr>
              <w:t>，或参照</w:t>
            </w:r>
            <w:r>
              <w:rPr>
                <w:rFonts w:eastAsiaTheme="minorEastAsia"/>
                <w:kern w:val="0"/>
                <w:szCs w:val="21"/>
              </w:rPr>
              <w:t>GB16889</w:t>
            </w:r>
            <w:r>
              <w:rPr>
                <w:rFonts w:hAnsiTheme="minorEastAsia" w:eastAsiaTheme="minorEastAsia"/>
                <w:kern w:val="0"/>
                <w:szCs w:val="21"/>
              </w:rPr>
              <w:t>执行。简单防渗区：指不会对地下水环境造成污染或者可能会产生轻微污染的其它建筑区，主要为办公区、成品及半成品堆放区、</w:t>
            </w:r>
            <w:r>
              <w:rPr>
                <w:rFonts w:hint="eastAsia" w:hAnsiTheme="minorEastAsia" w:eastAsiaTheme="minorEastAsia"/>
                <w:kern w:val="0"/>
                <w:szCs w:val="21"/>
              </w:rPr>
              <w:t>原纸库房</w:t>
            </w:r>
            <w:r>
              <w:rPr>
                <w:rFonts w:hAnsiTheme="minorEastAsia" w:eastAsiaTheme="minorEastAsia"/>
                <w:kern w:val="0"/>
                <w:szCs w:val="21"/>
              </w:rPr>
              <w:t>划为简单防渗区。</w:t>
            </w:r>
          </w:p>
        </w:tc>
      </w:tr>
      <w:tr w14:paraId="67B68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620" w:type="dxa"/>
            <w:vAlign w:val="center"/>
          </w:tcPr>
          <w:p w14:paraId="008FA1DF">
            <w:pPr>
              <w:adjustRightInd w:val="0"/>
              <w:snapToGrid w:val="0"/>
              <w:jc w:val="center"/>
              <w:rPr>
                <w:rFonts w:eastAsiaTheme="minorEastAsia"/>
                <w:szCs w:val="21"/>
              </w:rPr>
            </w:pPr>
            <w:r>
              <w:rPr>
                <w:rFonts w:hAnsiTheme="minorEastAsia" w:eastAsiaTheme="minorEastAsia"/>
                <w:szCs w:val="21"/>
              </w:rPr>
              <w:t>生态保护措施</w:t>
            </w:r>
          </w:p>
        </w:tc>
        <w:tc>
          <w:tcPr>
            <w:tcW w:w="7596" w:type="dxa"/>
            <w:gridSpan w:val="6"/>
            <w:vAlign w:val="center"/>
          </w:tcPr>
          <w:p w14:paraId="2C333F20">
            <w:pPr>
              <w:adjustRightInd w:val="0"/>
              <w:snapToGrid w:val="0"/>
              <w:jc w:val="center"/>
              <w:rPr>
                <w:rFonts w:eastAsiaTheme="minorEastAsia"/>
                <w:szCs w:val="21"/>
              </w:rPr>
            </w:pPr>
            <w:r>
              <w:rPr>
                <w:rFonts w:eastAsiaTheme="minorEastAsia"/>
                <w:szCs w:val="21"/>
              </w:rPr>
              <w:t>/</w:t>
            </w:r>
          </w:p>
        </w:tc>
      </w:tr>
      <w:tr w14:paraId="04963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20" w:type="dxa"/>
            <w:vAlign w:val="center"/>
          </w:tcPr>
          <w:p w14:paraId="1600211F">
            <w:pPr>
              <w:adjustRightInd w:val="0"/>
              <w:snapToGrid w:val="0"/>
              <w:jc w:val="center"/>
              <w:rPr>
                <w:rFonts w:eastAsiaTheme="minorEastAsia"/>
                <w:spacing w:val="-8"/>
                <w:szCs w:val="21"/>
              </w:rPr>
            </w:pPr>
            <w:r>
              <w:rPr>
                <w:rFonts w:hAnsiTheme="minorEastAsia" w:eastAsiaTheme="minorEastAsia"/>
                <w:spacing w:val="-8"/>
                <w:szCs w:val="21"/>
              </w:rPr>
              <w:t>环境风险</w:t>
            </w:r>
          </w:p>
          <w:p w14:paraId="0A093646">
            <w:pPr>
              <w:adjustRightInd w:val="0"/>
              <w:snapToGrid w:val="0"/>
              <w:jc w:val="center"/>
              <w:rPr>
                <w:rFonts w:eastAsiaTheme="minorEastAsia"/>
                <w:spacing w:val="-8"/>
                <w:szCs w:val="21"/>
              </w:rPr>
            </w:pPr>
            <w:r>
              <w:rPr>
                <w:rFonts w:hAnsiTheme="minorEastAsia" w:eastAsiaTheme="minorEastAsia"/>
                <w:spacing w:val="-8"/>
                <w:szCs w:val="21"/>
              </w:rPr>
              <w:t>防范措施</w:t>
            </w:r>
          </w:p>
        </w:tc>
        <w:tc>
          <w:tcPr>
            <w:tcW w:w="7596" w:type="dxa"/>
            <w:gridSpan w:val="6"/>
            <w:vAlign w:val="center"/>
          </w:tcPr>
          <w:p w14:paraId="039562D8">
            <w:pPr>
              <w:autoSpaceDE w:val="0"/>
              <w:autoSpaceDN w:val="0"/>
              <w:adjustRightInd w:val="0"/>
              <w:spacing w:line="360" w:lineRule="exact"/>
              <w:jc w:val="left"/>
              <w:rPr>
                <w:rFonts w:eastAsiaTheme="minorEastAsia"/>
                <w:kern w:val="0"/>
                <w:szCs w:val="21"/>
              </w:rPr>
            </w:pPr>
            <w:r>
              <w:rPr>
                <w:rFonts w:eastAsiaTheme="minorEastAsia"/>
                <w:kern w:val="0"/>
                <w:szCs w:val="21"/>
              </w:rPr>
              <w:t>1</w:t>
            </w:r>
            <w:r>
              <w:rPr>
                <w:rFonts w:hAnsiTheme="minorEastAsia" w:eastAsiaTheme="minorEastAsia"/>
                <w:kern w:val="0"/>
                <w:szCs w:val="21"/>
              </w:rPr>
              <w:t>、化学品存放间：</w:t>
            </w:r>
            <w:r>
              <w:rPr>
                <w:rFonts w:hAnsiTheme="minorEastAsia" w:eastAsiaTheme="minorEastAsia"/>
                <w:szCs w:val="21"/>
              </w:rPr>
              <w:t>油墨、水性上光油、水基性胶粘剂、洗车水、润版液、润滑油</w:t>
            </w:r>
            <w:r>
              <w:rPr>
                <w:rFonts w:hAnsiTheme="minorEastAsia" w:eastAsiaTheme="minorEastAsia"/>
                <w:kern w:val="0"/>
                <w:szCs w:val="21"/>
              </w:rPr>
              <w:t>等化学品均存储于化学品存放间。各种物料在化学品存放间内进行分区储存，并对地面采用环氧漆做防腐防渗处理。为了防止液体物料泄漏出化学品存放间，化学品存放间四周应设置围堰及环形收集沟，两个环形收集沟交汇处设置收集井，便于对</w:t>
            </w:r>
            <w:r>
              <w:rPr>
                <w:rFonts w:hint="eastAsia" w:hAnsiTheme="minorEastAsia" w:eastAsiaTheme="minorEastAsia"/>
                <w:kern w:val="0"/>
                <w:szCs w:val="21"/>
                <w:lang w:eastAsia="zh-CN"/>
              </w:rPr>
              <w:t>泄漏</w:t>
            </w:r>
            <w:r>
              <w:rPr>
                <w:rFonts w:hAnsiTheme="minorEastAsia" w:eastAsiaTheme="minorEastAsia"/>
                <w:kern w:val="0"/>
                <w:szCs w:val="21"/>
              </w:rPr>
              <w:t>液体物料的收集和转移。同时厂房内应长期储备足量消防沙，当出现油墨、洗车水等物料泄漏事故时及时用砂土吸附处理。</w:t>
            </w:r>
          </w:p>
          <w:p w14:paraId="60493DA4">
            <w:pPr>
              <w:autoSpaceDE w:val="0"/>
              <w:autoSpaceDN w:val="0"/>
              <w:adjustRightInd w:val="0"/>
              <w:spacing w:line="360" w:lineRule="exact"/>
              <w:jc w:val="left"/>
              <w:rPr>
                <w:rFonts w:eastAsiaTheme="minorEastAsia"/>
                <w:kern w:val="0"/>
                <w:szCs w:val="21"/>
              </w:rPr>
            </w:pPr>
            <w:r>
              <w:rPr>
                <w:rFonts w:eastAsiaTheme="minorEastAsia"/>
                <w:kern w:val="0"/>
                <w:szCs w:val="21"/>
              </w:rPr>
              <w:t>2</w:t>
            </w:r>
            <w:r>
              <w:rPr>
                <w:rFonts w:hAnsiTheme="minorEastAsia" w:eastAsiaTheme="minorEastAsia"/>
                <w:kern w:val="0"/>
                <w:szCs w:val="21"/>
              </w:rPr>
              <w:t>、危废暂存间：危险废物应分类收集，避免不相容的危险品混放，防止泄漏、流失，危废暂存间四周砌防水矮墙。危险废物暂存间主要是临时存放废润滑液、废润版液等，使用专门的容器分类收集贮存，应在容器周围设置围堰；少量泄漏可用抹布擦去或用干砂土围堵并吸附外泄物。泄漏物用容器回收并密封，置于安全场所。</w:t>
            </w:r>
          </w:p>
          <w:p w14:paraId="389354C4">
            <w:pPr>
              <w:autoSpaceDE w:val="0"/>
              <w:autoSpaceDN w:val="0"/>
              <w:adjustRightInd w:val="0"/>
              <w:spacing w:line="360" w:lineRule="exact"/>
              <w:jc w:val="left"/>
              <w:rPr>
                <w:rFonts w:eastAsiaTheme="minorEastAsia"/>
                <w:szCs w:val="21"/>
              </w:rPr>
            </w:pPr>
            <w:r>
              <w:rPr>
                <w:rFonts w:eastAsiaTheme="minorEastAsia"/>
                <w:kern w:val="0"/>
                <w:szCs w:val="21"/>
              </w:rPr>
              <w:t>3</w:t>
            </w:r>
            <w:r>
              <w:rPr>
                <w:rFonts w:hAnsiTheme="minorEastAsia" w:eastAsiaTheme="minorEastAsia"/>
                <w:kern w:val="0"/>
                <w:szCs w:val="21"/>
              </w:rPr>
              <w:t>、生产区：主要包括裁切区、胶印油墨印刷车间、过油区、裱纸区、模切区、糊盒区。物料在运送过程中要实现封闭运输，且对于液体物料，需要采用带托盘的推车进行运输，采用</w:t>
            </w:r>
            <w:r>
              <w:rPr>
                <w:rFonts w:eastAsiaTheme="minorEastAsia"/>
                <w:kern w:val="0"/>
                <w:szCs w:val="21"/>
              </w:rPr>
              <w:t>2</w:t>
            </w:r>
            <w:r>
              <w:rPr>
                <w:rFonts w:hAnsiTheme="minorEastAsia" w:eastAsiaTheme="minorEastAsia"/>
                <w:kern w:val="0"/>
                <w:szCs w:val="21"/>
              </w:rPr>
              <w:t>人同时运输，一人观察一人运输。物料运送至生产区暂存区暂存时，应保持密封，且放置在托盘上。胶印油墨印刷房应设置为重点防渗区。</w:t>
            </w:r>
          </w:p>
        </w:tc>
      </w:tr>
      <w:tr w14:paraId="5D96C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0" w:type="dxa"/>
            <w:vMerge w:val="restart"/>
            <w:vAlign w:val="center"/>
          </w:tcPr>
          <w:p w14:paraId="668B4B4B">
            <w:pPr>
              <w:adjustRightInd w:val="0"/>
              <w:snapToGrid w:val="0"/>
              <w:jc w:val="center"/>
              <w:rPr>
                <w:rFonts w:eastAsiaTheme="minorEastAsia"/>
                <w:spacing w:val="-8"/>
                <w:szCs w:val="21"/>
              </w:rPr>
            </w:pPr>
            <w:r>
              <w:rPr>
                <w:rFonts w:hAnsiTheme="minorEastAsia" w:eastAsiaTheme="minorEastAsia"/>
                <w:spacing w:val="-8"/>
                <w:szCs w:val="21"/>
              </w:rPr>
              <w:t>其他环境</w:t>
            </w:r>
          </w:p>
          <w:p w14:paraId="1BB6725E">
            <w:pPr>
              <w:adjustRightInd w:val="0"/>
              <w:snapToGrid w:val="0"/>
              <w:jc w:val="center"/>
              <w:rPr>
                <w:rFonts w:eastAsiaTheme="minorEastAsia"/>
                <w:spacing w:val="-8"/>
                <w:szCs w:val="21"/>
              </w:rPr>
            </w:pPr>
            <w:r>
              <w:rPr>
                <w:rFonts w:hAnsiTheme="minorEastAsia" w:eastAsiaTheme="minorEastAsia"/>
                <w:spacing w:val="-8"/>
                <w:szCs w:val="21"/>
              </w:rPr>
              <w:t>管理要求</w:t>
            </w:r>
          </w:p>
        </w:tc>
        <w:tc>
          <w:tcPr>
            <w:tcW w:w="3798" w:type="dxa"/>
            <w:gridSpan w:val="4"/>
            <w:vAlign w:val="center"/>
          </w:tcPr>
          <w:p w14:paraId="08193960">
            <w:pPr>
              <w:adjustRightInd w:val="0"/>
              <w:snapToGrid w:val="0"/>
              <w:jc w:val="center"/>
              <w:rPr>
                <w:rFonts w:hAnsiTheme="minorEastAsia" w:eastAsiaTheme="minorEastAsia"/>
                <w:szCs w:val="21"/>
              </w:rPr>
            </w:pPr>
            <w:r>
              <w:rPr>
                <w:rFonts w:hint="eastAsia" w:hAnsiTheme="minorEastAsia" w:eastAsiaTheme="minorEastAsia"/>
                <w:szCs w:val="21"/>
              </w:rPr>
              <w:t>环境影响评价</w:t>
            </w:r>
          </w:p>
        </w:tc>
        <w:tc>
          <w:tcPr>
            <w:tcW w:w="3798" w:type="dxa"/>
            <w:gridSpan w:val="2"/>
            <w:vAlign w:val="center"/>
          </w:tcPr>
          <w:p w14:paraId="0A0ACD63">
            <w:pPr>
              <w:adjustRightInd w:val="0"/>
              <w:snapToGrid w:val="0"/>
              <w:jc w:val="center"/>
              <w:rPr>
                <w:rFonts w:eastAsiaTheme="minorEastAsia"/>
                <w:szCs w:val="21"/>
              </w:rPr>
            </w:pPr>
            <w:r>
              <w:rPr>
                <w:rFonts w:hint="eastAsia" w:ascii="宋体" w:cs="宋体"/>
                <w:kern w:val="0"/>
                <w:szCs w:val="21"/>
              </w:rPr>
              <w:t>经当地环保部门审批</w:t>
            </w:r>
          </w:p>
        </w:tc>
      </w:tr>
      <w:tr w14:paraId="2FF16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0" w:type="dxa"/>
            <w:vMerge w:val="continue"/>
            <w:vAlign w:val="center"/>
          </w:tcPr>
          <w:p w14:paraId="526651BD">
            <w:pPr>
              <w:adjustRightInd w:val="0"/>
              <w:snapToGrid w:val="0"/>
              <w:jc w:val="center"/>
              <w:rPr>
                <w:rFonts w:hAnsiTheme="minorEastAsia" w:eastAsiaTheme="minorEastAsia"/>
                <w:spacing w:val="-8"/>
                <w:szCs w:val="21"/>
              </w:rPr>
            </w:pPr>
          </w:p>
        </w:tc>
        <w:tc>
          <w:tcPr>
            <w:tcW w:w="3798" w:type="dxa"/>
            <w:gridSpan w:val="4"/>
            <w:vAlign w:val="center"/>
          </w:tcPr>
          <w:p w14:paraId="367359D6">
            <w:pPr>
              <w:adjustRightInd w:val="0"/>
              <w:snapToGrid w:val="0"/>
              <w:jc w:val="center"/>
              <w:rPr>
                <w:rFonts w:hAnsiTheme="minorEastAsia" w:eastAsiaTheme="minorEastAsia"/>
                <w:szCs w:val="21"/>
              </w:rPr>
            </w:pPr>
            <w:r>
              <w:rPr>
                <w:rFonts w:hint="eastAsia" w:hAnsiTheme="minorEastAsia" w:eastAsiaTheme="minorEastAsia"/>
                <w:szCs w:val="21"/>
              </w:rPr>
              <w:t>环境管理制度</w:t>
            </w:r>
          </w:p>
        </w:tc>
        <w:tc>
          <w:tcPr>
            <w:tcW w:w="3798" w:type="dxa"/>
            <w:gridSpan w:val="2"/>
            <w:vAlign w:val="center"/>
          </w:tcPr>
          <w:p w14:paraId="37D895FE">
            <w:pPr>
              <w:adjustRightInd w:val="0"/>
              <w:snapToGrid w:val="0"/>
              <w:jc w:val="center"/>
              <w:rPr>
                <w:rFonts w:eastAsiaTheme="minorEastAsia"/>
                <w:szCs w:val="21"/>
              </w:rPr>
            </w:pPr>
            <w:r>
              <w:rPr>
                <w:rFonts w:hint="eastAsia" w:ascii="宋体" w:cs="宋体"/>
                <w:kern w:val="0"/>
                <w:szCs w:val="21"/>
              </w:rPr>
              <w:t>机构完善，资料齐全</w:t>
            </w:r>
          </w:p>
        </w:tc>
      </w:tr>
      <w:tr w14:paraId="00713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0" w:type="dxa"/>
            <w:vMerge w:val="continue"/>
            <w:vAlign w:val="center"/>
          </w:tcPr>
          <w:p w14:paraId="3C372015">
            <w:pPr>
              <w:adjustRightInd w:val="0"/>
              <w:snapToGrid w:val="0"/>
              <w:jc w:val="center"/>
              <w:rPr>
                <w:rFonts w:hAnsiTheme="minorEastAsia" w:eastAsiaTheme="minorEastAsia"/>
                <w:spacing w:val="-8"/>
                <w:szCs w:val="21"/>
              </w:rPr>
            </w:pPr>
          </w:p>
        </w:tc>
        <w:tc>
          <w:tcPr>
            <w:tcW w:w="3798" w:type="dxa"/>
            <w:gridSpan w:val="4"/>
            <w:vAlign w:val="center"/>
          </w:tcPr>
          <w:p w14:paraId="1B0BB455">
            <w:pPr>
              <w:autoSpaceDE w:val="0"/>
              <w:autoSpaceDN w:val="0"/>
              <w:adjustRightInd w:val="0"/>
              <w:jc w:val="center"/>
              <w:rPr>
                <w:rFonts w:hAnsiTheme="minorEastAsia" w:eastAsiaTheme="minorEastAsia"/>
                <w:szCs w:val="21"/>
              </w:rPr>
            </w:pPr>
            <w:r>
              <w:rPr>
                <w:rFonts w:hint="eastAsia" w:ascii="宋体" w:cs="宋体"/>
                <w:kern w:val="0"/>
                <w:szCs w:val="21"/>
              </w:rPr>
              <w:t>竣工环境保护验收监测报告、验收意见、其他需要说明的事项</w:t>
            </w:r>
          </w:p>
        </w:tc>
        <w:tc>
          <w:tcPr>
            <w:tcW w:w="3798" w:type="dxa"/>
            <w:gridSpan w:val="2"/>
            <w:vAlign w:val="center"/>
          </w:tcPr>
          <w:p w14:paraId="064217BC">
            <w:pPr>
              <w:adjustRightInd w:val="0"/>
              <w:snapToGrid w:val="0"/>
              <w:jc w:val="center"/>
              <w:rPr>
                <w:rFonts w:eastAsiaTheme="minorEastAsia"/>
                <w:szCs w:val="21"/>
              </w:rPr>
            </w:pPr>
            <w:r>
              <w:rPr>
                <w:rFonts w:hint="eastAsia" w:ascii="宋体" w:cs="宋体"/>
                <w:kern w:val="0"/>
                <w:szCs w:val="21"/>
              </w:rPr>
              <w:t>经自主验收合格</w:t>
            </w:r>
          </w:p>
        </w:tc>
      </w:tr>
      <w:tr w14:paraId="45F32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20" w:type="dxa"/>
            <w:vMerge w:val="continue"/>
            <w:vAlign w:val="center"/>
          </w:tcPr>
          <w:p w14:paraId="0210A3C9">
            <w:pPr>
              <w:adjustRightInd w:val="0"/>
              <w:snapToGrid w:val="0"/>
              <w:jc w:val="center"/>
              <w:rPr>
                <w:rFonts w:hAnsiTheme="minorEastAsia" w:eastAsiaTheme="minorEastAsia"/>
                <w:spacing w:val="-8"/>
                <w:szCs w:val="21"/>
              </w:rPr>
            </w:pPr>
          </w:p>
        </w:tc>
        <w:tc>
          <w:tcPr>
            <w:tcW w:w="3798" w:type="dxa"/>
            <w:gridSpan w:val="4"/>
            <w:vAlign w:val="center"/>
          </w:tcPr>
          <w:p w14:paraId="516ED7B8">
            <w:pPr>
              <w:adjustRightInd w:val="0"/>
              <w:snapToGrid w:val="0"/>
              <w:jc w:val="center"/>
              <w:rPr>
                <w:rFonts w:hAnsiTheme="minorEastAsia" w:eastAsiaTheme="minorEastAsia"/>
                <w:szCs w:val="21"/>
              </w:rPr>
            </w:pPr>
            <w:r>
              <w:rPr>
                <w:rFonts w:hint="eastAsia" w:ascii="宋体" w:cs="宋体"/>
                <w:kern w:val="0"/>
                <w:szCs w:val="21"/>
              </w:rPr>
              <w:t>厂房内按照工艺路线及布局，合理分区和布</w:t>
            </w:r>
          </w:p>
        </w:tc>
        <w:tc>
          <w:tcPr>
            <w:tcW w:w="3798" w:type="dxa"/>
            <w:gridSpan w:val="2"/>
            <w:vAlign w:val="center"/>
          </w:tcPr>
          <w:p w14:paraId="3EE530C6">
            <w:pPr>
              <w:adjustRightInd w:val="0"/>
              <w:snapToGrid w:val="0"/>
              <w:jc w:val="center"/>
              <w:rPr>
                <w:rFonts w:eastAsiaTheme="minorEastAsia"/>
                <w:szCs w:val="21"/>
              </w:rPr>
            </w:pPr>
            <w:r>
              <w:rPr>
                <w:rFonts w:hint="eastAsia" w:ascii="宋体" w:cs="宋体"/>
                <w:kern w:val="0"/>
                <w:szCs w:val="21"/>
              </w:rPr>
              <w:t>各区内规范布置及存放</w:t>
            </w:r>
          </w:p>
        </w:tc>
      </w:tr>
    </w:tbl>
    <w:p w14:paraId="39BE3F94">
      <w:pPr>
        <w:pStyle w:val="20"/>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AF6F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67C4FFE3">
            <w:pPr>
              <w:snapToGrid w:val="0"/>
              <w:spacing w:line="460" w:lineRule="exact"/>
              <w:ind w:firstLine="480" w:firstLineChars="200"/>
              <w:jc w:val="left"/>
              <w:rPr>
                <w:rFonts w:ascii="宋体" w:cs="宋体"/>
                <w:sz w:val="24"/>
              </w:rPr>
            </w:pPr>
            <w:r>
              <w:rPr>
                <w:rFonts w:hint="eastAsia" w:hAnsi="宋体" w:cs="宋体"/>
                <w:sz w:val="24"/>
              </w:rPr>
              <w:t>凯高智造礼品（重庆）有限公司</w:t>
            </w:r>
            <w:r>
              <w:rPr>
                <w:rFonts w:hint="eastAsia"/>
                <w:sz w:val="24"/>
              </w:rPr>
              <w:t>年产12000万只全降解礼品的生产项目</w:t>
            </w:r>
            <w:r>
              <w:rPr>
                <w:sz w:val="24"/>
              </w:rPr>
              <w:t>符合国家和地方</w:t>
            </w:r>
            <w:r>
              <w:rPr>
                <w:rFonts w:hint="eastAsia"/>
                <w:sz w:val="24"/>
              </w:rPr>
              <w:t>生态环境保护法律法规政策、生态环境保护规划，</w:t>
            </w:r>
            <w:r>
              <w:rPr>
                <w:sz w:val="24"/>
              </w:rPr>
              <w:t>符合</w:t>
            </w:r>
            <w:r>
              <w:rPr>
                <w:rFonts w:hint="eastAsia"/>
                <w:sz w:val="24"/>
              </w:rPr>
              <w:t>涪陵区李渡工业园区规划及规划环评、区域“三线一单”，</w:t>
            </w:r>
            <w:r>
              <w:rPr>
                <w:sz w:val="24"/>
              </w:rPr>
              <w:t>平面布置合理，工程建成投产后将产生废水、废气、噪声及固废，采取严格的污染控制措施后，对环境影响较小，</w:t>
            </w:r>
            <w:r>
              <w:rPr>
                <w:rFonts w:hint="eastAsia"/>
                <w:sz w:val="24"/>
              </w:rPr>
              <w:t>不会改变区域环境功能，</w:t>
            </w:r>
            <w:r>
              <w:rPr>
                <w:sz w:val="24"/>
              </w:rPr>
              <w:t>能为环境所接受。从环保角度分析，</w:t>
            </w:r>
            <w:r>
              <w:rPr>
                <w:rFonts w:hint="eastAsia"/>
                <w:sz w:val="24"/>
              </w:rPr>
              <w:t>项目的环境影响可行</w:t>
            </w:r>
            <w:r>
              <w:rPr>
                <w:sz w:val="24"/>
              </w:rPr>
              <w:t>。</w:t>
            </w:r>
          </w:p>
        </w:tc>
      </w:tr>
    </w:tbl>
    <w:p w14:paraId="744560F2">
      <w:pPr>
        <w:rPr>
          <w:rFonts w:ascii="宋体"/>
        </w:rPr>
        <w:sectPr>
          <w:pgSz w:w="11906" w:h="16838"/>
          <w:pgMar w:top="1701" w:right="1531" w:bottom="1701" w:left="1531" w:header="851" w:footer="851" w:gutter="0"/>
          <w:cols w:space="720" w:num="1"/>
          <w:docGrid w:linePitch="312" w:charSpace="0"/>
        </w:sectPr>
      </w:pPr>
    </w:p>
    <w:p w14:paraId="184793A3">
      <w:pPr>
        <w:pStyle w:val="20"/>
        <w:adjustRightInd w:val="0"/>
        <w:snapToGrid w:val="0"/>
        <w:spacing w:before="0" w:beforeAutospacing="0" w:after="0" w:afterAutospacing="0" w:line="648"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14:paraId="46E71A4F">
      <w:pPr>
        <w:pStyle w:val="20"/>
        <w:adjustRightInd w:val="0"/>
        <w:snapToGrid w:val="0"/>
        <w:spacing w:before="0" w:beforeAutospacing="0" w:after="0" w:afterAutospacing="0" w:line="552" w:lineRule="auto"/>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4"/>
        <w:tblW w:w="1434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1383"/>
      </w:tblGrid>
      <w:tr w14:paraId="6AF2E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14:paraId="112E977B">
            <w:pPr>
              <w:pStyle w:val="38"/>
              <w:spacing w:beforeLines="0" w:afterLines="0" w:line="240" w:lineRule="auto"/>
              <w:jc w:val="right"/>
              <w:rPr>
                <w:rFonts w:ascii="Times New Roman"/>
                <w:snapToGrid w:val="0"/>
                <w:spacing w:val="-6"/>
                <w:kern w:val="21"/>
                <w:szCs w:val="21"/>
              </w:rPr>
            </w:pPr>
            <w:r>
              <w:rPr>
                <w:rFonts w:ascii="Times New Roman" w:hAnsi="宋体"/>
                <w:snapToGrid w:val="0"/>
                <w:spacing w:val="-6"/>
                <w:kern w:val="21"/>
                <w:szCs w:val="21"/>
              </w:rPr>
              <w:t>项目</w:t>
            </w:r>
          </w:p>
          <w:p w14:paraId="7C26A776">
            <w:pPr>
              <w:pStyle w:val="38"/>
              <w:spacing w:beforeLines="0" w:afterLines="0" w:line="240" w:lineRule="auto"/>
              <w:jc w:val="left"/>
              <w:rPr>
                <w:rFonts w:ascii="Times New Roman"/>
                <w:snapToGrid w:val="0"/>
                <w:spacing w:val="-6"/>
                <w:kern w:val="21"/>
                <w:szCs w:val="21"/>
              </w:rPr>
            </w:pPr>
            <w:r>
              <w:rPr>
                <w:rFonts w:ascii="Times New Roman" w:hAnsi="宋体"/>
                <w:snapToGrid w:val="0"/>
                <w:spacing w:val="-6"/>
                <w:kern w:val="21"/>
                <w:szCs w:val="21"/>
              </w:rPr>
              <w:t>分类</w:t>
            </w:r>
          </w:p>
        </w:tc>
        <w:tc>
          <w:tcPr>
            <w:tcW w:w="1417" w:type="dxa"/>
            <w:tcMar>
              <w:left w:w="28" w:type="dxa"/>
              <w:right w:w="28" w:type="dxa"/>
            </w:tcMar>
            <w:vAlign w:val="center"/>
          </w:tcPr>
          <w:p w14:paraId="53E1FCCF">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污染物名称</w:t>
            </w:r>
          </w:p>
        </w:tc>
        <w:tc>
          <w:tcPr>
            <w:tcW w:w="1701" w:type="dxa"/>
            <w:tcMar>
              <w:left w:w="28" w:type="dxa"/>
              <w:right w:w="28" w:type="dxa"/>
            </w:tcMar>
            <w:vAlign w:val="center"/>
          </w:tcPr>
          <w:p w14:paraId="086462EB">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现有工程</w:t>
            </w:r>
          </w:p>
          <w:p w14:paraId="5034C71B">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hAnsi="宋体"/>
                <w:kern w:val="2"/>
                <w:szCs w:val="21"/>
              </w:rPr>
              <w:t>①</w:t>
            </w:r>
            <w:r>
              <w:rPr>
                <w:rFonts w:ascii="Times New Roman"/>
                <w:snapToGrid w:val="0"/>
                <w:spacing w:val="-6"/>
                <w:kern w:val="21"/>
                <w:szCs w:val="21"/>
              </w:rPr>
              <w:fldChar w:fldCharType="end"/>
            </w:r>
          </w:p>
        </w:tc>
        <w:tc>
          <w:tcPr>
            <w:tcW w:w="1276" w:type="dxa"/>
            <w:tcMar>
              <w:left w:w="28" w:type="dxa"/>
              <w:right w:w="28" w:type="dxa"/>
            </w:tcMar>
            <w:vAlign w:val="center"/>
          </w:tcPr>
          <w:p w14:paraId="46686DB0">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现有工程</w:t>
            </w:r>
          </w:p>
          <w:p w14:paraId="2B50B734">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许可排放量</w:t>
            </w:r>
          </w:p>
          <w:p w14:paraId="0DF70E86">
            <w:pPr>
              <w:pStyle w:val="38"/>
              <w:spacing w:beforeLines="0" w:afterLine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ascii="Times New Roman" w:hAnsi="宋体"/>
                <w:snapToGrid w:val="0"/>
                <w:spacing w:val="-6"/>
                <w:kern w:val="21"/>
                <w:szCs w:val="21"/>
              </w:rPr>
              <w:t>②</w:t>
            </w:r>
            <w:r>
              <w:rPr>
                <w:rFonts w:ascii="Times New Roman"/>
                <w:snapToGrid w:val="0"/>
                <w:spacing w:val="-6"/>
                <w:kern w:val="21"/>
                <w:szCs w:val="21"/>
              </w:rPr>
              <w:fldChar w:fldCharType="end"/>
            </w:r>
          </w:p>
        </w:tc>
        <w:tc>
          <w:tcPr>
            <w:tcW w:w="1701" w:type="dxa"/>
            <w:tcMar>
              <w:left w:w="28" w:type="dxa"/>
              <w:right w:w="28" w:type="dxa"/>
            </w:tcMar>
            <w:vAlign w:val="center"/>
          </w:tcPr>
          <w:p w14:paraId="3F6605C0">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在建工程</w:t>
            </w:r>
          </w:p>
          <w:p w14:paraId="798F3494">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hAnsi="宋体"/>
                <w:kern w:val="2"/>
                <w:szCs w:val="21"/>
              </w:rPr>
              <w:t>③</w:t>
            </w:r>
            <w:r>
              <w:rPr>
                <w:rFonts w:ascii="Times New Roman"/>
                <w:snapToGrid w:val="0"/>
                <w:spacing w:val="-6"/>
                <w:kern w:val="21"/>
                <w:szCs w:val="21"/>
              </w:rPr>
              <w:fldChar w:fldCharType="end"/>
            </w:r>
          </w:p>
        </w:tc>
        <w:tc>
          <w:tcPr>
            <w:tcW w:w="1559" w:type="dxa"/>
            <w:tcMar>
              <w:left w:w="28" w:type="dxa"/>
              <w:right w:w="28" w:type="dxa"/>
            </w:tcMar>
            <w:vAlign w:val="center"/>
          </w:tcPr>
          <w:p w14:paraId="4EC43576">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本项目</w:t>
            </w:r>
          </w:p>
          <w:p w14:paraId="3F609523">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hAnsi="宋体"/>
                <w:kern w:val="2"/>
                <w:szCs w:val="21"/>
              </w:rPr>
              <w:t>④</w:t>
            </w:r>
            <w:r>
              <w:rPr>
                <w:rFonts w:ascii="Times New Roman"/>
                <w:snapToGrid w:val="0"/>
                <w:spacing w:val="-6"/>
                <w:kern w:val="21"/>
                <w:szCs w:val="21"/>
              </w:rPr>
              <w:fldChar w:fldCharType="end"/>
            </w:r>
          </w:p>
        </w:tc>
        <w:tc>
          <w:tcPr>
            <w:tcW w:w="1761" w:type="dxa"/>
            <w:tcMar>
              <w:left w:w="28" w:type="dxa"/>
              <w:right w:w="28" w:type="dxa"/>
            </w:tcMar>
            <w:vAlign w:val="center"/>
          </w:tcPr>
          <w:p w14:paraId="769F3DEE">
            <w:pPr>
              <w:pStyle w:val="38"/>
              <w:spacing w:beforeLines="0" w:afterLines="0" w:line="240" w:lineRule="auto"/>
              <w:rPr>
                <w:rFonts w:ascii="Times New Roman"/>
                <w:snapToGrid w:val="0"/>
                <w:spacing w:val="-16"/>
                <w:kern w:val="21"/>
                <w:szCs w:val="21"/>
              </w:rPr>
            </w:pPr>
            <w:r>
              <w:rPr>
                <w:rFonts w:ascii="Times New Roman" w:hAnsi="宋体"/>
                <w:snapToGrid w:val="0"/>
                <w:spacing w:val="-16"/>
                <w:kern w:val="21"/>
                <w:szCs w:val="21"/>
              </w:rPr>
              <w:t>以新带老削减量</w:t>
            </w:r>
          </w:p>
          <w:p w14:paraId="4B0F917A">
            <w:pPr>
              <w:pStyle w:val="38"/>
              <w:spacing w:beforeLines="0" w:afterLines="0" w:line="240" w:lineRule="auto"/>
              <w:rPr>
                <w:rFonts w:ascii="Times New Roman"/>
                <w:snapToGrid w:val="0"/>
                <w:spacing w:val="-16"/>
                <w:kern w:val="21"/>
                <w:szCs w:val="21"/>
              </w:rPr>
            </w:pPr>
            <w:r>
              <w:rPr>
                <w:rFonts w:ascii="Times New Roman" w:hAnsi="宋体"/>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hAnsi="宋体"/>
                <w:kern w:val="2"/>
                <w:szCs w:val="21"/>
              </w:rPr>
              <w:t>⑤</w:t>
            </w:r>
            <w:r>
              <w:rPr>
                <w:rFonts w:ascii="Times New Roman"/>
                <w:snapToGrid w:val="0"/>
                <w:spacing w:val="-16"/>
                <w:kern w:val="21"/>
                <w:szCs w:val="21"/>
              </w:rPr>
              <w:fldChar w:fldCharType="end"/>
            </w:r>
          </w:p>
        </w:tc>
        <w:tc>
          <w:tcPr>
            <w:tcW w:w="1959" w:type="dxa"/>
            <w:tcMar>
              <w:left w:w="28" w:type="dxa"/>
              <w:right w:w="28" w:type="dxa"/>
            </w:tcMar>
            <w:vAlign w:val="center"/>
          </w:tcPr>
          <w:p w14:paraId="7D0CF053">
            <w:pPr>
              <w:pStyle w:val="38"/>
              <w:spacing w:beforeLines="0" w:afterLines="0" w:line="240" w:lineRule="auto"/>
              <w:rPr>
                <w:rFonts w:ascii="Times New Roman"/>
                <w:snapToGrid w:val="0"/>
                <w:spacing w:val="-16"/>
                <w:kern w:val="21"/>
                <w:szCs w:val="21"/>
              </w:rPr>
            </w:pPr>
            <w:r>
              <w:rPr>
                <w:rFonts w:ascii="Times New Roman" w:hAnsi="宋体"/>
                <w:snapToGrid w:val="0"/>
                <w:spacing w:val="-16"/>
                <w:kern w:val="21"/>
                <w:szCs w:val="21"/>
              </w:rPr>
              <w:t>本项目建成后</w:t>
            </w:r>
          </w:p>
          <w:p w14:paraId="1C6FCC03">
            <w:pPr>
              <w:pStyle w:val="38"/>
              <w:spacing w:beforeLines="0" w:afterLines="0" w:line="240" w:lineRule="auto"/>
              <w:rPr>
                <w:rFonts w:ascii="Times New Roman"/>
                <w:snapToGrid w:val="0"/>
                <w:spacing w:val="-16"/>
                <w:kern w:val="21"/>
                <w:szCs w:val="21"/>
              </w:rPr>
            </w:pPr>
            <w:r>
              <w:rPr>
                <w:rFonts w:ascii="Times New Roman" w:hAnsi="宋体"/>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hAnsi="宋体"/>
                <w:kern w:val="2"/>
                <w:szCs w:val="21"/>
              </w:rPr>
              <w:t>⑥</w:t>
            </w:r>
            <w:r>
              <w:rPr>
                <w:rFonts w:ascii="Times New Roman"/>
                <w:snapToGrid w:val="0"/>
                <w:spacing w:val="-16"/>
                <w:kern w:val="21"/>
                <w:szCs w:val="21"/>
              </w:rPr>
              <w:fldChar w:fldCharType="end"/>
            </w:r>
          </w:p>
        </w:tc>
        <w:tc>
          <w:tcPr>
            <w:tcW w:w="1383" w:type="dxa"/>
            <w:tcMar>
              <w:left w:w="28" w:type="dxa"/>
              <w:right w:w="28" w:type="dxa"/>
            </w:tcMar>
            <w:vAlign w:val="center"/>
          </w:tcPr>
          <w:p w14:paraId="0E510E96">
            <w:pPr>
              <w:pStyle w:val="38"/>
              <w:spacing w:beforeLines="0" w:afterLines="0" w:line="240" w:lineRule="auto"/>
              <w:rPr>
                <w:rFonts w:ascii="Times New Roman"/>
                <w:snapToGrid w:val="0"/>
                <w:spacing w:val="-6"/>
                <w:kern w:val="21"/>
                <w:szCs w:val="21"/>
              </w:rPr>
            </w:pPr>
            <w:r>
              <w:rPr>
                <w:rFonts w:ascii="Times New Roman" w:hAnsi="宋体"/>
                <w:snapToGrid w:val="0"/>
                <w:spacing w:val="-6"/>
                <w:kern w:val="21"/>
                <w:szCs w:val="21"/>
              </w:rPr>
              <w:t>变化量</w:t>
            </w:r>
          </w:p>
          <w:p w14:paraId="571D8CAC">
            <w:pPr>
              <w:pStyle w:val="38"/>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hAnsi="宋体"/>
                <w:kern w:val="2"/>
                <w:szCs w:val="21"/>
              </w:rPr>
              <w:t>⑦</w:t>
            </w:r>
            <w:r>
              <w:rPr>
                <w:rFonts w:ascii="Times New Roman"/>
                <w:snapToGrid w:val="0"/>
                <w:spacing w:val="-6"/>
                <w:kern w:val="21"/>
                <w:szCs w:val="21"/>
              </w:rPr>
              <w:fldChar w:fldCharType="end"/>
            </w:r>
          </w:p>
        </w:tc>
      </w:tr>
      <w:tr w14:paraId="7FF79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14:paraId="253A3BA8">
            <w:pPr>
              <w:pStyle w:val="38"/>
              <w:spacing w:beforeLines="0" w:afterLines="0" w:line="240" w:lineRule="auto"/>
              <w:rPr>
                <w:rFonts w:ascii="Times New Roman"/>
                <w:snapToGrid w:val="0"/>
                <w:kern w:val="21"/>
                <w:szCs w:val="21"/>
              </w:rPr>
            </w:pPr>
            <w:r>
              <w:rPr>
                <w:rFonts w:ascii="Times New Roman" w:hAnsi="宋体"/>
                <w:snapToGrid w:val="0"/>
                <w:kern w:val="21"/>
                <w:szCs w:val="21"/>
              </w:rPr>
              <w:t>废气</w:t>
            </w:r>
          </w:p>
        </w:tc>
        <w:tc>
          <w:tcPr>
            <w:tcW w:w="1417" w:type="dxa"/>
            <w:vAlign w:val="center"/>
          </w:tcPr>
          <w:p w14:paraId="6EEDC112">
            <w:pPr>
              <w:pStyle w:val="38"/>
              <w:spacing w:beforeLines="0" w:afterLines="0" w:line="240" w:lineRule="auto"/>
              <w:rPr>
                <w:rFonts w:ascii="Times New Roman"/>
                <w:snapToGrid w:val="0"/>
                <w:kern w:val="21"/>
                <w:szCs w:val="21"/>
              </w:rPr>
            </w:pPr>
            <w:r>
              <w:rPr>
                <w:rFonts w:hint="eastAsia" w:ascii="Times New Roman"/>
                <w:snapToGrid w:val="0"/>
                <w:kern w:val="21"/>
                <w:szCs w:val="21"/>
              </w:rPr>
              <w:t>非甲烷总烃</w:t>
            </w:r>
          </w:p>
        </w:tc>
        <w:tc>
          <w:tcPr>
            <w:tcW w:w="1701" w:type="dxa"/>
            <w:vAlign w:val="center"/>
          </w:tcPr>
          <w:p w14:paraId="646DF567">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331565F0">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0721D596">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3152DFF2">
            <w:pPr>
              <w:pStyle w:val="38"/>
              <w:spacing w:beforeLines="0" w:afterLines="0" w:line="240" w:lineRule="auto"/>
              <w:rPr>
                <w:rFonts w:ascii="Times New Roman"/>
                <w:snapToGrid w:val="0"/>
                <w:kern w:val="21"/>
                <w:szCs w:val="21"/>
              </w:rPr>
            </w:pPr>
            <w:r>
              <w:rPr>
                <w:rFonts w:hint="eastAsia" w:ascii="Times New Roman"/>
                <w:snapToGrid w:val="0"/>
                <w:kern w:val="21"/>
                <w:szCs w:val="21"/>
              </w:rPr>
              <w:t>1.966</w:t>
            </w:r>
          </w:p>
        </w:tc>
        <w:tc>
          <w:tcPr>
            <w:tcW w:w="1761" w:type="dxa"/>
            <w:vAlign w:val="center"/>
          </w:tcPr>
          <w:p w14:paraId="5089389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6BB8547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4DAEC762">
            <w:pPr>
              <w:pStyle w:val="38"/>
              <w:spacing w:beforeLines="0" w:afterLines="0" w:line="240" w:lineRule="auto"/>
              <w:rPr>
                <w:rFonts w:ascii="Times New Roman"/>
                <w:snapToGrid w:val="0"/>
                <w:kern w:val="21"/>
                <w:szCs w:val="21"/>
              </w:rPr>
            </w:pPr>
            <w:r>
              <w:rPr>
                <w:rFonts w:hint="eastAsia" w:ascii="Times New Roman"/>
                <w:snapToGrid w:val="0"/>
                <w:kern w:val="21"/>
                <w:szCs w:val="21"/>
              </w:rPr>
              <w:t>+1.966</w:t>
            </w:r>
          </w:p>
        </w:tc>
      </w:tr>
      <w:tr w14:paraId="7B78F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09C0D61C">
            <w:pPr>
              <w:pStyle w:val="38"/>
              <w:spacing w:beforeLines="0" w:afterLines="0" w:line="240" w:lineRule="auto"/>
              <w:rPr>
                <w:rFonts w:ascii="Times New Roman"/>
                <w:snapToGrid w:val="0"/>
                <w:kern w:val="21"/>
                <w:szCs w:val="21"/>
              </w:rPr>
            </w:pPr>
            <w:r>
              <w:rPr>
                <w:rFonts w:ascii="Times New Roman" w:hAnsi="宋体"/>
                <w:snapToGrid w:val="0"/>
                <w:kern w:val="21"/>
                <w:szCs w:val="21"/>
              </w:rPr>
              <w:t>废水</w:t>
            </w:r>
          </w:p>
        </w:tc>
        <w:tc>
          <w:tcPr>
            <w:tcW w:w="1417" w:type="dxa"/>
            <w:vAlign w:val="center"/>
          </w:tcPr>
          <w:p w14:paraId="42718413">
            <w:pPr>
              <w:pStyle w:val="38"/>
              <w:spacing w:beforeLines="0" w:afterLines="0" w:line="240" w:lineRule="auto"/>
              <w:jc w:val="both"/>
              <w:rPr>
                <w:rFonts w:ascii="Times New Roman"/>
                <w:snapToGrid w:val="0"/>
                <w:kern w:val="21"/>
                <w:szCs w:val="21"/>
              </w:rPr>
            </w:pPr>
            <w:r>
              <w:rPr>
                <w:rFonts w:hint="eastAsia" w:ascii="Times New Roman" w:hAnsi="宋体"/>
                <w:snapToGrid w:val="0"/>
                <w:kern w:val="21"/>
                <w:szCs w:val="21"/>
              </w:rPr>
              <w:t>废水量</w:t>
            </w:r>
            <w:r>
              <w:rPr>
                <w:rFonts w:ascii="Times New Roman"/>
              </w:rPr>
              <w:t>m</w:t>
            </w:r>
            <w:r>
              <w:rPr>
                <w:rFonts w:ascii="Times New Roman"/>
                <w:vertAlign w:val="superscript"/>
              </w:rPr>
              <w:t>3</w:t>
            </w:r>
            <w:r>
              <w:rPr>
                <w:rFonts w:ascii="Times New Roman"/>
              </w:rPr>
              <w:t>/a</w:t>
            </w:r>
          </w:p>
        </w:tc>
        <w:tc>
          <w:tcPr>
            <w:tcW w:w="1701" w:type="dxa"/>
            <w:vAlign w:val="center"/>
          </w:tcPr>
          <w:p w14:paraId="64A4E65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1F32C02B">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5FA63234">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03217BA4">
            <w:pPr>
              <w:pStyle w:val="106"/>
              <w:rPr>
                <w:szCs w:val="21"/>
              </w:rPr>
            </w:pPr>
            <w:r>
              <w:rPr>
                <w:rFonts w:hint="eastAsia"/>
                <w:szCs w:val="21"/>
              </w:rPr>
              <w:t>23601.6</w:t>
            </w:r>
          </w:p>
        </w:tc>
        <w:tc>
          <w:tcPr>
            <w:tcW w:w="1761" w:type="dxa"/>
            <w:vAlign w:val="center"/>
          </w:tcPr>
          <w:p w14:paraId="4DAE27FA">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33E143EC">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14E44071">
            <w:pPr>
              <w:pStyle w:val="106"/>
              <w:rPr>
                <w:szCs w:val="21"/>
              </w:rPr>
            </w:pPr>
            <w:r>
              <w:rPr>
                <w:rFonts w:hint="eastAsia"/>
                <w:snapToGrid w:val="0"/>
                <w:kern w:val="21"/>
                <w:szCs w:val="21"/>
              </w:rPr>
              <w:t>+</w:t>
            </w:r>
            <w:r>
              <w:rPr>
                <w:rFonts w:hint="eastAsia"/>
                <w:szCs w:val="21"/>
              </w:rPr>
              <w:t>23601.6</w:t>
            </w:r>
          </w:p>
        </w:tc>
      </w:tr>
      <w:tr w14:paraId="08532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1666AC4F">
            <w:pPr>
              <w:pStyle w:val="38"/>
              <w:spacing w:beforeLines="0" w:afterLines="0" w:line="240" w:lineRule="auto"/>
              <w:rPr>
                <w:rFonts w:ascii="Times New Roman"/>
                <w:snapToGrid w:val="0"/>
                <w:kern w:val="21"/>
                <w:szCs w:val="21"/>
              </w:rPr>
            </w:pPr>
          </w:p>
        </w:tc>
        <w:tc>
          <w:tcPr>
            <w:tcW w:w="1417" w:type="dxa"/>
            <w:vAlign w:val="center"/>
          </w:tcPr>
          <w:p w14:paraId="6E19ECDD">
            <w:pPr>
              <w:pStyle w:val="106"/>
            </w:pPr>
            <w:r>
              <w:t>COD</w:t>
            </w:r>
          </w:p>
        </w:tc>
        <w:tc>
          <w:tcPr>
            <w:tcW w:w="1701" w:type="dxa"/>
            <w:vAlign w:val="center"/>
          </w:tcPr>
          <w:p w14:paraId="5B2D981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67C84810">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6FAD3EB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3DFCB9BF">
            <w:pPr>
              <w:pStyle w:val="106"/>
              <w:rPr>
                <w:szCs w:val="21"/>
              </w:rPr>
            </w:pPr>
            <w:r>
              <w:rPr>
                <w:rFonts w:hint="eastAsia"/>
                <w:szCs w:val="21"/>
              </w:rPr>
              <w:t>1.416</w:t>
            </w:r>
          </w:p>
        </w:tc>
        <w:tc>
          <w:tcPr>
            <w:tcW w:w="1761" w:type="dxa"/>
            <w:vAlign w:val="center"/>
          </w:tcPr>
          <w:p w14:paraId="3F55A817">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5EA6593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6D2008BC">
            <w:pPr>
              <w:pStyle w:val="106"/>
              <w:rPr>
                <w:szCs w:val="21"/>
              </w:rPr>
            </w:pPr>
            <w:r>
              <w:rPr>
                <w:rFonts w:hint="eastAsia"/>
                <w:snapToGrid w:val="0"/>
                <w:kern w:val="21"/>
                <w:szCs w:val="21"/>
              </w:rPr>
              <w:t>+</w:t>
            </w:r>
            <w:r>
              <w:rPr>
                <w:rFonts w:hint="eastAsia"/>
                <w:szCs w:val="21"/>
              </w:rPr>
              <w:t>1.416</w:t>
            </w:r>
          </w:p>
        </w:tc>
      </w:tr>
      <w:tr w14:paraId="4751A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CF62B25">
            <w:pPr>
              <w:pStyle w:val="38"/>
              <w:spacing w:beforeLines="0" w:afterLines="0" w:line="240" w:lineRule="auto"/>
              <w:rPr>
                <w:rFonts w:ascii="Times New Roman"/>
                <w:snapToGrid w:val="0"/>
                <w:kern w:val="21"/>
                <w:szCs w:val="21"/>
              </w:rPr>
            </w:pPr>
          </w:p>
        </w:tc>
        <w:tc>
          <w:tcPr>
            <w:tcW w:w="1417" w:type="dxa"/>
            <w:vAlign w:val="center"/>
          </w:tcPr>
          <w:p w14:paraId="00F02F66">
            <w:pPr>
              <w:pStyle w:val="106"/>
            </w:pPr>
            <w:r>
              <w:t>BOD</w:t>
            </w:r>
            <w:r>
              <w:rPr>
                <w:vertAlign w:val="subscript"/>
              </w:rPr>
              <w:t>5</w:t>
            </w:r>
          </w:p>
        </w:tc>
        <w:tc>
          <w:tcPr>
            <w:tcW w:w="1701" w:type="dxa"/>
            <w:vAlign w:val="center"/>
          </w:tcPr>
          <w:p w14:paraId="798C0040">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46FECB4A">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73A5934E">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6BA5A262">
            <w:pPr>
              <w:pStyle w:val="106"/>
              <w:rPr>
                <w:szCs w:val="21"/>
              </w:rPr>
            </w:pPr>
            <w:r>
              <w:rPr>
                <w:rFonts w:hint="eastAsia"/>
                <w:szCs w:val="21"/>
              </w:rPr>
              <w:t>0.472</w:t>
            </w:r>
          </w:p>
        </w:tc>
        <w:tc>
          <w:tcPr>
            <w:tcW w:w="1761" w:type="dxa"/>
            <w:vAlign w:val="center"/>
          </w:tcPr>
          <w:p w14:paraId="4E266384">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0151DF18">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6B79F9BA">
            <w:pPr>
              <w:pStyle w:val="106"/>
              <w:rPr>
                <w:szCs w:val="21"/>
              </w:rPr>
            </w:pPr>
            <w:r>
              <w:rPr>
                <w:rFonts w:hint="eastAsia"/>
                <w:snapToGrid w:val="0"/>
                <w:kern w:val="21"/>
                <w:szCs w:val="21"/>
              </w:rPr>
              <w:t>+</w:t>
            </w:r>
            <w:r>
              <w:rPr>
                <w:rFonts w:hint="eastAsia"/>
                <w:szCs w:val="21"/>
              </w:rPr>
              <w:t>0.472</w:t>
            </w:r>
          </w:p>
        </w:tc>
      </w:tr>
      <w:tr w14:paraId="055DB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A4BAA83">
            <w:pPr>
              <w:pStyle w:val="38"/>
              <w:spacing w:beforeLines="0" w:afterLines="0" w:line="240" w:lineRule="auto"/>
              <w:rPr>
                <w:rFonts w:ascii="Times New Roman"/>
                <w:snapToGrid w:val="0"/>
                <w:kern w:val="21"/>
                <w:szCs w:val="21"/>
              </w:rPr>
            </w:pPr>
          </w:p>
        </w:tc>
        <w:tc>
          <w:tcPr>
            <w:tcW w:w="1417" w:type="dxa"/>
            <w:vAlign w:val="center"/>
          </w:tcPr>
          <w:p w14:paraId="482E0863">
            <w:pPr>
              <w:pStyle w:val="106"/>
            </w:pPr>
            <w:r>
              <w:t>SS</w:t>
            </w:r>
          </w:p>
        </w:tc>
        <w:tc>
          <w:tcPr>
            <w:tcW w:w="1701" w:type="dxa"/>
            <w:vAlign w:val="center"/>
          </w:tcPr>
          <w:p w14:paraId="2802A42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338F691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23A447D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6F293358">
            <w:pPr>
              <w:pStyle w:val="106"/>
              <w:rPr>
                <w:szCs w:val="21"/>
              </w:rPr>
            </w:pPr>
            <w:r>
              <w:rPr>
                <w:rFonts w:hint="eastAsia"/>
                <w:szCs w:val="21"/>
              </w:rPr>
              <w:t>0.472</w:t>
            </w:r>
          </w:p>
        </w:tc>
        <w:tc>
          <w:tcPr>
            <w:tcW w:w="1761" w:type="dxa"/>
            <w:vAlign w:val="center"/>
          </w:tcPr>
          <w:p w14:paraId="08B186AC">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05B6AC02">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44A063ED">
            <w:pPr>
              <w:pStyle w:val="106"/>
              <w:rPr>
                <w:szCs w:val="21"/>
              </w:rPr>
            </w:pPr>
            <w:r>
              <w:rPr>
                <w:rFonts w:hint="eastAsia"/>
                <w:snapToGrid w:val="0"/>
                <w:kern w:val="21"/>
                <w:szCs w:val="21"/>
              </w:rPr>
              <w:t>+</w:t>
            </w:r>
            <w:r>
              <w:rPr>
                <w:rFonts w:hint="eastAsia"/>
                <w:szCs w:val="21"/>
              </w:rPr>
              <w:t>0.472</w:t>
            </w:r>
          </w:p>
        </w:tc>
      </w:tr>
      <w:tr w14:paraId="51576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BD8D5A4">
            <w:pPr>
              <w:pStyle w:val="38"/>
              <w:spacing w:beforeLines="0" w:afterLines="0" w:line="240" w:lineRule="auto"/>
              <w:rPr>
                <w:rFonts w:ascii="Times New Roman"/>
                <w:snapToGrid w:val="0"/>
                <w:kern w:val="21"/>
                <w:szCs w:val="21"/>
              </w:rPr>
            </w:pPr>
          </w:p>
        </w:tc>
        <w:tc>
          <w:tcPr>
            <w:tcW w:w="1417" w:type="dxa"/>
            <w:vAlign w:val="center"/>
          </w:tcPr>
          <w:p w14:paraId="0D1CDA70">
            <w:pPr>
              <w:pStyle w:val="106"/>
            </w:pPr>
            <w:r>
              <w:t>NH</w:t>
            </w:r>
            <w:r>
              <w:rPr>
                <w:vertAlign w:val="subscript"/>
              </w:rPr>
              <w:t>3</w:t>
            </w:r>
            <w:r>
              <w:t>-N</w:t>
            </w:r>
          </w:p>
        </w:tc>
        <w:tc>
          <w:tcPr>
            <w:tcW w:w="1701" w:type="dxa"/>
            <w:vAlign w:val="center"/>
          </w:tcPr>
          <w:p w14:paraId="12C1738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6C37DB1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33B5A2B4">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5F7767E3">
            <w:pPr>
              <w:pStyle w:val="106"/>
              <w:rPr>
                <w:szCs w:val="21"/>
              </w:rPr>
            </w:pPr>
            <w:r>
              <w:rPr>
                <w:rFonts w:hint="eastAsia"/>
                <w:szCs w:val="21"/>
              </w:rPr>
              <w:t>0.189</w:t>
            </w:r>
          </w:p>
        </w:tc>
        <w:tc>
          <w:tcPr>
            <w:tcW w:w="1761" w:type="dxa"/>
            <w:vAlign w:val="center"/>
          </w:tcPr>
          <w:p w14:paraId="68ABF593">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5F2270E6">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2AC93D06">
            <w:pPr>
              <w:pStyle w:val="106"/>
              <w:rPr>
                <w:szCs w:val="21"/>
              </w:rPr>
            </w:pPr>
            <w:r>
              <w:rPr>
                <w:rFonts w:hint="eastAsia"/>
                <w:snapToGrid w:val="0"/>
                <w:kern w:val="21"/>
                <w:szCs w:val="21"/>
              </w:rPr>
              <w:t>+</w:t>
            </w:r>
            <w:r>
              <w:rPr>
                <w:rFonts w:hint="eastAsia"/>
                <w:szCs w:val="21"/>
              </w:rPr>
              <w:t>0.189</w:t>
            </w:r>
          </w:p>
        </w:tc>
      </w:tr>
      <w:tr w14:paraId="3CFC7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510D1CA">
            <w:pPr>
              <w:pStyle w:val="38"/>
              <w:spacing w:beforeLines="0" w:afterLines="0" w:line="240" w:lineRule="auto"/>
              <w:rPr>
                <w:rFonts w:ascii="Times New Roman"/>
                <w:snapToGrid w:val="0"/>
                <w:kern w:val="21"/>
                <w:szCs w:val="21"/>
              </w:rPr>
            </w:pPr>
          </w:p>
        </w:tc>
        <w:tc>
          <w:tcPr>
            <w:tcW w:w="1417" w:type="dxa"/>
            <w:vAlign w:val="center"/>
          </w:tcPr>
          <w:p w14:paraId="21F69135">
            <w:pPr>
              <w:pStyle w:val="106"/>
            </w:pPr>
            <w:r>
              <w:rPr>
                <w:rFonts w:hint="eastAsia"/>
              </w:rPr>
              <w:t>动植物油</w:t>
            </w:r>
          </w:p>
        </w:tc>
        <w:tc>
          <w:tcPr>
            <w:tcW w:w="1701" w:type="dxa"/>
            <w:vAlign w:val="center"/>
          </w:tcPr>
          <w:p w14:paraId="740B535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154B39F3">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6F559C8F">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0F570EC8">
            <w:pPr>
              <w:pStyle w:val="106"/>
              <w:rPr>
                <w:szCs w:val="21"/>
              </w:rPr>
            </w:pPr>
            <w:r>
              <w:rPr>
                <w:rFonts w:hint="eastAsia"/>
                <w:szCs w:val="21"/>
              </w:rPr>
              <w:t>0.071</w:t>
            </w:r>
          </w:p>
        </w:tc>
        <w:tc>
          <w:tcPr>
            <w:tcW w:w="1761" w:type="dxa"/>
            <w:vAlign w:val="center"/>
          </w:tcPr>
          <w:p w14:paraId="576CB98D">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27527C02">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71778847">
            <w:pPr>
              <w:pStyle w:val="106"/>
              <w:rPr>
                <w:szCs w:val="21"/>
              </w:rPr>
            </w:pPr>
            <w:r>
              <w:rPr>
                <w:rFonts w:hint="eastAsia"/>
                <w:snapToGrid w:val="0"/>
                <w:kern w:val="21"/>
                <w:szCs w:val="21"/>
              </w:rPr>
              <w:t>+</w:t>
            </w:r>
            <w:r>
              <w:rPr>
                <w:rFonts w:hint="eastAsia"/>
                <w:szCs w:val="21"/>
              </w:rPr>
              <w:t>0.071</w:t>
            </w:r>
          </w:p>
        </w:tc>
      </w:tr>
      <w:tr w14:paraId="560AD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6262972">
            <w:pPr>
              <w:pStyle w:val="38"/>
              <w:spacing w:beforeLines="0" w:afterLines="0" w:line="240" w:lineRule="auto"/>
              <w:rPr>
                <w:rFonts w:ascii="Times New Roman"/>
                <w:snapToGrid w:val="0"/>
                <w:kern w:val="21"/>
                <w:szCs w:val="21"/>
              </w:rPr>
            </w:pPr>
          </w:p>
        </w:tc>
        <w:tc>
          <w:tcPr>
            <w:tcW w:w="1417" w:type="dxa"/>
            <w:vAlign w:val="center"/>
          </w:tcPr>
          <w:p w14:paraId="34E3D038">
            <w:pPr>
              <w:pStyle w:val="106"/>
            </w:pPr>
            <w:r>
              <w:rPr>
                <w:rFonts w:hint="eastAsia"/>
              </w:rPr>
              <w:t>总磷</w:t>
            </w:r>
          </w:p>
        </w:tc>
        <w:tc>
          <w:tcPr>
            <w:tcW w:w="1701" w:type="dxa"/>
            <w:vAlign w:val="center"/>
          </w:tcPr>
          <w:p w14:paraId="402CD90C">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28203A7A">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12F64CBE">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4EB08758">
            <w:pPr>
              <w:pStyle w:val="106"/>
              <w:rPr>
                <w:szCs w:val="21"/>
              </w:rPr>
            </w:pPr>
            <w:r>
              <w:rPr>
                <w:rFonts w:hint="eastAsia"/>
                <w:szCs w:val="21"/>
              </w:rPr>
              <w:t>0.024</w:t>
            </w:r>
          </w:p>
        </w:tc>
        <w:tc>
          <w:tcPr>
            <w:tcW w:w="1761" w:type="dxa"/>
            <w:vAlign w:val="center"/>
          </w:tcPr>
          <w:p w14:paraId="79F2466A">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51C6306B">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793F3692">
            <w:pPr>
              <w:pStyle w:val="106"/>
              <w:rPr>
                <w:szCs w:val="21"/>
              </w:rPr>
            </w:pPr>
            <w:r>
              <w:rPr>
                <w:rFonts w:hint="eastAsia"/>
                <w:snapToGrid w:val="0"/>
                <w:kern w:val="21"/>
                <w:szCs w:val="21"/>
              </w:rPr>
              <w:t>+</w:t>
            </w:r>
            <w:r>
              <w:rPr>
                <w:rFonts w:hint="eastAsia"/>
                <w:szCs w:val="21"/>
              </w:rPr>
              <w:t>0.024</w:t>
            </w:r>
          </w:p>
        </w:tc>
      </w:tr>
      <w:tr w14:paraId="3D21F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1CF3B319">
            <w:pPr>
              <w:pStyle w:val="38"/>
              <w:spacing w:beforeLines="0" w:afterLines="0" w:line="240" w:lineRule="auto"/>
              <w:rPr>
                <w:rFonts w:ascii="Times New Roman"/>
                <w:snapToGrid w:val="0"/>
                <w:kern w:val="21"/>
                <w:szCs w:val="21"/>
              </w:rPr>
            </w:pPr>
          </w:p>
        </w:tc>
        <w:tc>
          <w:tcPr>
            <w:tcW w:w="1417" w:type="dxa"/>
            <w:vAlign w:val="center"/>
          </w:tcPr>
          <w:p w14:paraId="78C441DD">
            <w:pPr>
              <w:pStyle w:val="106"/>
            </w:pPr>
            <w:r>
              <w:rPr>
                <w:rFonts w:hint="eastAsia"/>
              </w:rPr>
              <w:t>石油类</w:t>
            </w:r>
          </w:p>
        </w:tc>
        <w:tc>
          <w:tcPr>
            <w:tcW w:w="1701" w:type="dxa"/>
            <w:vAlign w:val="center"/>
          </w:tcPr>
          <w:p w14:paraId="3A467177">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6A82FFE1">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1201406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1AD559D4">
            <w:pPr>
              <w:pStyle w:val="106"/>
              <w:rPr>
                <w:szCs w:val="21"/>
              </w:rPr>
            </w:pPr>
            <w:r>
              <w:rPr>
                <w:rFonts w:hint="eastAsia"/>
                <w:szCs w:val="21"/>
              </w:rPr>
              <w:t>0.071</w:t>
            </w:r>
          </w:p>
        </w:tc>
        <w:tc>
          <w:tcPr>
            <w:tcW w:w="1761" w:type="dxa"/>
            <w:vAlign w:val="center"/>
          </w:tcPr>
          <w:p w14:paraId="2AA31EA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47381297">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13EDF121">
            <w:pPr>
              <w:pStyle w:val="106"/>
              <w:rPr>
                <w:szCs w:val="21"/>
              </w:rPr>
            </w:pPr>
            <w:r>
              <w:rPr>
                <w:rFonts w:hint="eastAsia"/>
                <w:snapToGrid w:val="0"/>
                <w:kern w:val="21"/>
                <w:szCs w:val="21"/>
              </w:rPr>
              <w:t>+</w:t>
            </w:r>
            <w:r>
              <w:rPr>
                <w:rFonts w:hint="eastAsia"/>
                <w:szCs w:val="21"/>
              </w:rPr>
              <w:t>0.071</w:t>
            </w:r>
          </w:p>
        </w:tc>
      </w:tr>
      <w:tr w14:paraId="55D7B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05" w:type="dxa"/>
            <w:gridSpan w:val="2"/>
            <w:vAlign w:val="center"/>
          </w:tcPr>
          <w:p w14:paraId="3BEE8074">
            <w:pPr>
              <w:pStyle w:val="38"/>
              <w:spacing w:beforeLines="0" w:afterLines="0" w:line="240" w:lineRule="auto"/>
              <w:rPr>
                <w:rFonts w:ascii="Times New Roman"/>
                <w:snapToGrid w:val="0"/>
                <w:kern w:val="21"/>
                <w:szCs w:val="21"/>
              </w:rPr>
            </w:pPr>
            <w:r>
              <w:rPr>
                <w:rFonts w:ascii="Times New Roman" w:hAnsi="宋体"/>
                <w:snapToGrid w:val="0"/>
                <w:kern w:val="21"/>
                <w:szCs w:val="21"/>
              </w:rPr>
              <w:t>一般工业</w:t>
            </w:r>
          </w:p>
          <w:p w14:paraId="3CAFF12F">
            <w:pPr>
              <w:pStyle w:val="38"/>
              <w:spacing w:beforeLines="0" w:afterLines="0" w:line="240" w:lineRule="auto"/>
              <w:rPr>
                <w:rFonts w:ascii="Times New Roman"/>
                <w:snapToGrid w:val="0"/>
                <w:kern w:val="21"/>
                <w:szCs w:val="21"/>
              </w:rPr>
            </w:pPr>
            <w:r>
              <w:rPr>
                <w:rFonts w:ascii="Times New Roman" w:hAnsi="宋体"/>
                <w:snapToGrid w:val="0"/>
                <w:kern w:val="21"/>
                <w:szCs w:val="21"/>
              </w:rPr>
              <w:t>固体废物</w:t>
            </w:r>
          </w:p>
        </w:tc>
        <w:tc>
          <w:tcPr>
            <w:tcW w:w="1701" w:type="dxa"/>
            <w:vAlign w:val="center"/>
          </w:tcPr>
          <w:p w14:paraId="662AB6DD">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76FEDC6C">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7390760D">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663CDB01">
            <w:pPr>
              <w:pStyle w:val="38"/>
              <w:spacing w:beforeLines="0" w:afterLines="0" w:line="240" w:lineRule="auto"/>
              <w:rPr>
                <w:rFonts w:ascii="Times New Roman"/>
                <w:snapToGrid w:val="0"/>
                <w:kern w:val="21"/>
                <w:szCs w:val="21"/>
              </w:rPr>
            </w:pPr>
            <w:r>
              <w:rPr>
                <w:rFonts w:hint="eastAsia" w:ascii="Times New Roman"/>
                <w:snapToGrid w:val="0"/>
                <w:kern w:val="21"/>
                <w:szCs w:val="21"/>
              </w:rPr>
              <w:t>106</w:t>
            </w:r>
          </w:p>
        </w:tc>
        <w:tc>
          <w:tcPr>
            <w:tcW w:w="1761" w:type="dxa"/>
            <w:vAlign w:val="center"/>
          </w:tcPr>
          <w:p w14:paraId="104CC7CC">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29CBA58A">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479087CB">
            <w:pPr>
              <w:pStyle w:val="38"/>
              <w:spacing w:beforeLines="0" w:afterLines="0" w:line="240" w:lineRule="auto"/>
              <w:rPr>
                <w:rFonts w:ascii="Times New Roman"/>
                <w:snapToGrid w:val="0"/>
                <w:kern w:val="21"/>
                <w:szCs w:val="21"/>
              </w:rPr>
            </w:pPr>
            <w:r>
              <w:rPr>
                <w:rFonts w:hint="eastAsia" w:ascii="Times New Roman"/>
                <w:snapToGrid w:val="0"/>
                <w:kern w:val="21"/>
                <w:szCs w:val="21"/>
              </w:rPr>
              <w:t>+106</w:t>
            </w:r>
          </w:p>
        </w:tc>
      </w:tr>
      <w:tr w14:paraId="45168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05" w:type="dxa"/>
            <w:gridSpan w:val="2"/>
            <w:vAlign w:val="center"/>
          </w:tcPr>
          <w:p w14:paraId="1301CE58">
            <w:pPr>
              <w:pStyle w:val="38"/>
              <w:spacing w:beforeLines="0" w:afterLines="0" w:line="240" w:lineRule="auto"/>
              <w:rPr>
                <w:rFonts w:ascii="Times New Roman"/>
                <w:snapToGrid w:val="0"/>
                <w:kern w:val="21"/>
                <w:szCs w:val="21"/>
              </w:rPr>
            </w:pPr>
            <w:r>
              <w:rPr>
                <w:rFonts w:ascii="Times New Roman" w:hAnsi="宋体"/>
                <w:snapToGrid w:val="0"/>
                <w:kern w:val="21"/>
                <w:szCs w:val="21"/>
              </w:rPr>
              <w:t>危险废物</w:t>
            </w:r>
          </w:p>
        </w:tc>
        <w:tc>
          <w:tcPr>
            <w:tcW w:w="1701" w:type="dxa"/>
            <w:vAlign w:val="center"/>
          </w:tcPr>
          <w:p w14:paraId="65C84460">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2755A3E4">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6FEB67DD">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7957928C">
            <w:pPr>
              <w:pStyle w:val="38"/>
              <w:spacing w:beforeLines="0" w:afterLines="0" w:line="240" w:lineRule="auto"/>
              <w:rPr>
                <w:rFonts w:ascii="Times New Roman"/>
                <w:snapToGrid w:val="0"/>
                <w:kern w:val="21"/>
                <w:szCs w:val="21"/>
              </w:rPr>
            </w:pPr>
            <w:r>
              <w:rPr>
                <w:rFonts w:hint="eastAsia" w:ascii="Times New Roman"/>
                <w:snapToGrid w:val="0"/>
                <w:kern w:val="21"/>
                <w:szCs w:val="21"/>
              </w:rPr>
              <w:t>28.991</w:t>
            </w:r>
          </w:p>
        </w:tc>
        <w:tc>
          <w:tcPr>
            <w:tcW w:w="1761" w:type="dxa"/>
            <w:vAlign w:val="center"/>
          </w:tcPr>
          <w:p w14:paraId="2C2925B8">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04CBC3CA">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51EB4183">
            <w:pPr>
              <w:pStyle w:val="38"/>
              <w:spacing w:beforeLines="0" w:afterLines="0" w:line="240" w:lineRule="auto"/>
              <w:rPr>
                <w:rFonts w:ascii="Times New Roman"/>
                <w:snapToGrid w:val="0"/>
                <w:kern w:val="21"/>
                <w:szCs w:val="21"/>
              </w:rPr>
            </w:pPr>
            <w:r>
              <w:rPr>
                <w:rFonts w:hint="eastAsia" w:ascii="Times New Roman"/>
                <w:snapToGrid w:val="0"/>
                <w:kern w:val="21"/>
                <w:szCs w:val="21"/>
              </w:rPr>
              <w:t>+28.991</w:t>
            </w:r>
          </w:p>
        </w:tc>
      </w:tr>
      <w:tr w14:paraId="5DA02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05" w:type="dxa"/>
            <w:gridSpan w:val="2"/>
            <w:vAlign w:val="center"/>
          </w:tcPr>
          <w:p w14:paraId="01609802">
            <w:pPr>
              <w:pStyle w:val="38"/>
              <w:spacing w:beforeLines="0" w:afterLines="0" w:line="240" w:lineRule="auto"/>
              <w:rPr>
                <w:rFonts w:ascii="Times New Roman" w:hAnsi="宋体"/>
                <w:snapToGrid w:val="0"/>
                <w:kern w:val="21"/>
                <w:szCs w:val="21"/>
              </w:rPr>
            </w:pPr>
            <w:r>
              <w:rPr>
                <w:rFonts w:hint="eastAsia" w:ascii="Times New Roman" w:hAnsi="宋体"/>
                <w:snapToGrid w:val="0"/>
                <w:kern w:val="21"/>
                <w:szCs w:val="21"/>
              </w:rPr>
              <w:t>生活垃圾</w:t>
            </w:r>
          </w:p>
        </w:tc>
        <w:tc>
          <w:tcPr>
            <w:tcW w:w="1701" w:type="dxa"/>
            <w:vAlign w:val="center"/>
          </w:tcPr>
          <w:p w14:paraId="560CFAE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73D2FAA6">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2A6645C7">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6EEDECD4">
            <w:pPr>
              <w:pStyle w:val="38"/>
              <w:spacing w:beforeLines="0" w:afterLines="0" w:line="240" w:lineRule="auto"/>
              <w:rPr>
                <w:rFonts w:ascii="Times New Roman"/>
                <w:snapToGrid w:val="0"/>
                <w:kern w:val="21"/>
                <w:szCs w:val="21"/>
              </w:rPr>
            </w:pPr>
            <w:r>
              <w:rPr>
                <w:rFonts w:hint="eastAsia" w:ascii="Times New Roman"/>
                <w:snapToGrid w:val="0"/>
                <w:kern w:val="21"/>
                <w:szCs w:val="21"/>
              </w:rPr>
              <w:t>125</w:t>
            </w:r>
          </w:p>
        </w:tc>
        <w:tc>
          <w:tcPr>
            <w:tcW w:w="1761" w:type="dxa"/>
            <w:vAlign w:val="center"/>
          </w:tcPr>
          <w:p w14:paraId="1A0DC9F4">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135CAC0A">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2448D5E3">
            <w:pPr>
              <w:pStyle w:val="38"/>
              <w:spacing w:beforeLines="0" w:afterLines="0" w:line="240" w:lineRule="auto"/>
              <w:rPr>
                <w:rFonts w:ascii="Times New Roman"/>
                <w:snapToGrid w:val="0"/>
                <w:kern w:val="21"/>
                <w:szCs w:val="21"/>
              </w:rPr>
            </w:pPr>
            <w:r>
              <w:rPr>
                <w:rFonts w:hint="eastAsia" w:ascii="Times New Roman"/>
                <w:snapToGrid w:val="0"/>
                <w:kern w:val="21"/>
                <w:szCs w:val="21"/>
              </w:rPr>
              <w:t>+125</w:t>
            </w:r>
          </w:p>
        </w:tc>
      </w:tr>
      <w:tr w14:paraId="0CDB3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05" w:type="dxa"/>
            <w:gridSpan w:val="2"/>
            <w:vAlign w:val="center"/>
          </w:tcPr>
          <w:p w14:paraId="3841C6BB">
            <w:pPr>
              <w:pStyle w:val="38"/>
              <w:spacing w:beforeLines="0" w:afterLines="0" w:line="240" w:lineRule="auto"/>
              <w:rPr>
                <w:rFonts w:ascii="Times New Roman" w:hAnsi="宋体"/>
                <w:snapToGrid w:val="0"/>
                <w:kern w:val="21"/>
                <w:szCs w:val="21"/>
              </w:rPr>
            </w:pPr>
            <w:r>
              <w:rPr>
                <w:rFonts w:hint="eastAsia" w:ascii="Times New Roman" w:hAnsi="宋体"/>
                <w:snapToGrid w:val="0"/>
                <w:kern w:val="21"/>
                <w:szCs w:val="21"/>
              </w:rPr>
              <w:t>餐厨垃圾</w:t>
            </w:r>
          </w:p>
        </w:tc>
        <w:tc>
          <w:tcPr>
            <w:tcW w:w="1701" w:type="dxa"/>
            <w:vAlign w:val="center"/>
          </w:tcPr>
          <w:p w14:paraId="5527EB2B">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542353E4">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4B2145E2">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6F066A41">
            <w:pPr>
              <w:pStyle w:val="38"/>
              <w:spacing w:beforeLines="0" w:afterLines="0" w:line="240" w:lineRule="auto"/>
              <w:rPr>
                <w:rFonts w:ascii="Times New Roman"/>
                <w:snapToGrid w:val="0"/>
                <w:kern w:val="21"/>
                <w:szCs w:val="21"/>
              </w:rPr>
            </w:pPr>
            <w:r>
              <w:rPr>
                <w:rFonts w:hint="eastAsia" w:ascii="Times New Roman"/>
                <w:snapToGrid w:val="0"/>
                <w:kern w:val="21"/>
                <w:szCs w:val="21"/>
              </w:rPr>
              <w:t>50</w:t>
            </w:r>
          </w:p>
        </w:tc>
        <w:tc>
          <w:tcPr>
            <w:tcW w:w="1761" w:type="dxa"/>
            <w:vAlign w:val="center"/>
          </w:tcPr>
          <w:p w14:paraId="77E3EBE3">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778E740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32BFC51A">
            <w:pPr>
              <w:pStyle w:val="38"/>
              <w:spacing w:beforeLines="0" w:afterLines="0" w:line="240" w:lineRule="auto"/>
              <w:rPr>
                <w:rFonts w:ascii="Times New Roman"/>
                <w:snapToGrid w:val="0"/>
                <w:kern w:val="21"/>
                <w:szCs w:val="21"/>
              </w:rPr>
            </w:pPr>
            <w:r>
              <w:rPr>
                <w:rFonts w:hint="eastAsia" w:ascii="Times New Roman"/>
                <w:snapToGrid w:val="0"/>
                <w:kern w:val="21"/>
                <w:szCs w:val="21"/>
              </w:rPr>
              <w:t>+50</w:t>
            </w:r>
          </w:p>
        </w:tc>
      </w:tr>
      <w:tr w14:paraId="38C3E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05" w:type="dxa"/>
            <w:gridSpan w:val="2"/>
            <w:vAlign w:val="center"/>
          </w:tcPr>
          <w:p w14:paraId="1B0826DE">
            <w:pPr>
              <w:pStyle w:val="38"/>
              <w:spacing w:beforeLines="0" w:afterLines="0" w:line="240" w:lineRule="auto"/>
              <w:rPr>
                <w:rFonts w:ascii="Times New Roman" w:hAnsi="宋体"/>
                <w:snapToGrid w:val="0"/>
                <w:kern w:val="21"/>
                <w:szCs w:val="21"/>
              </w:rPr>
            </w:pPr>
            <w:r>
              <w:rPr>
                <w:rFonts w:hint="eastAsia" w:ascii="Times New Roman" w:hAnsi="宋体"/>
                <w:snapToGrid w:val="0"/>
                <w:kern w:val="21"/>
                <w:szCs w:val="21"/>
              </w:rPr>
              <w:t>生化池污泥</w:t>
            </w:r>
          </w:p>
        </w:tc>
        <w:tc>
          <w:tcPr>
            <w:tcW w:w="1701" w:type="dxa"/>
            <w:vAlign w:val="center"/>
          </w:tcPr>
          <w:p w14:paraId="2ABE93E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14:paraId="7F689149">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14:paraId="3E1BA905">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14:paraId="73DC1BF0">
            <w:pPr>
              <w:pStyle w:val="38"/>
              <w:spacing w:beforeLines="0" w:afterLines="0" w:line="240" w:lineRule="auto"/>
              <w:rPr>
                <w:rFonts w:ascii="Times New Roman"/>
                <w:snapToGrid w:val="0"/>
                <w:kern w:val="21"/>
                <w:szCs w:val="21"/>
              </w:rPr>
            </w:pPr>
            <w:r>
              <w:rPr>
                <w:rFonts w:hint="eastAsia" w:ascii="Times New Roman"/>
                <w:snapToGrid w:val="0"/>
                <w:kern w:val="21"/>
                <w:szCs w:val="21"/>
              </w:rPr>
              <w:t>3.8</w:t>
            </w:r>
          </w:p>
        </w:tc>
        <w:tc>
          <w:tcPr>
            <w:tcW w:w="1761" w:type="dxa"/>
            <w:vAlign w:val="center"/>
          </w:tcPr>
          <w:p w14:paraId="0D297C6F">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959" w:type="dxa"/>
            <w:vAlign w:val="center"/>
          </w:tcPr>
          <w:p w14:paraId="21CE3C5E">
            <w:pPr>
              <w:pStyle w:val="3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383" w:type="dxa"/>
            <w:vAlign w:val="center"/>
          </w:tcPr>
          <w:p w14:paraId="174E55E2">
            <w:pPr>
              <w:pStyle w:val="38"/>
              <w:spacing w:beforeLines="0" w:afterLines="0" w:line="240" w:lineRule="auto"/>
              <w:rPr>
                <w:rFonts w:ascii="Times New Roman"/>
                <w:snapToGrid w:val="0"/>
                <w:kern w:val="21"/>
                <w:szCs w:val="21"/>
              </w:rPr>
            </w:pPr>
            <w:r>
              <w:rPr>
                <w:rFonts w:hint="eastAsia" w:ascii="Times New Roman"/>
                <w:snapToGrid w:val="0"/>
                <w:kern w:val="21"/>
                <w:szCs w:val="21"/>
              </w:rPr>
              <w:t>+3.8</w:t>
            </w:r>
          </w:p>
        </w:tc>
      </w:tr>
    </w:tbl>
    <w:p w14:paraId="7FB30C6A">
      <w:pPr>
        <w:pStyle w:val="38"/>
        <w:spacing w:beforeLines="80" w:after="24"/>
        <w:jc w:val="left"/>
        <w:rPr>
          <w:rFonts w:hAnsi="宋体"/>
          <w:snapToGrid w:val="0"/>
          <w:spacing w:val="-6"/>
          <w:kern w:val="21"/>
          <w:szCs w:val="21"/>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int="eastAsia" w:hAnsi="宋体"/>
          <w:snapToGrid w:val="0"/>
          <w:spacing w:val="-6"/>
          <w:kern w:val="21"/>
          <w:szCs w:val="21"/>
        </w:rPr>
        <w:t>，单位：t/a</w:t>
      </w:r>
    </w:p>
    <w:p w14:paraId="320FDFEF">
      <w:r>
        <w:rPr>
          <w:rFonts w:hint="eastAsia"/>
        </w:rPr>
        <w:t>项目废气排放量为废气有组织排放量。</w:t>
      </w:r>
    </w:p>
    <w:p w14:paraId="162B8A69"/>
    <w:p w14:paraId="2B9F87D5">
      <w:pPr>
        <w:rPr>
          <w:rFonts w:eastAsia="黑体"/>
        </w:rPr>
      </w:pPr>
      <w:r>
        <w:rPr>
          <w:rFonts w:hint="eastAsia"/>
        </w:rPr>
        <w:t>项目废水为允许排入外环境的量</w:t>
      </w:r>
    </w:p>
    <w:sectPr>
      <w:footerReference r:id="rId4" w:type="default"/>
      <w:pgSz w:w="16838" w:h="11906" w:orient="landscape"/>
      <w:pgMar w:top="1531" w:right="1701" w:bottom="1531" w:left="1701"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AD66B-939A-4C56-8FB7-8EB4E00485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sNewRomanPSMT">
    <w:altName w:val="Times New Roman"/>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Emoji">
    <w:altName w:val="Segoe U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85AE9BA2-05E3-41ED-8F19-4A8CB6897D6C}"/>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3095">
    <w:pPr>
      <w:pStyle w:val="14"/>
      <w:jc w:val="center"/>
    </w:pPr>
    <w:r>
      <w:fldChar w:fldCharType="begin"/>
    </w:r>
    <w:r>
      <w:instrText xml:space="preserve"> PAGE   \* MERGEFORMAT </w:instrText>
    </w:r>
    <w:r>
      <w:fldChar w:fldCharType="separate"/>
    </w:r>
    <w:r>
      <w:rPr>
        <w:lang w:val="zh-CN"/>
      </w:rPr>
      <w:t>1</w:t>
    </w:r>
    <w:r>
      <w:rPr>
        <w:lang w:val="zh-CN"/>
      </w:rPr>
      <w:fldChar w:fldCharType="end"/>
    </w:r>
  </w:p>
  <w:p w14:paraId="4D9A3F37">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5D03">
    <w:pPr>
      <w:pStyle w:val="14"/>
      <w:framePr w:wrap="around" w:vAnchor="text" w:hAnchor="margin" w:xAlign="outside" w:y="1"/>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rPr>
      <w:t xml:space="preserve">  </w:t>
    </w:r>
    <w:r>
      <w:rPr>
        <w:rStyle w:val="27"/>
        <w:rFonts w:ascii="宋体" w:hAnsi="宋体"/>
        <w:sz w:val="26"/>
        <w:szCs w:val="26"/>
      </w:rPr>
      <w:fldChar w:fldCharType="begin"/>
    </w:r>
    <w:r>
      <w:rPr>
        <w:rStyle w:val="27"/>
        <w:rFonts w:ascii="宋体" w:hAnsi="宋体"/>
        <w:sz w:val="26"/>
        <w:szCs w:val="26"/>
      </w:rPr>
      <w:instrText xml:space="preserve">PAGE  </w:instrText>
    </w:r>
    <w:r>
      <w:rPr>
        <w:rStyle w:val="27"/>
        <w:rFonts w:ascii="宋体" w:hAnsi="宋体"/>
        <w:sz w:val="26"/>
        <w:szCs w:val="26"/>
      </w:rPr>
      <w:fldChar w:fldCharType="separate"/>
    </w:r>
    <w:r>
      <w:rPr>
        <w:rStyle w:val="27"/>
        <w:rFonts w:ascii="宋体" w:hAnsi="宋体"/>
        <w:sz w:val="26"/>
        <w:szCs w:val="26"/>
      </w:rPr>
      <w:t>89</w:t>
    </w:r>
    <w:r>
      <w:rPr>
        <w:rStyle w:val="27"/>
        <w:rFonts w:ascii="宋体" w:hAnsi="宋体"/>
        <w:sz w:val="26"/>
        <w:szCs w:val="26"/>
      </w:rPr>
      <w:fldChar w:fldCharType="end"/>
    </w:r>
    <w:r>
      <w:rPr>
        <w:rStyle w:val="27"/>
        <w:rFonts w:hint="eastAsia" w:ascii="宋体" w:hAnsi="宋体"/>
        <w:sz w:val="20"/>
      </w:rPr>
      <w:t xml:space="preserve">  </w:t>
    </w:r>
    <w:r>
      <w:rPr>
        <w:rStyle w:val="27"/>
        <w:rFonts w:hint="eastAsia" w:ascii="宋体" w:hAnsi="宋体"/>
        <w:sz w:val="28"/>
        <w:szCs w:val="28"/>
      </w:rPr>
      <w:t>—</w:t>
    </w:r>
  </w:p>
  <w:p w14:paraId="474CB14F">
    <w:pPr>
      <w:pStyle w:val="1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754B2"/>
    <w:multiLevelType w:val="singleLevel"/>
    <w:tmpl w:val="BDD754B2"/>
    <w:lvl w:ilvl="0" w:tentative="0">
      <w:start w:val="1"/>
      <w:numFmt w:val="chineseCounting"/>
      <w:suff w:val="space"/>
      <w:lvlText w:val="第%1条"/>
      <w:lvlJc w:val="left"/>
      <w:rPr>
        <w:rFonts w:hint="eastAsia"/>
      </w:rPr>
    </w:lvl>
  </w:abstractNum>
  <w:abstractNum w:abstractNumId="1">
    <w:nsid w:val="E955997D"/>
    <w:multiLevelType w:val="singleLevel"/>
    <w:tmpl w:val="E955997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attachedTemplate r:id="rId1"/>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A14947"/>
    <w:rsid w:val="00000374"/>
    <w:rsid w:val="00000AC7"/>
    <w:rsid w:val="000018A4"/>
    <w:rsid w:val="0000375B"/>
    <w:rsid w:val="0000410B"/>
    <w:rsid w:val="00004125"/>
    <w:rsid w:val="00005810"/>
    <w:rsid w:val="000060B3"/>
    <w:rsid w:val="0000614E"/>
    <w:rsid w:val="00006744"/>
    <w:rsid w:val="00006C5F"/>
    <w:rsid w:val="000076EE"/>
    <w:rsid w:val="00007FB4"/>
    <w:rsid w:val="00010138"/>
    <w:rsid w:val="000115C9"/>
    <w:rsid w:val="00012668"/>
    <w:rsid w:val="000151E6"/>
    <w:rsid w:val="00015978"/>
    <w:rsid w:val="00016CAC"/>
    <w:rsid w:val="00017501"/>
    <w:rsid w:val="00020F52"/>
    <w:rsid w:val="00021219"/>
    <w:rsid w:val="0002198A"/>
    <w:rsid w:val="00022AA2"/>
    <w:rsid w:val="00022E5F"/>
    <w:rsid w:val="0002303D"/>
    <w:rsid w:val="00023488"/>
    <w:rsid w:val="00025206"/>
    <w:rsid w:val="00025C1C"/>
    <w:rsid w:val="00025D46"/>
    <w:rsid w:val="0002659E"/>
    <w:rsid w:val="000273A9"/>
    <w:rsid w:val="00027836"/>
    <w:rsid w:val="00030A98"/>
    <w:rsid w:val="000319FB"/>
    <w:rsid w:val="000329AE"/>
    <w:rsid w:val="000330FD"/>
    <w:rsid w:val="00035EA8"/>
    <w:rsid w:val="00037FA8"/>
    <w:rsid w:val="000409F0"/>
    <w:rsid w:val="00040EB2"/>
    <w:rsid w:val="0004180D"/>
    <w:rsid w:val="000423A1"/>
    <w:rsid w:val="0004364B"/>
    <w:rsid w:val="000446B9"/>
    <w:rsid w:val="000448AA"/>
    <w:rsid w:val="00044F9D"/>
    <w:rsid w:val="00045462"/>
    <w:rsid w:val="00045F31"/>
    <w:rsid w:val="00047513"/>
    <w:rsid w:val="00047E38"/>
    <w:rsid w:val="000502F6"/>
    <w:rsid w:val="000510F6"/>
    <w:rsid w:val="0005151D"/>
    <w:rsid w:val="000515CF"/>
    <w:rsid w:val="00052B3B"/>
    <w:rsid w:val="0005357D"/>
    <w:rsid w:val="00053989"/>
    <w:rsid w:val="00054A9D"/>
    <w:rsid w:val="0005601E"/>
    <w:rsid w:val="0005620E"/>
    <w:rsid w:val="0005644B"/>
    <w:rsid w:val="00057ACB"/>
    <w:rsid w:val="00060424"/>
    <w:rsid w:val="000617E0"/>
    <w:rsid w:val="00061B1F"/>
    <w:rsid w:val="00062E6D"/>
    <w:rsid w:val="000638DF"/>
    <w:rsid w:val="00064A71"/>
    <w:rsid w:val="000660F0"/>
    <w:rsid w:val="00066417"/>
    <w:rsid w:val="00067456"/>
    <w:rsid w:val="000676AF"/>
    <w:rsid w:val="00067772"/>
    <w:rsid w:val="00071F78"/>
    <w:rsid w:val="0007255E"/>
    <w:rsid w:val="00072C8D"/>
    <w:rsid w:val="000733C4"/>
    <w:rsid w:val="0007341C"/>
    <w:rsid w:val="00073D72"/>
    <w:rsid w:val="0007427F"/>
    <w:rsid w:val="00074783"/>
    <w:rsid w:val="0007569A"/>
    <w:rsid w:val="0007664B"/>
    <w:rsid w:val="0007680D"/>
    <w:rsid w:val="00076846"/>
    <w:rsid w:val="00077DE5"/>
    <w:rsid w:val="0008021A"/>
    <w:rsid w:val="0008070B"/>
    <w:rsid w:val="00080E75"/>
    <w:rsid w:val="000810AC"/>
    <w:rsid w:val="000810F1"/>
    <w:rsid w:val="00081349"/>
    <w:rsid w:val="00081845"/>
    <w:rsid w:val="000818F5"/>
    <w:rsid w:val="00081A02"/>
    <w:rsid w:val="00081CDC"/>
    <w:rsid w:val="00082231"/>
    <w:rsid w:val="00083550"/>
    <w:rsid w:val="0008367A"/>
    <w:rsid w:val="00087C5D"/>
    <w:rsid w:val="000902CD"/>
    <w:rsid w:val="000910C4"/>
    <w:rsid w:val="000916F7"/>
    <w:rsid w:val="00091974"/>
    <w:rsid w:val="000923D0"/>
    <w:rsid w:val="00092D38"/>
    <w:rsid w:val="0009377B"/>
    <w:rsid w:val="0009516A"/>
    <w:rsid w:val="00095410"/>
    <w:rsid w:val="000956A3"/>
    <w:rsid w:val="000963B7"/>
    <w:rsid w:val="00097463"/>
    <w:rsid w:val="00097EC6"/>
    <w:rsid w:val="000A031E"/>
    <w:rsid w:val="000A0913"/>
    <w:rsid w:val="000A20C9"/>
    <w:rsid w:val="000A3ABF"/>
    <w:rsid w:val="000A4169"/>
    <w:rsid w:val="000A4A18"/>
    <w:rsid w:val="000A5496"/>
    <w:rsid w:val="000A5C62"/>
    <w:rsid w:val="000A79ED"/>
    <w:rsid w:val="000B058F"/>
    <w:rsid w:val="000B382D"/>
    <w:rsid w:val="000B3F95"/>
    <w:rsid w:val="000B4467"/>
    <w:rsid w:val="000B4B19"/>
    <w:rsid w:val="000B4DB9"/>
    <w:rsid w:val="000B4DE3"/>
    <w:rsid w:val="000B590E"/>
    <w:rsid w:val="000B6FBE"/>
    <w:rsid w:val="000B79F7"/>
    <w:rsid w:val="000C0156"/>
    <w:rsid w:val="000C09AC"/>
    <w:rsid w:val="000C0ECD"/>
    <w:rsid w:val="000C1246"/>
    <w:rsid w:val="000C38D3"/>
    <w:rsid w:val="000C42E7"/>
    <w:rsid w:val="000C43B3"/>
    <w:rsid w:val="000C4BAA"/>
    <w:rsid w:val="000C51DD"/>
    <w:rsid w:val="000C547F"/>
    <w:rsid w:val="000C566D"/>
    <w:rsid w:val="000C6CC1"/>
    <w:rsid w:val="000C767F"/>
    <w:rsid w:val="000C78E6"/>
    <w:rsid w:val="000D0EAB"/>
    <w:rsid w:val="000D1ABB"/>
    <w:rsid w:val="000D1CE2"/>
    <w:rsid w:val="000D1F1B"/>
    <w:rsid w:val="000D3DF9"/>
    <w:rsid w:val="000D411F"/>
    <w:rsid w:val="000D5070"/>
    <w:rsid w:val="000D5647"/>
    <w:rsid w:val="000D5A44"/>
    <w:rsid w:val="000D5E01"/>
    <w:rsid w:val="000D6554"/>
    <w:rsid w:val="000D76FB"/>
    <w:rsid w:val="000D7947"/>
    <w:rsid w:val="000E0092"/>
    <w:rsid w:val="000E3ED2"/>
    <w:rsid w:val="000E3F2B"/>
    <w:rsid w:val="000E4FF2"/>
    <w:rsid w:val="000E53CE"/>
    <w:rsid w:val="000F118A"/>
    <w:rsid w:val="000F141F"/>
    <w:rsid w:val="000F1A1B"/>
    <w:rsid w:val="000F247B"/>
    <w:rsid w:val="000F2BBD"/>
    <w:rsid w:val="000F3BEC"/>
    <w:rsid w:val="000F40D5"/>
    <w:rsid w:val="000F5178"/>
    <w:rsid w:val="000F527A"/>
    <w:rsid w:val="000F5E33"/>
    <w:rsid w:val="000F6C92"/>
    <w:rsid w:val="000F77FB"/>
    <w:rsid w:val="001003E2"/>
    <w:rsid w:val="00100BE4"/>
    <w:rsid w:val="00101275"/>
    <w:rsid w:val="00101C2A"/>
    <w:rsid w:val="0010264F"/>
    <w:rsid w:val="00103E13"/>
    <w:rsid w:val="001041BE"/>
    <w:rsid w:val="00104EA2"/>
    <w:rsid w:val="00105377"/>
    <w:rsid w:val="0010614A"/>
    <w:rsid w:val="001061F6"/>
    <w:rsid w:val="00106D5D"/>
    <w:rsid w:val="00111CEF"/>
    <w:rsid w:val="00111E25"/>
    <w:rsid w:val="00114715"/>
    <w:rsid w:val="00114A33"/>
    <w:rsid w:val="00114F66"/>
    <w:rsid w:val="00116B4E"/>
    <w:rsid w:val="00116C35"/>
    <w:rsid w:val="00116CCB"/>
    <w:rsid w:val="001173EB"/>
    <w:rsid w:val="00122B6B"/>
    <w:rsid w:val="00123141"/>
    <w:rsid w:val="001245FE"/>
    <w:rsid w:val="00124CD1"/>
    <w:rsid w:val="00124F78"/>
    <w:rsid w:val="00125483"/>
    <w:rsid w:val="00131849"/>
    <w:rsid w:val="00131F42"/>
    <w:rsid w:val="00132706"/>
    <w:rsid w:val="001327C7"/>
    <w:rsid w:val="001328DA"/>
    <w:rsid w:val="00133062"/>
    <w:rsid w:val="00134BE5"/>
    <w:rsid w:val="00134D55"/>
    <w:rsid w:val="001357F1"/>
    <w:rsid w:val="00140AEB"/>
    <w:rsid w:val="00140FA8"/>
    <w:rsid w:val="001410A6"/>
    <w:rsid w:val="001418EB"/>
    <w:rsid w:val="00142FEB"/>
    <w:rsid w:val="00143A2D"/>
    <w:rsid w:val="00145A41"/>
    <w:rsid w:val="0014652E"/>
    <w:rsid w:val="00146EB3"/>
    <w:rsid w:val="00150FB7"/>
    <w:rsid w:val="00151377"/>
    <w:rsid w:val="00151380"/>
    <w:rsid w:val="00151675"/>
    <w:rsid w:val="001527E3"/>
    <w:rsid w:val="0015295A"/>
    <w:rsid w:val="00152ADB"/>
    <w:rsid w:val="00153643"/>
    <w:rsid w:val="0015421B"/>
    <w:rsid w:val="00157435"/>
    <w:rsid w:val="001578C1"/>
    <w:rsid w:val="0016061D"/>
    <w:rsid w:val="0016082E"/>
    <w:rsid w:val="00161168"/>
    <w:rsid w:val="0016177A"/>
    <w:rsid w:val="00161CD6"/>
    <w:rsid w:val="00162A4A"/>
    <w:rsid w:val="0016340F"/>
    <w:rsid w:val="00163CAA"/>
    <w:rsid w:val="001644F6"/>
    <w:rsid w:val="00165A3D"/>
    <w:rsid w:val="00165C8D"/>
    <w:rsid w:val="00167008"/>
    <w:rsid w:val="00170131"/>
    <w:rsid w:val="0017017B"/>
    <w:rsid w:val="001708F4"/>
    <w:rsid w:val="00171F3F"/>
    <w:rsid w:val="00172658"/>
    <w:rsid w:val="00174BF5"/>
    <w:rsid w:val="0017504D"/>
    <w:rsid w:val="00175A26"/>
    <w:rsid w:val="00176562"/>
    <w:rsid w:val="0017671A"/>
    <w:rsid w:val="00177412"/>
    <w:rsid w:val="00177422"/>
    <w:rsid w:val="00177BF5"/>
    <w:rsid w:val="0018039A"/>
    <w:rsid w:val="00180723"/>
    <w:rsid w:val="0018220F"/>
    <w:rsid w:val="00182300"/>
    <w:rsid w:val="00182DBD"/>
    <w:rsid w:val="00183BCB"/>
    <w:rsid w:val="00184590"/>
    <w:rsid w:val="00184B64"/>
    <w:rsid w:val="001850E2"/>
    <w:rsid w:val="001856B1"/>
    <w:rsid w:val="00185864"/>
    <w:rsid w:val="00185E50"/>
    <w:rsid w:val="001860BE"/>
    <w:rsid w:val="001870D1"/>
    <w:rsid w:val="00187185"/>
    <w:rsid w:val="0018781E"/>
    <w:rsid w:val="00187A21"/>
    <w:rsid w:val="00191950"/>
    <w:rsid w:val="0019262D"/>
    <w:rsid w:val="00193FD6"/>
    <w:rsid w:val="00194A58"/>
    <w:rsid w:val="001951BF"/>
    <w:rsid w:val="00195C04"/>
    <w:rsid w:val="00195DF0"/>
    <w:rsid w:val="00196806"/>
    <w:rsid w:val="00196EF2"/>
    <w:rsid w:val="001978A3"/>
    <w:rsid w:val="001A040F"/>
    <w:rsid w:val="001A1B35"/>
    <w:rsid w:val="001A222F"/>
    <w:rsid w:val="001A23A6"/>
    <w:rsid w:val="001A32C6"/>
    <w:rsid w:val="001A48A2"/>
    <w:rsid w:val="001A4CA6"/>
    <w:rsid w:val="001A4CE5"/>
    <w:rsid w:val="001A527D"/>
    <w:rsid w:val="001A682C"/>
    <w:rsid w:val="001A6F61"/>
    <w:rsid w:val="001B0095"/>
    <w:rsid w:val="001B044D"/>
    <w:rsid w:val="001B09FF"/>
    <w:rsid w:val="001B0BBF"/>
    <w:rsid w:val="001B1A27"/>
    <w:rsid w:val="001B2C5F"/>
    <w:rsid w:val="001B3158"/>
    <w:rsid w:val="001B399A"/>
    <w:rsid w:val="001B4B42"/>
    <w:rsid w:val="001B5509"/>
    <w:rsid w:val="001B5CFF"/>
    <w:rsid w:val="001B72B8"/>
    <w:rsid w:val="001B7523"/>
    <w:rsid w:val="001B7EF6"/>
    <w:rsid w:val="001C015F"/>
    <w:rsid w:val="001C21E0"/>
    <w:rsid w:val="001C2A1D"/>
    <w:rsid w:val="001C39C7"/>
    <w:rsid w:val="001C44A1"/>
    <w:rsid w:val="001C5C36"/>
    <w:rsid w:val="001C69B3"/>
    <w:rsid w:val="001C7439"/>
    <w:rsid w:val="001C795A"/>
    <w:rsid w:val="001D00BD"/>
    <w:rsid w:val="001D219B"/>
    <w:rsid w:val="001D253F"/>
    <w:rsid w:val="001D2839"/>
    <w:rsid w:val="001D3EB8"/>
    <w:rsid w:val="001D4956"/>
    <w:rsid w:val="001D5595"/>
    <w:rsid w:val="001D5E4E"/>
    <w:rsid w:val="001D6209"/>
    <w:rsid w:val="001D7874"/>
    <w:rsid w:val="001D7F22"/>
    <w:rsid w:val="001E02F2"/>
    <w:rsid w:val="001E0B69"/>
    <w:rsid w:val="001E21C0"/>
    <w:rsid w:val="001E2527"/>
    <w:rsid w:val="001E5AA1"/>
    <w:rsid w:val="001E6B70"/>
    <w:rsid w:val="001E6CB5"/>
    <w:rsid w:val="001F04AA"/>
    <w:rsid w:val="001F094E"/>
    <w:rsid w:val="001F0F17"/>
    <w:rsid w:val="001F256F"/>
    <w:rsid w:val="001F29BB"/>
    <w:rsid w:val="001F32FE"/>
    <w:rsid w:val="001F3347"/>
    <w:rsid w:val="001F3822"/>
    <w:rsid w:val="001F4E99"/>
    <w:rsid w:val="001F6239"/>
    <w:rsid w:val="001F66B4"/>
    <w:rsid w:val="001F69E4"/>
    <w:rsid w:val="001F7213"/>
    <w:rsid w:val="00202E82"/>
    <w:rsid w:val="00204DCF"/>
    <w:rsid w:val="002053F5"/>
    <w:rsid w:val="00207FBA"/>
    <w:rsid w:val="002125B4"/>
    <w:rsid w:val="00212896"/>
    <w:rsid w:val="00214FD3"/>
    <w:rsid w:val="002155B8"/>
    <w:rsid w:val="002201B0"/>
    <w:rsid w:val="00220214"/>
    <w:rsid w:val="00223C3E"/>
    <w:rsid w:val="00224839"/>
    <w:rsid w:val="002249B2"/>
    <w:rsid w:val="00226574"/>
    <w:rsid w:val="002278EC"/>
    <w:rsid w:val="00227A91"/>
    <w:rsid w:val="0023280E"/>
    <w:rsid w:val="00232D0C"/>
    <w:rsid w:val="00233943"/>
    <w:rsid w:val="00233CEE"/>
    <w:rsid w:val="00233E15"/>
    <w:rsid w:val="002342DF"/>
    <w:rsid w:val="0023497A"/>
    <w:rsid w:val="00234DDE"/>
    <w:rsid w:val="00235A64"/>
    <w:rsid w:val="002377D1"/>
    <w:rsid w:val="00241211"/>
    <w:rsid w:val="00241FF1"/>
    <w:rsid w:val="002433EE"/>
    <w:rsid w:val="00243CB0"/>
    <w:rsid w:val="00243EBA"/>
    <w:rsid w:val="00245B7C"/>
    <w:rsid w:val="00245F76"/>
    <w:rsid w:val="00246BC2"/>
    <w:rsid w:val="002476AC"/>
    <w:rsid w:val="002500B4"/>
    <w:rsid w:val="002504FF"/>
    <w:rsid w:val="002506BC"/>
    <w:rsid w:val="00250EC3"/>
    <w:rsid w:val="00252492"/>
    <w:rsid w:val="002528A9"/>
    <w:rsid w:val="00252953"/>
    <w:rsid w:val="00253FA2"/>
    <w:rsid w:val="00254345"/>
    <w:rsid w:val="0025446A"/>
    <w:rsid w:val="00254BC8"/>
    <w:rsid w:val="002551FA"/>
    <w:rsid w:val="00256541"/>
    <w:rsid w:val="0025658F"/>
    <w:rsid w:val="002573C7"/>
    <w:rsid w:val="002578E6"/>
    <w:rsid w:val="00257D57"/>
    <w:rsid w:val="002622CE"/>
    <w:rsid w:val="00262897"/>
    <w:rsid w:val="00263875"/>
    <w:rsid w:val="00264557"/>
    <w:rsid w:val="002647DF"/>
    <w:rsid w:val="00264C04"/>
    <w:rsid w:val="002654E8"/>
    <w:rsid w:val="0026569A"/>
    <w:rsid w:val="0026575F"/>
    <w:rsid w:val="0026597F"/>
    <w:rsid w:val="00265CE1"/>
    <w:rsid w:val="00265CF5"/>
    <w:rsid w:val="00265EA6"/>
    <w:rsid w:val="002661E2"/>
    <w:rsid w:val="00266544"/>
    <w:rsid w:val="00266894"/>
    <w:rsid w:val="0027072A"/>
    <w:rsid w:val="00270ADB"/>
    <w:rsid w:val="002715AA"/>
    <w:rsid w:val="00271CEF"/>
    <w:rsid w:val="00272818"/>
    <w:rsid w:val="00273262"/>
    <w:rsid w:val="002739AA"/>
    <w:rsid w:val="00273C7D"/>
    <w:rsid w:val="00273F48"/>
    <w:rsid w:val="002741DF"/>
    <w:rsid w:val="00274F05"/>
    <w:rsid w:val="00275C93"/>
    <w:rsid w:val="0027697F"/>
    <w:rsid w:val="00276A4A"/>
    <w:rsid w:val="00276EAD"/>
    <w:rsid w:val="002770A9"/>
    <w:rsid w:val="00277795"/>
    <w:rsid w:val="00277A0E"/>
    <w:rsid w:val="002805AB"/>
    <w:rsid w:val="002811D0"/>
    <w:rsid w:val="002815DC"/>
    <w:rsid w:val="002817F4"/>
    <w:rsid w:val="00281F5D"/>
    <w:rsid w:val="0028223A"/>
    <w:rsid w:val="00282B4A"/>
    <w:rsid w:val="002831B0"/>
    <w:rsid w:val="002832BB"/>
    <w:rsid w:val="00284204"/>
    <w:rsid w:val="00284D49"/>
    <w:rsid w:val="00285371"/>
    <w:rsid w:val="0028569B"/>
    <w:rsid w:val="0029015C"/>
    <w:rsid w:val="0029051E"/>
    <w:rsid w:val="002909F4"/>
    <w:rsid w:val="00290F18"/>
    <w:rsid w:val="00291773"/>
    <w:rsid w:val="00292FD5"/>
    <w:rsid w:val="002950BC"/>
    <w:rsid w:val="002A1002"/>
    <w:rsid w:val="002A1091"/>
    <w:rsid w:val="002A168C"/>
    <w:rsid w:val="002A1B9E"/>
    <w:rsid w:val="002A3848"/>
    <w:rsid w:val="002A38DE"/>
    <w:rsid w:val="002A3DC7"/>
    <w:rsid w:val="002A447A"/>
    <w:rsid w:val="002A50BE"/>
    <w:rsid w:val="002A6209"/>
    <w:rsid w:val="002A79CB"/>
    <w:rsid w:val="002B0137"/>
    <w:rsid w:val="002B046B"/>
    <w:rsid w:val="002B147F"/>
    <w:rsid w:val="002B152F"/>
    <w:rsid w:val="002B1AA8"/>
    <w:rsid w:val="002B220D"/>
    <w:rsid w:val="002B22E5"/>
    <w:rsid w:val="002B2676"/>
    <w:rsid w:val="002B2EEE"/>
    <w:rsid w:val="002B38C7"/>
    <w:rsid w:val="002B40C7"/>
    <w:rsid w:val="002B49E2"/>
    <w:rsid w:val="002B4C7D"/>
    <w:rsid w:val="002B57FF"/>
    <w:rsid w:val="002B6372"/>
    <w:rsid w:val="002B7B00"/>
    <w:rsid w:val="002B7C44"/>
    <w:rsid w:val="002C07EB"/>
    <w:rsid w:val="002C0A1E"/>
    <w:rsid w:val="002C18C3"/>
    <w:rsid w:val="002C1991"/>
    <w:rsid w:val="002C1999"/>
    <w:rsid w:val="002C2A64"/>
    <w:rsid w:val="002C2B17"/>
    <w:rsid w:val="002C2B47"/>
    <w:rsid w:val="002C37A0"/>
    <w:rsid w:val="002C4EA7"/>
    <w:rsid w:val="002C5D8A"/>
    <w:rsid w:val="002D0E81"/>
    <w:rsid w:val="002D1C6F"/>
    <w:rsid w:val="002D1E02"/>
    <w:rsid w:val="002D2BEA"/>
    <w:rsid w:val="002D2DEF"/>
    <w:rsid w:val="002D31DB"/>
    <w:rsid w:val="002D3DD0"/>
    <w:rsid w:val="002D45C1"/>
    <w:rsid w:val="002D4A6E"/>
    <w:rsid w:val="002D5506"/>
    <w:rsid w:val="002D67BB"/>
    <w:rsid w:val="002D7EB2"/>
    <w:rsid w:val="002E140D"/>
    <w:rsid w:val="002E1951"/>
    <w:rsid w:val="002E1E4F"/>
    <w:rsid w:val="002E1E64"/>
    <w:rsid w:val="002E1F3A"/>
    <w:rsid w:val="002E298A"/>
    <w:rsid w:val="002E395F"/>
    <w:rsid w:val="002E4310"/>
    <w:rsid w:val="002E4F88"/>
    <w:rsid w:val="002E4FA4"/>
    <w:rsid w:val="002E5399"/>
    <w:rsid w:val="002E73E0"/>
    <w:rsid w:val="002F192D"/>
    <w:rsid w:val="002F2604"/>
    <w:rsid w:val="002F348B"/>
    <w:rsid w:val="002F4E93"/>
    <w:rsid w:val="002F55C4"/>
    <w:rsid w:val="002F6B55"/>
    <w:rsid w:val="002F791B"/>
    <w:rsid w:val="002F7CF6"/>
    <w:rsid w:val="0030007C"/>
    <w:rsid w:val="00300B49"/>
    <w:rsid w:val="00301070"/>
    <w:rsid w:val="00301720"/>
    <w:rsid w:val="00301978"/>
    <w:rsid w:val="00302122"/>
    <w:rsid w:val="0030332C"/>
    <w:rsid w:val="00303DD4"/>
    <w:rsid w:val="003051C2"/>
    <w:rsid w:val="00305C4A"/>
    <w:rsid w:val="00305C7F"/>
    <w:rsid w:val="003061F9"/>
    <w:rsid w:val="003079CA"/>
    <w:rsid w:val="00311D14"/>
    <w:rsid w:val="00312031"/>
    <w:rsid w:val="00312296"/>
    <w:rsid w:val="00312324"/>
    <w:rsid w:val="003125E6"/>
    <w:rsid w:val="00314687"/>
    <w:rsid w:val="00314D19"/>
    <w:rsid w:val="00314D99"/>
    <w:rsid w:val="00314F0E"/>
    <w:rsid w:val="0031557F"/>
    <w:rsid w:val="0031611D"/>
    <w:rsid w:val="0031652C"/>
    <w:rsid w:val="00316B43"/>
    <w:rsid w:val="00316F30"/>
    <w:rsid w:val="00320047"/>
    <w:rsid w:val="00321914"/>
    <w:rsid w:val="00321D8E"/>
    <w:rsid w:val="00322223"/>
    <w:rsid w:val="00322EA8"/>
    <w:rsid w:val="003234E6"/>
    <w:rsid w:val="003249FA"/>
    <w:rsid w:val="00325928"/>
    <w:rsid w:val="0032689F"/>
    <w:rsid w:val="003268DF"/>
    <w:rsid w:val="00327ABC"/>
    <w:rsid w:val="0033124D"/>
    <w:rsid w:val="00331340"/>
    <w:rsid w:val="00332024"/>
    <w:rsid w:val="00332863"/>
    <w:rsid w:val="00333A7A"/>
    <w:rsid w:val="0033565D"/>
    <w:rsid w:val="00335722"/>
    <w:rsid w:val="0033684D"/>
    <w:rsid w:val="00336E7C"/>
    <w:rsid w:val="003370E7"/>
    <w:rsid w:val="00337B42"/>
    <w:rsid w:val="00340076"/>
    <w:rsid w:val="00340D43"/>
    <w:rsid w:val="003412A3"/>
    <w:rsid w:val="00341B42"/>
    <w:rsid w:val="00342752"/>
    <w:rsid w:val="0034348F"/>
    <w:rsid w:val="00343A45"/>
    <w:rsid w:val="00344758"/>
    <w:rsid w:val="00345A32"/>
    <w:rsid w:val="00346C5C"/>
    <w:rsid w:val="00351823"/>
    <w:rsid w:val="0035187D"/>
    <w:rsid w:val="00352B34"/>
    <w:rsid w:val="00355449"/>
    <w:rsid w:val="00355515"/>
    <w:rsid w:val="00356653"/>
    <w:rsid w:val="00357110"/>
    <w:rsid w:val="0035743F"/>
    <w:rsid w:val="00357BE2"/>
    <w:rsid w:val="0036170C"/>
    <w:rsid w:val="00361766"/>
    <w:rsid w:val="00362210"/>
    <w:rsid w:val="003629AE"/>
    <w:rsid w:val="00363236"/>
    <w:rsid w:val="003632C5"/>
    <w:rsid w:val="00363C15"/>
    <w:rsid w:val="00363FEA"/>
    <w:rsid w:val="00366279"/>
    <w:rsid w:val="00366A07"/>
    <w:rsid w:val="00366E0F"/>
    <w:rsid w:val="00367A48"/>
    <w:rsid w:val="00367CB4"/>
    <w:rsid w:val="00371A1A"/>
    <w:rsid w:val="003723E0"/>
    <w:rsid w:val="00372527"/>
    <w:rsid w:val="00373D50"/>
    <w:rsid w:val="003741CE"/>
    <w:rsid w:val="0037485C"/>
    <w:rsid w:val="00374C4F"/>
    <w:rsid w:val="003751AE"/>
    <w:rsid w:val="003755BE"/>
    <w:rsid w:val="0037560D"/>
    <w:rsid w:val="003761CC"/>
    <w:rsid w:val="0037659B"/>
    <w:rsid w:val="00376895"/>
    <w:rsid w:val="00377EFF"/>
    <w:rsid w:val="00380658"/>
    <w:rsid w:val="00380784"/>
    <w:rsid w:val="00380BA8"/>
    <w:rsid w:val="003817DD"/>
    <w:rsid w:val="00381A72"/>
    <w:rsid w:val="00382A60"/>
    <w:rsid w:val="0038361B"/>
    <w:rsid w:val="00383AC0"/>
    <w:rsid w:val="00384676"/>
    <w:rsid w:val="00384F05"/>
    <w:rsid w:val="003865CE"/>
    <w:rsid w:val="00387E3F"/>
    <w:rsid w:val="003907EE"/>
    <w:rsid w:val="00390857"/>
    <w:rsid w:val="00391BDC"/>
    <w:rsid w:val="003942DD"/>
    <w:rsid w:val="00394AEE"/>
    <w:rsid w:val="00395979"/>
    <w:rsid w:val="003A09F4"/>
    <w:rsid w:val="003A1A4D"/>
    <w:rsid w:val="003A1B30"/>
    <w:rsid w:val="003A1CFE"/>
    <w:rsid w:val="003A3194"/>
    <w:rsid w:val="003A37BA"/>
    <w:rsid w:val="003A3AAC"/>
    <w:rsid w:val="003A3B4C"/>
    <w:rsid w:val="003A3BCE"/>
    <w:rsid w:val="003A4A85"/>
    <w:rsid w:val="003A4BF3"/>
    <w:rsid w:val="003A4DEE"/>
    <w:rsid w:val="003A4E16"/>
    <w:rsid w:val="003A5A44"/>
    <w:rsid w:val="003A5B7F"/>
    <w:rsid w:val="003A660D"/>
    <w:rsid w:val="003A6BAC"/>
    <w:rsid w:val="003A7189"/>
    <w:rsid w:val="003A7883"/>
    <w:rsid w:val="003A7D17"/>
    <w:rsid w:val="003B39C4"/>
    <w:rsid w:val="003B420D"/>
    <w:rsid w:val="003B4224"/>
    <w:rsid w:val="003B75BE"/>
    <w:rsid w:val="003B7A1B"/>
    <w:rsid w:val="003C0335"/>
    <w:rsid w:val="003C0404"/>
    <w:rsid w:val="003C14CD"/>
    <w:rsid w:val="003C2384"/>
    <w:rsid w:val="003C26A7"/>
    <w:rsid w:val="003C3241"/>
    <w:rsid w:val="003C3C46"/>
    <w:rsid w:val="003C40AB"/>
    <w:rsid w:val="003C58A5"/>
    <w:rsid w:val="003C644B"/>
    <w:rsid w:val="003C6470"/>
    <w:rsid w:val="003C6C16"/>
    <w:rsid w:val="003C723C"/>
    <w:rsid w:val="003C7950"/>
    <w:rsid w:val="003D10FE"/>
    <w:rsid w:val="003D2262"/>
    <w:rsid w:val="003D31DE"/>
    <w:rsid w:val="003D3CC8"/>
    <w:rsid w:val="003D7702"/>
    <w:rsid w:val="003D794D"/>
    <w:rsid w:val="003E03F6"/>
    <w:rsid w:val="003E0808"/>
    <w:rsid w:val="003E3058"/>
    <w:rsid w:val="003E3CB8"/>
    <w:rsid w:val="003E5A1B"/>
    <w:rsid w:val="003E686D"/>
    <w:rsid w:val="003E70DA"/>
    <w:rsid w:val="003E76A9"/>
    <w:rsid w:val="003E7EC8"/>
    <w:rsid w:val="003F0237"/>
    <w:rsid w:val="003F0809"/>
    <w:rsid w:val="003F0B46"/>
    <w:rsid w:val="003F0DBB"/>
    <w:rsid w:val="003F0FB0"/>
    <w:rsid w:val="003F1226"/>
    <w:rsid w:val="003F210D"/>
    <w:rsid w:val="003F260A"/>
    <w:rsid w:val="003F2D81"/>
    <w:rsid w:val="003F3D3D"/>
    <w:rsid w:val="003F3E7C"/>
    <w:rsid w:val="003F6230"/>
    <w:rsid w:val="003F666B"/>
    <w:rsid w:val="003F6A14"/>
    <w:rsid w:val="003F6A8C"/>
    <w:rsid w:val="003F755C"/>
    <w:rsid w:val="00401714"/>
    <w:rsid w:val="004017D5"/>
    <w:rsid w:val="004018AF"/>
    <w:rsid w:val="00402D64"/>
    <w:rsid w:val="00403C5D"/>
    <w:rsid w:val="00404315"/>
    <w:rsid w:val="00405C49"/>
    <w:rsid w:val="00406BFB"/>
    <w:rsid w:val="00406C25"/>
    <w:rsid w:val="00406F01"/>
    <w:rsid w:val="00410394"/>
    <w:rsid w:val="00410468"/>
    <w:rsid w:val="00410CD1"/>
    <w:rsid w:val="00411A34"/>
    <w:rsid w:val="004123D7"/>
    <w:rsid w:val="004128E1"/>
    <w:rsid w:val="0041352D"/>
    <w:rsid w:val="00413756"/>
    <w:rsid w:val="00415020"/>
    <w:rsid w:val="00415AA7"/>
    <w:rsid w:val="00415DD3"/>
    <w:rsid w:val="00416B3C"/>
    <w:rsid w:val="00416D50"/>
    <w:rsid w:val="00416FD5"/>
    <w:rsid w:val="00417772"/>
    <w:rsid w:val="004177FC"/>
    <w:rsid w:val="00420283"/>
    <w:rsid w:val="00420724"/>
    <w:rsid w:val="00420E6A"/>
    <w:rsid w:val="00425A9E"/>
    <w:rsid w:val="00425CA6"/>
    <w:rsid w:val="00425F78"/>
    <w:rsid w:val="00426616"/>
    <w:rsid w:val="00426D6B"/>
    <w:rsid w:val="00430421"/>
    <w:rsid w:val="00431A7F"/>
    <w:rsid w:val="00431E6C"/>
    <w:rsid w:val="00433CE7"/>
    <w:rsid w:val="00433DB9"/>
    <w:rsid w:val="0043409E"/>
    <w:rsid w:val="004344DA"/>
    <w:rsid w:val="00435063"/>
    <w:rsid w:val="00436B0F"/>
    <w:rsid w:val="00436E4F"/>
    <w:rsid w:val="0043713D"/>
    <w:rsid w:val="00440860"/>
    <w:rsid w:val="00440915"/>
    <w:rsid w:val="00442B59"/>
    <w:rsid w:val="00442B6D"/>
    <w:rsid w:val="00442FA8"/>
    <w:rsid w:val="004442A9"/>
    <w:rsid w:val="00444FEF"/>
    <w:rsid w:val="0044510C"/>
    <w:rsid w:val="00446AE3"/>
    <w:rsid w:val="00446E95"/>
    <w:rsid w:val="00446EC9"/>
    <w:rsid w:val="00446F49"/>
    <w:rsid w:val="00447042"/>
    <w:rsid w:val="00450599"/>
    <w:rsid w:val="0045087A"/>
    <w:rsid w:val="00450D80"/>
    <w:rsid w:val="00450EED"/>
    <w:rsid w:val="00452738"/>
    <w:rsid w:val="00452CF9"/>
    <w:rsid w:val="00456091"/>
    <w:rsid w:val="00456C5B"/>
    <w:rsid w:val="00457728"/>
    <w:rsid w:val="00457DD3"/>
    <w:rsid w:val="0046051C"/>
    <w:rsid w:val="004606B4"/>
    <w:rsid w:val="00460B22"/>
    <w:rsid w:val="00461763"/>
    <w:rsid w:val="00462699"/>
    <w:rsid w:val="00465241"/>
    <w:rsid w:val="004652DD"/>
    <w:rsid w:val="00465674"/>
    <w:rsid w:val="004657D6"/>
    <w:rsid w:val="00465C59"/>
    <w:rsid w:val="00466321"/>
    <w:rsid w:val="00466A1E"/>
    <w:rsid w:val="00466AA7"/>
    <w:rsid w:val="004672E9"/>
    <w:rsid w:val="00467D8E"/>
    <w:rsid w:val="00471D1B"/>
    <w:rsid w:val="00472BF2"/>
    <w:rsid w:val="00474E0E"/>
    <w:rsid w:val="004762F2"/>
    <w:rsid w:val="004772A2"/>
    <w:rsid w:val="0047735D"/>
    <w:rsid w:val="004811C3"/>
    <w:rsid w:val="00481F4D"/>
    <w:rsid w:val="00483086"/>
    <w:rsid w:val="004831EE"/>
    <w:rsid w:val="00483B23"/>
    <w:rsid w:val="00484B9B"/>
    <w:rsid w:val="004855F6"/>
    <w:rsid w:val="0048570D"/>
    <w:rsid w:val="00485F9F"/>
    <w:rsid w:val="004863F9"/>
    <w:rsid w:val="0048661E"/>
    <w:rsid w:val="00486CC7"/>
    <w:rsid w:val="004879B0"/>
    <w:rsid w:val="00487F60"/>
    <w:rsid w:val="0049039A"/>
    <w:rsid w:val="0049095B"/>
    <w:rsid w:val="004942F1"/>
    <w:rsid w:val="00494670"/>
    <w:rsid w:val="00496B9A"/>
    <w:rsid w:val="0049731C"/>
    <w:rsid w:val="00497328"/>
    <w:rsid w:val="00497E56"/>
    <w:rsid w:val="004A0743"/>
    <w:rsid w:val="004A128C"/>
    <w:rsid w:val="004A12D2"/>
    <w:rsid w:val="004A1FAB"/>
    <w:rsid w:val="004A2572"/>
    <w:rsid w:val="004A28E8"/>
    <w:rsid w:val="004A2A58"/>
    <w:rsid w:val="004A3823"/>
    <w:rsid w:val="004A499E"/>
    <w:rsid w:val="004A67F3"/>
    <w:rsid w:val="004A7578"/>
    <w:rsid w:val="004A7FB2"/>
    <w:rsid w:val="004B100E"/>
    <w:rsid w:val="004B3539"/>
    <w:rsid w:val="004B37D3"/>
    <w:rsid w:val="004B42C4"/>
    <w:rsid w:val="004B5746"/>
    <w:rsid w:val="004B5BBA"/>
    <w:rsid w:val="004B6BE5"/>
    <w:rsid w:val="004B76AF"/>
    <w:rsid w:val="004C01EB"/>
    <w:rsid w:val="004C37E2"/>
    <w:rsid w:val="004C423A"/>
    <w:rsid w:val="004C4252"/>
    <w:rsid w:val="004C7393"/>
    <w:rsid w:val="004C771F"/>
    <w:rsid w:val="004C7F67"/>
    <w:rsid w:val="004D00C0"/>
    <w:rsid w:val="004D141E"/>
    <w:rsid w:val="004D2BF6"/>
    <w:rsid w:val="004D30C6"/>
    <w:rsid w:val="004D349E"/>
    <w:rsid w:val="004D3575"/>
    <w:rsid w:val="004D4097"/>
    <w:rsid w:val="004D46BA"/>
    <w:rsid w:val="004D5D6D"/>
    <w:rsid w:val="004D64FD"/>
    <w:rsid w:val="004E0294"/>
    <w:rsid w:val="004E086B"/>
    <w:rsid w:val="004E37B8"/>
    <w:rsid w:val="004E3AF6"/>
    <w:rsid w:val="004E5602"/>
    <w:rsid w:val="004E5CC2"/>
    <w:rsid w:val="004E5EE5"/>
    <w:rsid w:val="004E6946"/>
    <w:rsid w:val="004F044D"/>
    <w:rsid w:val="004F0C65"/>
    <w:rsid w:val="004F0DC6"/>
    <w:rsid w:val="004F150F"/>
    <w:rsid w:val="004F185D"/>
    <w:rsid w:val="004F1AC2"/>
    <w:rsid w:val="004F1AD8"/>
    <w:rsid w:val="004F1CFD"/>
    <w:rsid w:val="004F251F"/>
    <w:rsid w:val="004F2D28"/>
    <w:rsid w:val="004F3662"/>
    <w:rsid w:val="004F48B3"/>
    <w:rsid w:val="004F491C"/>
    <w:rsid w:val="004F529A"/>
    <w:rsid w:val="004F5AE2"/>
    <w:rsid w:val="004F69E5"/>
    <w:rsid w:val="004F6F07"/>
    <w:rsid w:val="004F7FF4"/>
    <w:rsid w:val="005008B8"/>
    <w:rsid w:val="00501328"/>
    <w:rsid w:val="005017C1"/>
    <w:rsid w:val="0050192E"/>
    <w:rsid w:val="00502407"/>
    <w:rsid w:val="00503817"/>
    <w:rsid w:val="005039CB"/>
    <w:rsid w:val="0050414A"/>
    <w:rsid w:val="00504DC6"/>
    <w:rsid w:val="0050512F"/>
    <w:rsid w:val="00505542"/>
    <w:rsid w:val="0050558F"/>
    <w:rsid w:val="00506286"/>
    <w:rsid w:val="005101F8"/>
    <w:rsid w:val="00510813"/>
    <w:rsid w:val="005117EF"/>
    <w:rsid w:val="00511990"/>
    <w:rsid w:val="00511DE0"/>
    <w:rsid w:val="00512C93"/>
    <w:rsid w:val="00513C42"/>
    <w:rsid w:val="00514870"/>
    <w:rsid w:val="00514B9B"/>
    <w:rsid w:val="00514F5C"/>
    <w:rsid w:val="00515FD9"/>
    <w:rsid w:val="00516CA9"/>
    <w:rsid w:val="00516D52"/>
    <w:rsid w:val="00517714"/>
    <w:rsid w:val="00517F02"/>
    <w:rsid w:val="005209BA"/>
    <w:rsid w:val="0052323F"/>
    <w:rsid w:val="00524303"/>
    <w:rsid w:val="005258A2"/>
    <w:rsid w:val="005266FF"/>
    <w:rsid w:val="0052708B"/>
    <w:rsid w:val="00530930"/>
    <w:rsid w:val="00531347"/>
    <w:rsid w:val="00532599"/>
    <w:rsid w:val="00533291"/>
    <w:rsid w:val="00533F71"/>
    <w:rsid w:val="00535298"/>
    <w:rsid w:val="005352CB"/>
    <w:rsid w:val="0053686A"/>
    <w:rsid w:val="00536F2D"/>
    <w:rsid w:val="00537D59"/>
    <w:rsid w:val="00537E9D"/>
    <w:rsid w:val="00537F23"/>
    <w:rsid w:val="005401AE"/>
    <w:rsid w:val="005409EB"/>
    <w:rsid w:val="00541C0B"/>
    <w:rsid w:val="00542B57"/>
    <w:rsid w:val="00542E07"/>
    <w:rsid w:val="0054336E"/>
    <w:rsid w:val="0054377B"/>
    <w:rsid w:val="00544DF1"/>
    <w:rsid w:val="00545424"/>
    <w:rsid w:val="0054595E"/>
    <w:rsid w:val="00545E2F"/>
    <w:rsid w:val="00547233"/>
    <w:rsid w:val="005478E8"/>
    <w:rsid w:val="00550736"/>
    <w:rsid w:val="00550E0C"/>
    <w:rsid w:val="00552EE4"/>
    <w:rsid w:val="00553493"/>
    <w:rsid w:val="00553B75"/>
    <w:rsid w:val="00554727"/>
    <w:rsid w:val="00554A7B"/>
    <w:rsid w:val="0055572C"/>
    <w:rsid w:val="00556398"/>
    <w:rsid w:val="00557769"/>
    <w:rsid w:val="0056106A"/>
    <w:rsid w:val="005618F3"/>
    <w:rsid w:val="00561D1C"/>
    <w:rsid w:val="005623AE"/>
    <w:rsid w:val="00562914"/>
    <w:rsid w:val="005648C3"/>
    <w:rsid w:val="00564EAE"/>
    <w:rsid w:val="00567979"/>
    <w:rsid w:val="0057006A"/>
    <w:rsid w:val="00570608"/>
    <w:rsid w:val="00570D3B"/>
    <w:rsid w:val="00570EE5"/>
    <w:rsid w:val="00571C5A"/>
    <w:rsid w:val="005720AE"/>
    <w:rsid w:val="00572983"/>
    <w:rsid w:val="00572D44"/>
    <w:rsid w:val="00573C48"/>
    <w:rsid w:val="00573E7C"/>
    <w:rsid w:val="005742A8"/>
    <w:rsid w:val="00574B8B"/>
    <w:rsid w:val="00574BDC"/>
    <w:rsid w:val="00575337"/>
    <w:rsid w:val="005756D4"/>
    <w:rsid w:val="005759ED"/>
    <w:rsid w:val="00576053"/>
    <w:rsid w:val="00576D70"/>
    <w:rsid w:val="00577E10"/>
    <w:rsid w:val="005813AD"/>
    <w:rsid w:val="005818E9"/>
    <w:rsid w:val="00582A8B"/>
    <w:rsid w:val="005836F1"/>
    <w:rsid w:val="00584A1B"/>
    <w:rsid w:val="0058722E"/>
    <w:rsid w:val="00587694"/>
    <w:rsid w:val="005879E3"/>
    <w:rsid w:val="005902D4"/>
    <w:rsid w:val="0059171C"/>
    <w:rsid w:val="00591A30"/>
    <w:rsid w:val="00591EA4"/>
    <w:rsid w:val="00592014"/>
    <w:rsid w:val="0059350A"/>
    <w:rsid w:val="00593C38"/>
    <w:rsid w:val="00594D77"/>
    <w:rsid w:val="0059520F"/>
    <w:rsid w:val="00595D91"/>
    <w:rsid w:val="00596177"/>
    <w:rsid w:val="005969C3"/>
    <w:rsid w:val="005969E4"/>
    <w:rsid w:val="00596C9B"/>
    <w:rsid w:val="005977E6"/>
    <w:rsid w:val="005A06B7"/>
    <w:rsid w:val="005A099A"/>
    <w:rsid w:val="005A1759"/>
    <w:rsid w:val="005A1763"/>
    <w:rsid w:val="005A4C8E"/>
    <w:rsid w:val="005A56FA"/>
    <w:rsid w:val="005A68A7"/>
    <w:rsid w:val="005B08C6"/>
    <w:rsid w:val="005B1748"/>
    <w:rsid w:val="005B1A75"/>
    <w:rsid w:val="005B1E18"/>
    <w:rsid w:val="005B29B0"/>
    <w:rsid w:val="005B2BBE"/>
    <w:rsid w:val="005B6147"/>
    <w:rsid w:val="005B6256"/>
    <w:rsid w:val="005C0942"/>
    <w:rsid w:val="005C0C3F"/>
    <w:rsid w:val="005C114B"/>
    <w:rsid w:val="005C1681"/>
    <w:rsid w:val="005C1917"/>
    <w:rsid w:val="005C1960"/>
    <w:rsid w:val="005C1BF2"/>
    <w:rsid w:val="005C2001"/>
    <w:rsid w:val="005C222C"/>
    <w:rsid w:val="005C2369"/>
    <w:rsid w:val="005C49F8"/>
    <w:rsid w:val="005C49FB"/>
    <w:rsid w:val="005C5463"/>
    <w:rsid w:val="005C6423"/>
    <w:rsid w:val="005D03BA"/>
    <w:rsid w:val="005D099E"/>
    <w:rsid w:val="005D273E"/>
    <w:rsid w:val="005D2A89"/>
    <w:rsid w:val="005D2AA4"/>
    <w:rsid w:val="005D36AB"/>
    <w:rsid w:val="005D3B2E"/>
    <w:rsid w:val="005D54F2"/>
    <w:rsid w:val="005D618C"/>
    <w:rsid w:val="005D6BB8"/>
    <w:rsid w:val="005D6D6E"/>
    <w:rsid w:val="005D76BF"/>
    <w:rsid w:val="005D7EF9"/>
    <w:rsid w:val="005E0DE0"/>
    <w:rsid w:val="005E2E4C"/>
    <w:rsid w:val="005E2E86"/>
    <w:rsid w:val="005E440F"/>
    <w:rsid w:val="005E52F0"/>
    <w:rsid w:val="005E7ABE"/>
    <w:rsid w:val="005F15ED"/>
    <w:rsid w:val="005F1F4D"/>
    <w:rsid w:val="005F2C7B"/>
    <w:rsid w:val="005F4B48"/>
    <w:rsid w:val="005F6116"/>
    <w:rsid w:val="005F62FB"/>
    <w:rsid w:val="00600032"/>
    <w:rsid w:val="00600983"/>
    <w:rsid w:val="00600B69"/>
    <w:rsid w:val="00604868"/>
    <w:rsid w:val="006056C8"/>
    <w:rsid w:val="00607091"/>
    <w:rsid w:val="00607DA3"/>
    <w:rsid w:val="006120B7"/>
    <w:rsid w:val="00612B29"/>
    <w:rsid w:val="00612C56"/>
    <w:rsid w:val="0061497E"/>
    <w:rsid w:val="006158DE"/>
    <w:rsid w:val="00615951"/>
    <w:rsid w:val="00616119"/>
    <w:rsid w:val="00616CBA"/>
    <w:rsid w:val="00617CC3"/>
    <w:rsid w:val="006208AB"/>
    <w:rsid w:val="00620EF7"/>
    <w:rsid w:val="00621804"/>
    <w:rsid w:val="006223E5"/>
    <w:rsid w:val="00622699"/>
    <w:rsid w:val="00622FC6"/>
    <w:rsid w:val="00623873"/>
    <w:rsid w:val="00624D1A"/>
    <w:rsid w:val="006259A7"/>
    <w:rsid w:val="00626AB6"/>
    <w:rsid w:val="006301FA"/>
    <w:rsid w:val="00630A1D"/>
    <w:rsid w:val="00631F23"/>
    <w:rsid w:val="006326FE"/>
    <w:rsid w:val="006329FB"/>
    <w:rsid w:val="00635257"/>
    <w:rsid w:val="006359AC"/>
    <w:rsid w:val="00635BBF"/>
    <w:rsid w:val="006363EB"/>
    <w:rsid w:val="00636F79"/>
    <w:rsid w:val="006377A6"/>
    <w:rsid w:val="006377E7"/>
    <w:rsid w:val="00637A3D"/>
    <w:rsid w:val="00637D00"/>
    <w:rsid w:val="00640E73"/>
    <w:rsid w:val="006411EF"/>
    <w:rsid w:val="0064247C"/>
    <w:rsid w:val="00644D9B"/>
    <w:rsid w:val="00645554"/>
    <w:rsid w:val="006458C7"/>
    <w:rsid w:val="00646580"/>
    <w:rsid w:val="00651F4D"/>
    <w:rsid w:val="00652639"/>
    <w:rsid w:val="0065294E"/>
    <w:rsid w:val="00652E2E"/>
    <w:rsid w:val="0065330C"/>
    <w:rsid w:val="00653E4B"/>
    <w:rsid w:val="00654628"/>
    <w:rsid w:val="00656955"/>
    <w:rsid w:val="006575A3"/>
    <w:rsid w:val="00657B0B"/>
    <w:rsid w:val="006602AA"/>
    <w:rsid w:val="00660AEA"/>
    <w:rsid w:val="00662EC3"/>
    <w:rsid w:val="00664AE0"/>
    <w:rsid w:val="00665318"/>
    <w:rsid w:val="006655E0"/>
    <w:rsid w:val="006657F2"/>
    <w:rsid w:val="00665BA5"/>
    <w:rsid w:val="006667CE"/>
    <w:rsid w:val="00666E0D"/>
    <w:rsid w:val="00670547"/>
    <w:rsid w:val="00671341"/>
    <w:rsid w:val="0067412B"/>
    <w:rsid w:val="00674377"/>
    <w:rsid w:val="006748B8"/>
    <w:rsid w:val="00674DC1"/>
    <w:rsid w:val="0067589B"/>
    <w:rsid w:val="006775C3"/>
    <w:rsid w:val="00681E25"/>
    <w:rsid w:val="0068447B"/>
    <w:rsid w:val="00684E4C"/>
    <w:rsid w:val="00685744"/>
    <w:rsid w:val="006860CB"/>
    <w:rsid w:val="00686DE7"/>
    <w:rsid w:val="00690029"/>
    <w:rsid w:val="00691627"/>
    <w:rsid w:val="0069290A"/>
    <w:rsid w:val="0069290B"/>
    <w:rsid w:val="00693DB7"/>
    <w:rsid w:val="00694E8A"/>
    <w:rsid w:val="00695025"/>
    <w:rsid w:val="00695747"/>
    <w:rsid w:val="00695EB9"/>
    <w:rsid w:val="0069666E"/>
    <w:rsid w:val="00696783"/>
    <w:rsid w:val="006976AF"/>
    <w:rsid w:val="0069775A"/>
    <w:rsid w:val="00697813"/>
    <w:rsid w:val="00697DBA"/>
    <w:rsid w:val="006A043B"/>
    <w:rsid w:val="006A32F7"/>
    <w:rsid w:val="006A3EE8"/>
    <w:rsid w:val="006A5F20"/>
    <w:rsid w:val="006A72BF"/>
    <w:rsid w:val="006B03F2"/>
    <w:rsid w:val="006B0AF9"/>
    <w:rsid w:val="006B0BD8"/>
    <w:rsid w:val="006B0EC9"/>
    <w:rsid w:val="006B2112"/>
    <w:rsid w:val="006B37DC"/>
    <w:rsid w:val="006B3C80"/>
    <w:rsid w:val="006B3DFB"/>
    <w:rsid w:val="006B4F68"/>
    <w:rsid w:val="006B60BD"/>
    <w:rsid w:val="006B639E"/>
    <w:rsid w:val="006B6FD1"/>
    <w:rsid w:val="006C0592"/>
    <w:rsid w:val="006C0C7D"/>
    <w:rsid w:val="006C272E"/>
    <w:rsid w:val="006C5275"/>
    <w:rsid w:val="006C5479"/>
    <w:rsid w:val="006C5C85"/>
    <w:rsid w:val="006C663C"/>
    <w:rsid w:val="006C71E8"/>
    <w:rsid w:val="006D06D8"/>
    <w:rsid w:val="006D13B5"/>
    <w:rsid w:val="006D2400"/>
    <w:rsid w:val="006D3D98"/>
    <w:rsid w:val="006D40BE"/>
    <w:rsid w:val="006D4CA2"/>
    <w:rsid w:val="006D73CD"/>
    <w:rsid w:val="006D7638"/>
    <w:rsid w:val="006E08F3"/>
    <w:rsid w:val="006E12FF"/>
    <w:rsid w:val="006E397A"/>
    <w:rsid w:val="006E5907"/>
    <w:rsid w:val="006E607E"/>
    <w:rsid w:val="006E61B0"/>
    <w:rsid w:val="006E653A"/>
    <w:rsid w:val="006E6E77"/>
    <w:rsid w:val="006E71E5"/>
    <w:rsid w:val="006E7483"/>
    <w:rsid w:val="006F0AAC"/>
    <w:rsid w:val="006F28DF"/>
    <w:rsid w:val="006F2AC6"/>
    <w:rsid w:val="006F2AF9"/>
    <w:rsid w:val="006F4119"/>
    <w:rsid w:val="006F5A6D"/>
    <w:rsid w:val="006F7581"/>
    <w:rsid w:val="006F7ABC"/>
    <w:rsid w:val="00700D01"/>
    <w:rsid w:val="00700F73"/>
    <w:rsid w:val="007019FA"/>
    <w:rsid w:val="00701A59"/>
    <w:rsid w:val="00703730"/>
    <w:rsid w:val="007038CD"/>
    <w:rsid w:val="00704022"/>
    <w:rsid w:val="00704870"/>
    <w:rsid w:val="00706C5D"/>
    <w:rsid w:val="00707F8F"/>
    <w:rsid w:val="00710DA0"/>
    <w:rsid w:val="0071319D"/>
    <w:rsid w:val="00713595"/>
    <w:rsid w:val="00716718"/>
    <w:rsid w:val="007168B2"/>
    <w:rsid w:val="007177D1"/>
    <w:rsid w:val="00720F7F"/>
    <w:rsid w:val="007217F0"/>
    <w:rsid w:val="00721A5A"/>
    <w:rsid w:val="007220F0"/>
    <w:rsid w:val="00722118"/>
    <w:rsid w:val="0072211B"/>
    <w:rsid w:val="00724B95"/>
    <w:rsid w:val="00724C88"/>
    <w:rsid w:val="00725584"/>
    <w:rsid w:val="00725F53"/>
    <w:rsid w:val="00726923"/>
    <w:rsid w:val="00727755"/>
    <w:rsid w:val="007307EC"/>
    <w:rsid w:val="00731652"/>
    <w:rsid w:val="007323EB"/>
    <w:rsid w:val="00732489"/>
    <w:rsid w:val="00732922"/>
    <w:rsid w:val="00733613"/>
    <w:rsid w:val="007345B7"/>
    <w:rsid w:val="007347A8"/>
    <w:rsid w:val="007353BB"/>
    <w:rsid w:val="00735898"/>
    <w:rsid w:val="0073696A"/>
    <w:rsid w:val="00737A7F"/>
    <w:rsid w:val="00741E19"/>
    <w:rsid w:val="00744F80"/>
    <w:rsid w:val="007452F3"/>
    <w:rsid w:val="007462D4"/>
    <w:rsid w:val="0074641B"/>
    <w:rsid w:val="0074653A"/>
    <w:rsid w:val="0075162E"/>
    <w:rsid w:val="00751A65"/>
    <w:rsid w:val="00752BE7"/>
    <w:rsid w:val="007534F3"/>
    <w:rsid w:val="00753E49"/>
    <w:rsid w:val="00754034"/>
    <w:rsid w:val="0075492B"/>
    <w:rsid w:val="007550D5"/>
    <w:rsid w:val="007553DB"/>
    <w:rsid w:val="00755FB0"/>
    <w:rsid w:val="00756556"/>
    <w:rsid w:val="0075790C"/>
    <w:rsid w:val="00757BA8"/>
    <w:rsid w:val="00757D4C"/>
    <w:rsid w:val="007615D0"/>
    <w:rsid w:val="007618C4"/>
    <w:rsid w:val="00761B1E"/>
    <w:rsid w:val="00761D4B"/>
    <w:rsid w:val="00761F21"/>
    <w:rsid w:val="007637E8"/>
    <w:rsid w:val="0076409C"/>
    <w:rsid w:val="0076457F"/>
    <w:rsid w:val="007653CA"/>
    <w:rsid w:val="00766A91"/>
    <w:rsid w:val="007674AF"/>
    <w:rsid w:val="007674E4"/>
    <w:rsid w:val="0076764A"/>
    <w:rsid w:val="00767980"/>
    <w:rsid w:val="00770B19"/>
    <w:rsid w:val="00770E52"/>
    <w:rsid w:val="00771F46"/>
    <w:rsid w:val="00773196"/>
    <w:rsid w:val="00773294"/>
    <w:rsid w:val="0077463F"/>
    <w:rsid w:val="007767AE"/>
    <w:rsid w:val="00776D78"/>
    <w:rsid w:val="00780247"/>
    <w:rsid w:val="00780918"/>
    <w:rsid w:val="00781F2F"/>
    <w:rsid w:val="00781F5A"/>
    <w:rsid w:val="007821B1"/>
    <w:rsid w:val="007836EA"/>
    <w:rsid w:val="0078495D"/>
    <w:rsid w:val="00784CDA"/>
    <w:rsid w:val="00785577"/>
    <w:rsid w:val="00786A88"/>
    <w:rsid w:val="00786D93"/>
    <w:rsid w:val="00787070"/>
    <w:rsid w:val="007906C4"/>
    <w:rsid w:val="0079087F"/>
    <w:rsid w:val="00790CD0"/>
    <w:rsid w:val="007924F7"/>
    <w:rsid w:val="007928C3"/>
    <w:rsid w:val="00793E66"/>
    <w:rsid w:val="007940EA"/>
    <w:rsid w:val="0079463A"/>
    <w:rsid w:val="007967E8"/>
    <w:rsid w:val="00796DCD"/>
    <w:rsid w:val="0079707B"/>
    <w:rsid w:val="007A0218"/>
    <w:rsid w:val="007A0B42"/>
    <w:rsid w:val="007A2170"/>
    <w:rsid w:val="007A22BF"/>
    <w:rsid w:val="007A256C"/>
    <w:rsid w:val="007A3323"/>
    <w:rsid w:val="007A33A0"/>
    <w:rsid w:val="007A51DA"/>
    <w:rsid w:val="007A69B3"/>
    <w:rsid w:val="007B0521"/>
    <w:rsid w:val="007B1409"/>
    <w:rsid w:val="007B1722"/>
    <w:rsid w:val="007B4D43"/>
    <w:rsid w:val="007B5225"/>
    <w:rsid w:val="007B5E32"/>
    <w:rsid w:val="007B6D1A"/>
    <w:rsid w:val="007B72B8"/>
    <w:rsid w:val="007B7A58"/>
    <w:rsid w:val="007C0337"/>
    <w:rsid w:val="007C07E2"/>
    <w:rsid w:val="007C0D5F"/>
    <w:rsid w:val="007C1816"/>
    <w:rsid w:val="007C1E34"/>
    <w:rsid w:val="007C21B5"/>
    <w:rsid w:val="007C29FD"/>
    <w:rsid w:val="007C4D74"/>
    <w:rsid w:val="007C6343"/>
    <w:rsid w:val="007D1899"/>
    <w:rsid w:val="007D18E8"/>
    <w:rsid w:val="007D1AFF"/>
    <w:rsid w:val="007D1D0D"/>
    <w:rsid w:val="007D28FC"/>
    <w:rsid w:val="007D291C"/>
    <w:rsid w:val="007D409E"/>
    <w:rsid w:val="007D4C5F"/>
    <w:rsid w:val="007D5894"/>
    <w:rsid w:val="007D6AEA"/>
    <w:rsid w:val="007D6B5A"/>
    <w:rsid w:val="007D6CC3"/>
    <w:rsid w:val="007D6F0B"/>
    <w:rsid w:val="007E0576"/>
    <w:rsid w:val="007E0C35"/>
    <w:rsid w:val="007E0E94"/>
    <w:rsid w:val="007E4AE0"/>
    <w:rsid w:val="007E4BD2"/>
    <w:rsid w:val="007E5039"/>
    <w:rsid w:val="007E5886"/>
    <w:rsid w:val="007E697D"/>
    <w:rsid w:val="007F1199"/>
    <w:rsid w:val="007F21F5"/>
    <w:rsid w:val="007F2AE2"/>
    <w:rsid w:val="007F2DEE"/>
    <w:rsid w:val="007F35A8"/>
    <w:rsid w:val="007F38C4"/>
    <w:rsid w:val="007F3C80"/>
    <w:rsid w:val="007F4441"/>
    <w:rsid w:val="007F4632"/>
    <w:rsid w:val="007F5107"/>
    <w:rsid w:val="007F6CB7"/>
    <w:rsid w:val="00801393"/>
    <w:rsid w:val="008028CD"/>
    <w:rsid w:val="00802F88"/>
    <w:rsid w:val="008032F2"/>
    <w:rsid w:val="00803410"/>
    <w:rsid w:val="00803766"/>
    <w:rsid w:val="00803B8D"/>
    <w:rsid w:val="0080512C"/>
    <w:rsid w:val="008061BA"/>
    <w:rsid w:val="008062B8"/>
    <w:rsid w:val="00806CA1"/>
    <w:rsid w:val="00807EA8"/>
    <w:rsid w:val="0081261E"/>
    <w:rsid w:val="0081293E"/>
    <w:rsid w:val="0081329A"/>
    <w:rsid w:val="008140C7"/>
    <w:rsid w:val="008142F3"/>
    <w:rsid w:val="00814FB9"/>
    <w:rsid w:val="00815465"/>
    <w:rsid w:val="00815EE4"/>
    <w:rsid w:val="00816820"/>
    <w:rsid w:val="008177F7"/>
    <w:rsid w:val="00817E9A"/>
    <w:rsid w:val="0082019F"/>
    <w:rsid w:val="0082046A"/>
    <w:rsid w:val="00821E13"/>
    <w:rsid w:val="00822B06"/>
    <w:rsid w:val="00824F1D"/>
    <w:rsid w:val="00825286"/>
    <w:rsid w:val="00825DCD"/>
    <w:rsid w:val="00826A31"/>
    <w:rsid w:val="00826CF4"/>
    <w:rsid w:val="008279D9"/>
    <w:rsid w:val="008306BD"/>
    <w:rsid w:val="0083080E"/>
    <w:rsid w:val="00830E78"/>
    <w:rsid w:val="00831A80"/>
    <w:rsid w:val="00832011"/>
    <w:rsid w:val="00833743"/>
    <w:rsid w:val="008340A4"/>
    <w:rsid w:val="00834A0B"/>
    <w:rsid w:val="008354F9"/>
    <w:rsid w:val="00835658"/>
    <w:rsid w:val="00835B4E"/>
    <w:rsid w:val="00840B3F"/>
    <w:rsid w:val="0084246E"/>
    <w:rsid w:val="008465B5"/>
    <w:rsid w:val="00846E3B"/>
    <w:rsid w:val="008470BB"/>
    <w:rsid w:val="008508C0"/>
    <w:rsid w:val="008509E9"/>
    <w:rsid w:val="008524EC"/>
    <w:rsid w:val="00852563"/>
    <w:rsid w:val="00852C33"/>
    <w:rsid w:val="0085324B"/>
    <w:rsid w:val="00854B81"/>
    <w:rsid w:val="00855A0E"/>
    <w:rsid w:val="00855C79"/>
    <w:rsid w:val="00855CBA"/>
    <w:rsid w:val="008561F5"/>
    <w:rsid w:val="0085631D"/>
    <w:rsid w:val="00856AD7"/>
    <w:rsid w:val="00857070"/>
    <w:rsid w:val="00857285"/>
    <w:rsid w:val="0086003C"/>
    <w:rsid w:val="00860374"/>
    <w:rsid w:val="008616D6"/>
    <w:rsid w:val="00862D1C"/>
    <w:rsid w:val="008650EF"/>
    <w:rsid w:val="0086686B"/>
    <w:rsid w:val="00867757"/>
    <w:rsid w:val="00870A4F"/>
    <w:rsid w:val="0087135F"/>
    <w:rsid w:val="00871850"/>
    <w:rsid w:val="008721B2"/>
    <w:rsid w:val="008725EB"/>
    <w:rsid w:val="00872D94"/>
    <w:rsid w:val="008733E7"/>
    <w:rsid w:val="008735D4"/>
    <w:rsid w:val="008759F9"/>
    <w:rsid w:val="00876515"/>
    <w:rsid w:val="0087677B"/>
    <w:rsid w:val="00876C62"/>
    <w:rsid w:val="00880364"/>
    <w:rsid w:val="008805EF"/>
    <w:rsid w:val="008813FB"/>
    <w:rsid w:val="00881612"/>
    <w:rsid w:val="008818E1"/>
    <w:rsid w:val="00882ABD"/>
    <w:rsid w:val="00883A1C"/>
    <w:rsid w:val="00884CF9"/>
    <w:rsid w:val="00885560"/>
    <w:rsid w:val="00885BCD"/>
    <w:rsid w:val="00886533"/>
    <w:rsid w:val="00886E5C"/>
    <w:rsid w:val="00887439"/>
    <w:rsid w:val="00887A10"/>
    <w:rsid w:val="00887A69"/>
    <w:rsid w:val="00891592"/>
    <w:rsid w:val="00891E9E"/>
    <w:rsid w:val="0089213C"/>
    <w:rsid w:val="008933CD"/>
    <w:rsid w:val="0089442A"/>
    <w:rsid w:val="008944E8"/>
    <w:rsid w:val="008948DC"/>
    <w:rsid w:val="00895178"/>
    <w:rsid w:val="0089601E"/>
    <w:rsid w:val="00896CF9"/>
    <w:rsid w:val="00897D2D"/>
    <w:rsid w:val="008A0250"/>
    <w:rsid w:val="008A03DF"/>
    <w:rsid w:val="008A249F"/>
    <w:rsid w:val="008A27AA"/>
    <w:rsid w:val="008A2B7B"/>
    <w:rsid w:val="008A2F68"/>
    <w:rsid w:val="008A363F"/>
    <w:rsid w:val="008A4DB1"/>
    <w:rsid w:val="008A5BC4"/>
    <w:rsid w:val="008A5E95"/>
    <w:rsid w:val="008A794F"/>
    <w:rsid w:val="008B053B"/>
    <w:rsid w:val="008B064E"/>
    <w:rsid w:val="008B284B"/>
    <w:rsid w:val="008B30DA"/>
    <w:rsid w:val="008B38FD"/>
    <w:rsid w:val="008B3935"/>
    <w:rsid w:val="008B4161"/>
    <w:rsid w:val="008B468E"/>
    <w:rsid w:val="008B4FA6"/>
    <w:rsid w:val="008B5282"/>
    <w:rsid w:val="008B60B2"/>
    <w:rsid w:val="008B71DD"/>
    <w:rsid w:val="008B71E6"/>
    <w:rsid w:val="008B7C17"/>
    <w:rsid w:val="008C01DC"/>
    <w:rsid w:val="008C05C6"/>
    <w:rsid w:val="008C0AA0"/>
    <w:rsid w:val="008C2D01"/>
    <w:rsid w:val="008C40E6"/>
    <w:rsid w:val="008C457C"/>
    <w:rsid w:val="008C7BBB"/>
    <w:rsid w:val="008D00C9"/>
    <w:rsid w:val="008D0987"/>
    <w:rsid w:val="008D0F7A"/>
    <w:rsid w:val="008D31C5"/>
    <w:rsid w:val="008D3569"/>
    <w:rsid w:val="008D4632"/>
    <w:rsid w:val="008D4E28"/>
    <w:rsid w:val="008D5392"/>
    <w:rsid w:val="008D57EB"/>
    <w:rsid w:val="008D640F"/>
    <w:rsid w:val="008D68E4"/>
    <w:rsid w:val="008D6962"/>
    <w:rsid w:val="008D6CE3"/>
    <w:rsid w:val="008D6F0F"/>
    <w:rsid w:val="008D7219"/>
    <w:rsid w:val="008E0506"/>
    <w:rsid w:val="008E0CFF"/>
    <w:rsid w:val="008E1149"/>
    <w:rsid w:val="008E1A98"/>
    <w:rsid w:val="008E1CDD"/>
    <w:rsid w:val="008E2B24"/>
    <w:rsid w:val="008E2B86"/>
    <w:rsid w:val="008E2E5A"/>
    <w:rsid w:val="008E57E9"/>
    <w:rsid w:val="008E5A7F"/>
    <w:rsid w:val="008E5CF8"/>
    <w:rsid w:val="008E5D6B"/>
    <w:rsid w:val="008E76F0"/>
    <w:rsid w:val="008E7C90"/>
    <w:rsid w:val="008E7E8D"/>
    <w:rsid w:val="008F032A"/>
    <w:rsid w:val="008F15FE"/>
    <w:rsid w:val="008F162E"/>
    <w:rsid w:val="008F2441"/>
    <w:rsid w:val="008F2D29"/>
    <w:rsid w:val="008F4F3C"/>
    <w:rsid w:val="008F5187"/>
    <w:rsid w:val="008F53A2"/>
    <w:rsid w:val="008F60D8"/>
    <w:rsid w:val="008F7B31"/>
    <w:rsid w:val="00900626"/>
    <w:rsid w:val="0090190C"/>
    <w:rsid w:val="00902727"/>
    <w:rsid w:val="00902A49"/>
    <w:rsid w:val="00903027"/>
    <w:rsid w:val="0090312B"/>
    <w:rsid w:val="00904DE9"/>
    <w:rsid w:val="009054CD"/>
    <w:rsid w:val="00905A0D"/>
    <w:rsid w:val="00905D8B"/>
    <w:rsid w:val="00906714"/>
    <w:rsid w:val="009068D7"/>
    <w:rsid w:val="009068E6"/>
    <w:rsid w:val="00906EDF"/>
    <w:rsid w:val="00907104"/>
    <w:rsid w:val="0090776A"/>
    <w:rsid w:val="00907A73"/>
    <w:rsid w:val="009101FA"/>
    <w:rsid w:val="009111B3"/>
    <w:rsid w:val="00914E1E"/>
    <w:rsid w:val="00915331"/>
    <w:rsid w:val="00915E84"/>
    <w:rsid w:val="00915F47"/>
    <w:rsid w:val="0091696A"/>
    <w:rsid w:val="0091736D"/>
    <w:rsid w:val="00917714"/>
    <w:rsid w:val="009217A0"/>
    <w:rsid w:val="0092182D"/>
    <w:rsid w:val="009218CF"/>
    <w:rsid w:val="00921FB5"/>
    <w:rsid w:val="0092311A"/>
    <w:rsid w:val="00923690"/>
    <w:rsid w:val="00924998"/>
    <w:rsid w:val="00924A72"/>
    <w:rsid w:val="00925DA6"/>
    <w:rsid w:val="00926C46"/>
    <w:rsid w:val="00930161"/>
    <w:rsid w:val="0093037A"/>
    <w:rsid w:val="0093342D"/>
    <w:rsid w:val="009348F0"/>
    <w:rsid w:val="00935C9A"/>
    <w:rsid w:val="009364B3"/>
    <w:rsid w:val="0093657B"/>
    <w:rsid w:val="00936901"/>
    <w:rsid w:val="00937591"/>
    <w:rsid w:val="00940346"/>
    <w:rsid w:val="00940825"/>
    <w:rsid w:val="009412CB"/>
    <w:rsid w:val="00941376"/>
    <w:rsid w:val="0094154D"/>
    <w:rsid w:val="009426A1"/>
    <w:rsid w:val="00943DE7"/>
    <w:rsid w:val="00946956"/>
    <w:rsid w:val="00946A64"/>
    <w:rsid w:val="009502AF"/>
    <w:rsid w:val="00950951"/>
    <w:rsid w:val="0095095C"/>
    <w:rsid w:val="009509E0"/>
    <w:rsid w:val="0095155F"/>
    <w:rsid w:val="00951822"/>
    <w:rsid w:val="00951BA5"/>
    <w:rsid w:val="00954429"/>
    <w:rsid w:val="00954521"/>
    <w:rsid w:val="0095499E"/>
    <w:rsid w:val="00955697"/>
    <w:rsid w:val="009563CE"/>
    <w:rsid w:val="0095730B"/>
    <w:rsid w:val="009579EB"/>
    <w:rsid w:val="00957C17"/>
    <w:rsid w:val="00960957"/>
    <w:rsid w:val="00961703"/>
    <w:rsid w:val="00961BBA"/>
    <w:rsid w:val="00962D26"/>
    <w:rsid w:val="0096372A"/>
    <w:rsid w:val="00963C91"/>
    <w:rsid w:val="009647E6"/>
    <w:rsid w:val="0096520E"/>
    <w:rsid w:val="0096537D"/>
    <w:rsid w:val="00965513"/>
    <w:rsid w:val="00965585"/>
    <w:rsid w:val="0096709D"/>
    <w:rsid w:val="00967273"/>
    <w:rsid w:val="009675F1"/>
    <w:rsid w:val="009709E5"/>
    <w:rsid w:val="00972C41"/>
    <w:rsid w:val="00972EBC"/>
    <w:rsid w:val="0097330E"/>
    <w:rsid w:val="009742B0"/>
    <w:rsid w:val="00974444"/>
    <w:rsid w:val="009756B6"/>
    <w:rsid w:val="00975D6E"/>
    <w:rsid w:val="00976328"/>
    <w:rsid w:val="0097680D"/>
    <w:rsid w:val="00976A6D"/>
    <w:rsid w:val="00980340"/>
    <w:rsid w:val="009804AA"/>
    <w:rsid w:val="00980A69"/>
    <w:rsid w:val="00982438"/>
    <w:rsid w:val="00982F1C"/>
    <w:rsid w:val="0098404C"/>
    <w:rsid w:val="00985283"/>
    <w:rsid w:val="00985C3E"/>
    <w:rsid w:val="00990117"/>
    <w:rsid w:val="00990FFD"/>
    <w:rsid w:val="009910C4"/>
    <w:rsid w:val="00991BB2"/>
    <w:rsid w:val="00993582"/>
    <w:rsid w:val="0099362F"/>
    <w:rsid w:val="00993AF4"/>
    <w:rsid w:val="0099449F"/>
    <w:rsid w:val="00995992"/>
    <w:rsid w:val="009960EE"/>
    <w:rsid w:val="00996ED8"/>
    <w:rsid w:val="009A03E5"/>
    <w:rsid w:val="009A0F3B"/>
    <w:rsid w:val="009A1BB4"/>
    <w:rsid w:val="009A1D07"/>
    <w:rsid w:val="009A1D3C"/>
    <w:rsid w:val="009A2628"/>
    <w:rsid w:val="009A3200"/>
    <w:rsid w:val="009A3580"/>
    <w:rsid w:val="009A370A"/>
    <w:rsid w:val="009A42A5"/>
    <w:rsid w:val="009A439E"/>
    <w:rsid w:val="009A4581"/>
    <w:rsid w:val="009A4972"/>
    <w:rsid w:val="009A566A"/>
    <w:rsid w:val="009A566D"/>
    <w:rsid w:val="009A5E76"/>
    <w:rsid w:val="009A70FE"/>
    <w:rsid w:val="009A71F3"/>
    <w:rsid w:val="009A76FF"/>
    <w:rsid w:val="009A786F"/>
    <w:rsid w:val="009B0766"/>
    <w:rsid w:val="009B0897"/>
    <w:rsid w:val="009B13B3"/>
    <w:rsid w:val="009B1B39"/>
    <w:rsid w:val="009B1FD8"/>
    <w:rsid w:val="009B1FDC"/>
    <w:rsid w:val="009B28A8"/>
    <w:rsid w:val="009B2A72"/>
    <w:rsid w:val="009B2BDC"/>
    <w:rsid w:val="009B376B"/>
    <w:rsid w:val="009B56CF"/>
    <w:rsid w:val="009B78D0"/>
    <w:rsid w:val="009B7BD9"/>
    <w:rsid w:val="009C0815"/>
    <w:rsid w:val="009C43B8"/>
    <w:rsid w:val="009C52EC"/>
    <w:rsid w:val="009C6DFA"/>
    <w:rsid w:val="009C7DD5"/>
    <w:rsid w:val="009D0313"/>
    <w:rsid w:val="009D10B1"/>
    <w:rsid w:val="009D1C5B"/>
    <w:rsid w:val="009D1D40"/>
    <w:rsid w:val="009D4421"/>
    <w:rsid w:val="009D4A95"/>
    <w:rsid w:val="009D5BFF"/>
    <w:rsid w:val="009D674D"/>
    <w:rsid w:val="009D6A3D"/>
    <w:rsid w:val="009D6F8E"/>
    <w:rsid w:val="009D70E6"/>
    <w:rsid w:val="009D7262"/>
    <w:rsid w:val="009D7FA2"/>
    <w:rsid w:val="009E1842"/>
    <w:rsid w:val="009E227D"/>
    <w:rsid w:val="009E3448"/>
    <w:rsid w:val="009E4343"/>
    <w:rsid w:val="009E48B9"/>
    <w:rsid w:val="009E5019"/>
    <w:rsid w:val="009E5F7B"/>
    <w:rsid w:val="009E6426"/>
    <w:rsid w:val="009E7C52"/>
    <w:rsid w:val="009E7D65"/>
    <w:rsid w:val="009E7EA0"/>
    <w:rsid w:val="009F229C"/>
    <w:rsid w:val="009F2FF0"/>
    <w:rsid w:val="009F3A72"/>
    <w:rsid w:val="009F3F5F"/>
    <w:rsid w:val="009F4CE2"/>
    <w:rsid w:val="009F60FA"/>
    <w:rsid w:val="009F6976"/>
    <w:rsid w:val="00A01648"/>
    <w:rsid w:val="00A037FD"/>
    <w:rsid w:val="00A04268"/>
    <w:rsid w:val="00A043FF"/>
    <w:rsid w:val="00A04C2A"/>
    <w:rsid w:val="00A04F1B"/>
    <w:rsid w:val="00A0501B"/>
    <w:rsid w:val="00A061F6"/>
    <w:rsid w:val="00A06D60"/>
    <w:rsid w:val="00A075E7"/>
    <w:rsid w:val="00A07ED7"/>
    <w:rsid w:val="00A07F07"/>
    <w:rsid w:val="00A10307"/>
    <w:rsid w:val="00A1047B"/>
    <w:rsid w:val="00A10699"/>
    <w:rsid w:val="00A14783"/>
    <w:rsid w:val="00A14947"/>
    <w:rsid w:val="00A15F55"/>
    <w:rsid w:val="00A16FDC"/>
    <w:rsid w:val="00A2074E"/>
    <w:rsid w:val="00A20BB0"/>
    <w:rsid w:val="00A22E36"/>
    <w:rsid w:val="00A23427"/>
    <w:rsid w:val="00A2359F"/>
    <w:rsid w:val="00A2393C"/>
    <w:rsid w:val="00A25606"/>
    <w:rsid w:val="00A27481"/>
    <w:rsid w:val="00A31B70"/>
    <w:rsid w:val="00A31B9A"/>
    <w:rsid w:val="00A32A83"/>
    <w:rsid w:val="00A33A8C"/>
    <w:rsid w:val="00A3437C"/>
    <w:rsid w:val="00A34E61"/>
    <w:rsid w:val="00A350D1"/>
    <w:rsid w:val="00A35751"/>
    <w:rsid w:val="00A358FA"/>
    <w:rsid w:val="00A35E19"/>
    <w:rsid w:val="00A368DB"/>
    <w:rsid w:val="00A36982"/>
    <w:rsid w:val="00A37153"/>
    <w:rsid w:val="00A37426"/>
    <w:rsid w:val="00A375BD"/>
    <w:rsid w:val="00A37614"/>
    <w:rsid w:val="00A378FB"/>
    <w:rsid w:val="00A37B16"/>
    <w:rsid w:val="00A40B40"/>
    <w:rsid w:val="00A410BF"/>
    <w:rsid w:val="00A423AA"/>
    <w:rsid w:val="00A42D98"/>
    <w:rsid w:val="00A43C45"/>
    <w:rsid w:val="00A441FA"/>
    <w:rsid w:val="00A445C3"/>
    <w:rsid w:val="00A44A66"/>
    <w:rsid w:val="00A45494"/>
    <w:rsid w:val="00A46253"/>
    <w:rsid w:val="00A474DF"/>
    <w:rsid w:val="00A47847"/>
    <w:rsid w:val="00A47BBC"/>
    <w:rsid w:val="00A47CCF"/>
    <w:rsid w:val="00A506B4"/>
    <w:rsid w:val="00A509C5"/>
    <w:rsid w:val="00A532A5"/>
    <w:rsid w:val="00A532FE"/>
    <w:rsid w:val="00A53C02"/>
    <w:rsid w:val="00A53EC6"/>
    <w:rsid w:val="00A540D3"/>
    <w:rsid w:val="00A5461F"/>
    <w:rsid w:val="00A55B6D"/>
    <w:rsid w:val="00A55C0F"/>
    <w:rsid w:val="00A55FE5"/>
    <w:rsid w:val="00A56045"/>
    <w:rsid w:val="00A56435"/>
    <w:rsid w:val="00A56F96"/>
    <w:rsid w:val="00A5766C"/>
    <w:rsid w:val="00A57780"/>
    <w:rsid w:val="00A627D3"/>
    <w:rsid w:val="00A62E42"/>
    <w:rsid w:val="00A62F42"/>
    <w:rsid w:val="00A63873"/>
    <w:rsid w:val="00A63BA3"/>
    <w:rsid w:val="00A64BC9"/>
    <w:rsid w:val="00A65B2B"/>
    <w:rsid w:val="00A67409"/>
    <w:rsid w:val="00A707E7"/>
    <w:rsid w:val="00A70FF4"/>
    <w:rsid w:val="00A71AB5"/>
    <w:rsid w:val="00A71F71"/>
    <w:rsid w:val="00A72302"/>
    <w:rsid w:val="00A73B4E"/>
    <w:rsid w:val="00A73BE9"/>
    <w:rsid w:val="00A74357"/>
    <w:rsid w:val="00A74F04"/>
    <w:rsid w:val="00A7537A"/>
    <w:rsid w:val="00A7556E"/>
    <w:rsid w:val="00A76D36"/>
    <w:rsid w:val="00A7740C"/>
    <w:rsid w:val="00A77EF1"/>
    <w:rsid w:val="00A77F9C"/>
    <w:rsid w:val="00A802B8"/>
    <w:rsid w:val="00A82476"/>
    <w:rsid w:val="00A83464"/>
    <w:rsid w:val="00A83744"/>
    <w:rsid w:val="00A83760"/>
    <w:rsid w:val="00A86767"/>
    <w:rsid w:val="00A8713F"/>
    <w:rsid w:val="00A872B6"/>
    <w:rsid w:val="00A8776F"/>
    <w:rsid w:val="00A90BA1"/>
    <w:rsid w:val="00A916E3"/>
    <w:rsid w:val="00A91BEA"/>
    <w:rsid w:val="00A92D40"/>
    <w:rsid w:val="00A930E5"/>
    <w:rsid w:val="00A94063"/>
    <w:rsid w:val="00A94EE3"/>
    <w:rsid w:val="00A953F3"/>
    <w:rsid w:val="00A95E46"/>
    <w:rsid w:val="00A95F04"/>
    <w:rsid w:val="00A96470"/>
    <w:rsid w:val="00A97A9A"/>
    <w:rsid w:val="00AA040F"/>
    <w:rsid w:val="00AA0671"/>
    <w:rsid w:val="00AA0C31"/>
    <w:rsid w:val="00AA1B8E"/>
    <w:rsid w:val="00AA1C31"/>
    <w:rsid w:val="00AA1D02"/>
    <w:rsid w:val="00AA2531"/>
    <w:rsid w:val="00AA2EA4"/>
    <w:rsid w:val="00AA3ECC"/>
    <w:rsid w:val="00AA51B1"/>
    <w:rsid w:val="00AA5ABF"/>
    <w:rsid w:val="00AA5FB0"/>
    <w:rsid w:val="00AA6013"/>
    <w:rsid w:val="00AA6592"/>
    <w:rsid w:val="00AA7766"/>
    <w:rsid w:val="00AA78A0"/>
    <w:rsid w:val="00AA7EE3"/>
    <w:rsid w:val="00AB06FE"/>
    <w:rsid w:val="00AB0BB0"/>
    <w:rsid w:val="00AB1E09"/>
    <w:rsid w:val="00AB2638"/>
    <w:rsid w:val="00AB2C08"/>
    <w:rsid w:val="00AB4A79"/>
    <w:rsid w:val="00AB4FF0"/>
    <w:rsid w:val="00AB5330"/>
    <w:rsid w:val="00AB6A79"/>
    <w:rsid w:val="00AB6C4F"/>
    <w:rsid w:val="00AB7747"/>
    <w:rsid w:val="00AC011B"/>
    <w:rsid w:val="00AC0745"/>
    <w:rsid w:val="00AC074D"/>
    <w:rsid w:val="00AC129C"/>
    <w:rsid w:val="00AC14CE"/>
    <w:rsid w:val="00AC1C77"/>
    <w:rsid w:val="00AC1F75"/>
    <w:rsid w:val="00AC2A56"/>
    <w:rsid w:val="00AC3131"/>
    <w:rsid w:val="00AC3F93"/>
    <w:rsid w:val="00AC45A9"/>
    <w:rsid w:val="00AC5E2F"/>
    <w:rsid w:val="00AD055E"/>
    <w:rsid w:val="00AD1EFB"/>
    <w:rsid w:val="00AD2AE8"/>
    <w:rsid w:val="00AD47A7"/>
    <w:rsid w:val="00AD6053"/>
    <w:rsid w:val="00AD6F16"/>
    <w:rsid w:val="00AD7982"/>
    <w:rsid w:val="00AD7BB3"/>
    <w:rsid w:val="00AE00A0"/>
    <w:rsid w:val="00AE027A"/>
    <w:rsid w:val="00AE0FF5"/>
    <w:rsid w:val="00AE1B5B"/>
    <w:rsid w:val="00AE258A"/>
    <w:rsid w:val="00AE4FC3"/>
    <w:rsid w:val="00AE6310"/>
    <w:rsid w:val="00AE742D"/>
    <w:rsid w:val="00AE77CB"/>
    <w:rsid w:val="00AF00A8"/>
    <w:rsid w:val="00AF0ACD"/>
    <w:rsid w:val="00AF0CBF"/>
    <w:rsid w:val="00AF188B"/>
    <w:rsid w:val="00AF1897"/>
    <w:rsid w:val="00AF207C"/>
    <w:rsid w:val="00AF20B5"/>
    <w:rsid w:val="00AF2186"/>
    <w:rsid w:val="00AF257F"/>
    <w:rsid w:val="00AF2AB1"/>
    <w:rsid w:val="00AF33CF"/>
    <w:rsid w:val="00AF3CF6"/>
    <w:rsid w:val="00AF4C0A"/>
    <w:rsid w:val="00AF4D50"/>
    <w:rsid w:val="00AF53B3"/>
    <w:rsid w:val="00AF6179"/>
    <w:rsid w:val="00AF7F7A"/>
    <w:rsid w:val="00B00F6B"/>
    <w:rsid w:val="00B0133F"/>
    <w:rsid w:val="00B015F3"/>
    <w:rsid w:val="00B02EF4"/>
    <w:rsid w:val="00B03EBB"/>
    <w:rsid w:val="00B04950"/>
    <w:rsid w:val="00B04BF6"/>
    <w:rsid w:val="00B05780"/>
    <w:rsid w:val="00B05D08"/>
    <w:rsid w:val="00B063A9"/>
    <w:rsid w:val="00B06610"/>
    <w:rsid w:val="00B07516"/>
    <w:rsid w:val="00B077E4"/>
    <w:rsid w:val="00B07A5D"/>
    <w:rsid w:val="00B07B00"/>
    <w:rsid w:val="00B101BD"/>
    <w:rsid w:val="00B10AFE"/>
    <w:rsid w:val="00B11426"/>
    <w:rsid w:val="00B126F6"/>
    <w:rsid w:val="00B1295A"/>
    <w:rsid w:val="00B12ABA"/>
    <w:rsid w:val="00B147F9"/>
    <w:rsid w:val="00B14BBB"/>
    <w:rsid w:val="00B14D89"/>
    <w:rsid w:val="00B14DB9"/>
    <w:rsid w:val="00B14F5E"/>
    <w:rsid w:val="00B15580"/>
    <w:rsid w:val="00B15588"/>
    <w:rsid w:val="00B158B7"/>
    <w:rsid w:val="00B16298"/>
    <w:rsid w:val="00B20247"/>
    <w:rsid w:val="00B20374"/>
    <w:rsid w:val="00B20723"/>
    <w:rsid w:val="00B2095B"/>
    <w:rsid w:val="00B20A45"/>
    <w:rsid w:val="00B20BE8"/>
    <w:rsid w:val="00B21E8E"/>
    <w:rsid w:val="00B21F22"/>
    <w:rsid w:val="00B22391"/>
    <w:rsid w:val="00B22A71"/>
    <w:rsid w:val="00B22C5C"/>
    <w:rsid w:val="00B24F30"/>
    <w:rsid w:val="00B256D6"/>
    <w:rsid w:val="00B26318"/>
    <w:rsid w:val="00B26480"/>
    <w:rsid w:val="00B268D1"/>
    <w:rsid w:val="00B26DAF"/>
    <w:rsid w:val="00B26DC7"/>
    <w:rsid w:val="00B3074A"/>
    <w:rsid w:val="00B31ABF"/>
    <w:rsid w:val="00B322D4"/>
    <w:rsid w:val="00B32312"/>
    <w:rsid w:val="00B32955"/>
    <w:rsid w:val="00B331BF"/>
    <w:rsid w:val="00B33BE3"/>
    <w:rsid w:val="00B344B0"/>
    <w:rsid w:val="00B35074"/>
    <w:rsid w:val="00B354FF"/>
    <w:rsid w:val="00B3592A"/>
    <w:rsid w:val="00B36277"/>
    <w:rsid w:val="00B36AFB"/>
    <w:rsid w:val="00B36D6B"/>
    <w:rsid w:val="00B4227D"/>
    <w:rsid w:val="00B4259D"/>
    <w:rsid w:val="00B42674"/>
    <w:rsid w:val="00B42DCB"/>
    <w:rsid w:val="00B43291"/>
    <w:rsid w:val="00B43B0D"/>
    <w:rsid w:val="00B45205"/>
    <w:rsid w:val="00B47493"/>
    <w:rsid w:val="00B51507"/>
    <w:rsid w:val="00B52785"/>
    <w:rsid w:val="00B53B5D"/>
    <w:rsid w:val="00B5443F"/>
    <w:rsid w:val="00B55CFB"/>
    <w:rsid w:val="00B55D71"/>
    <w:rsid w:val="00B579A8"/>
    <w:rsid w:val="00B57ED2"/>
    <w:rsid w:val="00B6055E"/>
    <w:rsid w:val="00B6062B"/>
    <w:rsid w:val="00B61942"/>
    <w:rsid w:val="00B61968"/>
    <w:rsid w:val="00B61B23"/>
    <w:rsid w:val="00B6317D"/>
    <w:rsid w:val="00B63663"/>
    <w:rsid w:val="00B637CA"/>
    <w:rsid w:val="00B64DD2"/>
    <w:rsid w:val="00B655A4"/>
    <w:rsid w:val="00B66286"/>
    <w:rsid w:val="00B667A9"/>
    <w:rsid w:val="00B70D1B"/>
    <w:rsid w:val="00B71228"/>
    <w:rsid w:val="00B7206D"/>
    <w:rsid w:val="00B72086"/>
    <w:rsid w:val="00B72710"/>
    <w:rsid w:val="00B75507"/>
    <w:rsid w:val="00B762F0"/>
    <w:rsid w:val="00B763C6"/>
    <w:rsid w:val="00B7652F"/>
    <w:rsid w:val="00B7723F"/>
    <w:rsid w:val="00B80534"/>
    <w:rsid w:val="00B805A8"/>
    <w:rsid w:val="00B80689"/>
    <w:rsid w:val="00B8393D"/>
    <w:rsid w:val="00B83DE3"/>
    <w:rsid w:val="00B8433C"/>
    <w:rsid w:val="00B8476F"/>
    <w:rsid w:val="00B85F68"/>
    <w:rsid w:val="00B87491"/>
    <w:rsid w:val="00B8788B"/>
    <w:rsid w:val="00B879F8"/>
    <w:rsid w:val="00B901D9"/>
    <w:rsid w:val="00B92C8B"/>
    <w:rsid w:val="00B92EF2"/>
    <w:rsid w:val="00B92FA2"/>
    <w:rsid w:val="00B93A60"/>
    <w:rsid w:val="00B94358"/>
    <w:rsid w:val="00B95075"/>
    <w:rsid w:val="00B9606A"/>
    <w:rsid w:val="00B960FF"/>
    <w:rsid w:val="00B96EA9"/>
    <w:rsid w:val="00B97D48"/>
    <w:rsid w:val="00BA01F4"/>
    <w:rsid w:val="00BA29E9"/>
    <w:rsid w:val="00BA2BB1"/>
    <w:rsid w:val="00BA2EA1"/>
    <w:rsid w:val="00BA3090"/>
    <w:rsid w:val="00BA3144"/>
    <w:rsid w:val="00BA3F8A"/>
    <w:rsid w:val="00BA7142"/>
    <w:rsid w:val="00BA7C15"/>
    <w:rsid w:val="00BB0126"/>
    <w:rsid w:val="00BB1828"/>
    <w:rsid w:val="00BB1B97"/>
    <w:rsid w:val="00BB1BB3"/>
    <w:rsid w:val="00BB237C"/>
    <w:rsid w:val="00BB25F1"/>
    <w:rsid w:val="00BB3637"/>
    <w:rsid w:val="00BB41A3"/>
    <w:rsid w:val="00BB4647"/>
    <w:rsid w:val="00BB4688"/>
    <w:rsid w:val="00BB46E6"/>
    <w:rsid w:val="00BB4C61"/>
    <w:rsid w:val="00BB51C5"/>
    <w:rsid w:val="00BB54B1"/>
    <w:rsid w:val="00BB6BB1"/>
    <w:rsid w:val="00BB7044"/>
    <w:rsid w:val="00BB7F06"/>
    <w:rsid w:val="00BC0844"/>
    <w:rsid w:val="00BC118D"/>
    <w:rsid w:val="00BC1742"/>
    <w:rsid w:val="00BC1C22"/>
    <w:rsid w:val="00BC1FE8"/>
    <w:rsid w:val="00BC29F6"/>
    <w:rsid w:val="00BC32DC"/>
    <w:rsid w:val="00BC35B6"/>
    <w:rsid w:val="00BC466B"/>
    <w:rsid w:val="00BC4A35"/>
    <w:rsid w:val="00BC5351"/>
    <w:rsid w:val="00BC563B"/>
    <w:rsid w:val="00BC5817"/>
    <w:rsid w:val="00BC7707"/>
    <w:rsid w:val="00BC7F32"/>
    <w:rsid w:val="00BD0138"/>
    <w:rsid w:val="00BD086F"/>
    <w:rsid w:val="00BD13B6"/>
    <w:rsid w:val="00BD1B51"/>
    <w:rsid w:val="00BD1EB0"/>
    <w:rsid w:val="00BD1F49"/>
    <w:rsid w:val="00BD2944"/>
    <w:rsid w:val="00BD2DC6"/>
    <w:rsid w:val="00BD4596"/>
    <w:rsid w:val="00BD4A8C"/>
    <w:rsid w:val="00BD5434"/>
    <w:rsid w:val="00BD668A"/>
    <w:rsid w:val="00BE13D2"/>
    <w:rsid w:val="00BE1405"/>
    <w:rsid w:val="00BE1785"/>
    <w:rsid w:val="00BE309D"/>
    <w:rsid w:val="00BE312D"/>
    <w:rsid w:val="00BE3F68"/>
    <w:rsid w:val="00BE4765"/>
    <w:rsid w:val="00BE48DC"/>
    <w:rsid w:val="00BE4ED9"/>
    <w:rsid w:val="00BE53F9"/>
    <w:rsid w:val="00BE5A3C"/>
    <w:rsid w:val="00BE5AC4"/>
    <w:rsid w:val="00BE6831"/>
    <w:rsid w:val="00BE7072"/>
    <w:rsid w:val="00BF1C20"/>
    <w:rsid w:val="00BF3230"/>
    <w:rsid w:val="00BF4416"/>
    <w:rsid w:val="00BF4BD9"/>
    <w:rsid w:val="00BF4E4F"/>
    <w:rsid w:val="00BF50B9"/>
    <w:rsid w:val="00BF609C"/>
    <w:rsid w:val="00BF6432"/>
    <w:rsid w:val="00C002C8"/>
    <w:rsid w:val="00C01F98"/>
    <w:rsid w:val="00C02B0F"/>
    <w:rsid w:val="00C0367D"/>
    <w:rsid w:val="00C03763"/>
    <w:rsid w:val="00C03D33"/>
    <w:rsid w:val="00C0424E"/>
    <w:rsid w:val="00C04CE8"/>
    <w:rsid w:val="00C04E61"/>
    <w:rsid w:val="00C0575B"/>
    <w:rsid w:val="00C06600"/>
    <w:rsid w:val="00C069F0"/>
    <w:rsid w:val="00C10050"/>
    <w:rsid w:val="00C10172"/>
    <w:rsid w:val="00C10578"/>
    <w:rsid w:val="00C11CB7"/>
    <w:rsid w:val="00C11F0F"/>
    <w:rsid w:val="00C132D2"/>
    <w:rsid w:val="00C135BC"/>
    <w:rsid w:val="00C13789"/>
    <w:rsid w:val="00C1411A"/>
    <w:rsid w:val="00C14316"/>
    <w:rsid w:val="00C15C95"/>
    <w:rsid w:val="00C205F1"/>
    <w:rsid w:val="00C20868"/>
    <w:rsid w:val="00C20F44"/>
    <w:rsid w:val="00C21BCC"/>
    <w:rsid w:val="00C2200C"/>
    <w:rsid w:val="00C227B8"/>
    <w:rsid w:val="00C22A67"/>
    <w:rsid w:val="00C22DA0"/>
    <w:rsid w:val="00C23AB7"/>
    <w:rsid w:val="00C23CCE"/>
    <w:rsid w:val="00C2596A"/>
    <w:rsid w:val="00C26388"/>
    <w:rsid w:val="00C271F3"/>
    <w:rsid w:val="00C27537"/>
    <w:rsid w:val="00C30492"/>
    <w:rsid w:val="00C31236"/>
    <w:rsid w:val="00C317A3"/>
    <w:rsid w:val="00C31E88"/>
    <w:rsid w:val="00C328FE"/>
    <w:rsid w:val="00C334BB"/>
    <w:rsid w:val="00C33507"/>
    <w:rsid w:val="00C35F3C"/>
    <w:rsid w:val="00C3655F"/>
    <w:rsid w:val="00C376BD"/>
    <w:rsid w:val="00C40923"/>
    <w:rsid w:val="00C43177"/>
    <w:rsid w:val="00C43600"/>
    <w:rsid w:val="00C436D2"/>
    <w:rsid w:val="00C43D76"/>
    <w:rsid w:val="00C43E92"/>
    <w:rsid w:val="00C4409D"/>
    <w:rsid w:val="00C44E72"/>
    <w:rsid w:val="00C45A06"/>
    <w:rsid w:val="00C462E6"/>
    <w:rsid w:val="00C462F0"/>
    <w:rsid w:val="00C465DD"/>
    <w:rsid w:val="00C473EA"/>
    <w:rsid w:val="00C47E5B"/>
    <w:rsid w:val="00C5138D"/>
    <w:rsid w:val="00C51626"/>
    <w:rsid w:val="00C51E55"/>
    <w:rsid w:val="00C521E6"/>
    <w:rsid w:val="00C524E7"/>
    <w:rsid w:val="00C53243"/>
    <w:rsid w:val="00C53AA4"/>
    <w:rsid w:val="00C5417B"/>
    <w:rsid w:val="00C56422"/>
    <w:rsid w:val="00C57369"/>
    <w:rsid w:val="00C57F74"/>
    <w:rsid w:val="00C608CE"/>
    <w:rsid w:val="00C61E4B"/>
    <w:rsid w:val="00C62355"/>
    <w:rsid w:val="00C63710"/>
    <w:rsid w:val="00C639C6"/>
    <w:rsid w:val="00C63C31"/>
    <w:rsid w:val="00C64BFF"/>
    <w:rsid w:val="00C6615F"/>
    <w:rsid w:val="00C670D8"/>
    <w:rsid w:val="00C704E9"/>
    <w:rsid w:val="00C70526"/>
    <w:rsid w:val="00C712D4"/>
    <w:rsid w:val="00C73181"/>
    <w:rsid w:val="00C7342B"/>
    <w:rsid w:val="00C73766"/>
    <w:rsid w:val="00C763C9"/>
    <w:rsid w:val="00C774F3"/>
    <w:rsid w:val="00C80057"/>
    <w:rsid w:val="00C80ABC"/>
    <w:rsid w:val="00C81623"/>
    <w:rsid w:val="00C817D4"/>
    <w:rsid w:val="00C82232"/>
    <w:rsid w:val="00C82913"/>
    <w:rsid w:val="00C82B6C"/>
    <w:rsid w:val="00C83B24"/>
    <w:rsid w:val="00C84312"/>
    <w:rsid w:val="00C84B8E"/>
    <w:rsid w:val="00C86A74"/>
    <w:rsid w:val="00C86AF5"/>
    <w:rsid w:val="00C86EAE"/>
    <w:rsid w:val="00C87872"/>
    <w:rsid w:val="00C90ED1"/>
    <w:rsid w:val="00C92E6F"/>
    <w:rsid w:val="00C93183"/>
    <w:rsid w:val="00C94DFA"/>
    <w:rsid w:val="00C94FFF"/>
    <w:rsid w:val="00C96A0E"/>
    <w:rsid w:val="00C96BCD"/>
    <w:rsid w:val="00C972B1"/>
    <w:rsid w:val="00C9767A"/>
    <w:rsid w:val="00C97AF7"/>
    <w:rsid w:val="00CA0184"/>
    <w:rsid w:val="00CA067F"/>
    <w:rsid w:val="00CA06FD"/>
    <w:rsid w:val="00CA0BF1"/>
    <w:rsid w:val="00CA28A4"/>
    <w:rsid w:val="00CA2CCE"/>
    <w:rsid w:val="00CA3783"/>
    <w:rsid w:val="00CA43FD"/>
    <w:rsid w:val="00CA49E7"/>
    <w:rsid w:val="00CA4A8D"/>
    <w:rsid w:val="00CA591C"/>
    <w:rsid w:val="00CA5AD3"/>
    <w:rsid w:val="00CA5DA2"/>
    <w:rsid w:val="00CA709A"/>
    <w:rsid w:val="00CA7EF8"/>
    <w:rsid w:val="00CB25B9"/>
    <w:rsid w:val="00CB2C39"/>
    <w:rsid w:val="00CB2EAD"/>
    <w:rsid w:val="00CB5360"/>
    <w:rsid w:val="00CB5CAA"/>
    <w:rsid w:val="00CB5E97"/>
    <w:rsid w:val="00CC0123"/>
    <w:rsid w:val="00CC1831"/>
    <w:rsid w:val="00CC185E"/>
    <w:rsid w:val="00CC2A9E"/>
    <w:rsid w:val="00CC3E54"/>
    <w:rsid w:val="00CC4101"/>
    <w:rsid w:val="00CC489B"/>
    <w:rsid w:val="00CC5A78"/>
    <w:rsid w:val="00CC5BFC"/>
    <w:rsid w:val="00CD1B53"/>
    <w:rsid w:val="00CD246C"/>
    <w:rsid w:val="00CD2BCD"/>
    <w:rsid w:val="00CD3A4C"/>
    <w:rsid w:val="00CD5943"/>
    <w:rsid w:val="00CE10E9"/>
    <w:rsid w:val="00CE2910"/>
    <w:rsid w:val="00CE2AA6"/>
    <w:rsid w:val="00CE42AC"/>
    <w:rsid w:val="00CE42BD"/>
    <w:rsid w:val="00CE5393"/>
    <w:rsid w:val="00CE540E"/>
    <w:rsid w:val="00CE58FF"/>
    <w:rsid w:val="00CE62CC"/>
    <w:rsid w:val="00CE693C"/>
    <w:rsid w:val="00CE7D45"/>
    <w:rsid w:val="00CF114D"/>
    <w:rsid w:val="00CF36BE"/>
    <w:rsid w:val="00CF6000"/>
    <w:rsid w:val="00CF71BB"/>
    <w:rsid w:val="00D003F3"/>
    <w:rsid w:val="00D004FF"/>
    <w:rsid w:val="00D009BF"/>
    <w:rsid w:val="00D03529"/>
    <w:rsid w:val="00D0364F"/>
    <w:rsid w:val="00D0371D"/>
    <w:rsid w:val="00D042B7"/>
    <w:rsid w:val="00D047A7"/>
    <w:rsid w:val="00D04C17"/>
    <w:rsid w:val="00D05D95"/>
    <w:rsid w:val="00D05DFC"/>
    <w:rsid w:val="00D064FC"/>
    <w:rsid w:val="00D06834"/>
    <w:rsid w:val="00D06887"/>
    <w:rsid w:val="00D0771B"/>
    <w:rsid w:val="00D10295"/>
    <w:rsid w:val="00D1291E"/>
    <w:rsid w:val="00D13C22"/>
    <w:rsid w:val="00D14AF5"/>
    <w:rsid w:val="00D14CCD"/>
    <w:rsid w:val="00D154BA"/>
    <w:rsid w:val="00D2143E"/>
    <w:rsid w:val="00D21EC4"/>
    <w:rsid w:val="00D2273C"/>
    <w:rsid w:val="00D232A7"/>
    <w:rsid w:val="00D23695"/>
    <w:rsid w:val="00D25088"/>
    <w:rsid w:val="00D26E12"/>
    <w:rsid w:val="00D308ED"/>
    <w:rsid w:val="00D3155E"/>
    <w:rsid w:val="00D32C7C"/>
    <w:rsid w:val="00D32EF8"/>
    <w:rsid w:val="00D34124"/>
    <w:rsid w:val="00D344D5"/>
    <w:rsid w:val="00D34773"/>
    <w:rsid w:val="00D3598F"/>
    <w:rsid w:val="00D36151"/>
    <w:rsid w:val="00D363FA"/>
    <w:rsid w:val="00D368DC"/>
    <w:rsid w:val="00D36D86"/>
    <w:rsid w:val="00D372ED"/>
    <w:rsid w:val="00D40741"/>
    <w:rsid w:val="00D428AA"/>
    <w:rsid w:val="00D43235"/>
    <w:rsid w:val="00D44038"/>
    <w:rsid w:val="00D44234"/>
    <w:rsid w:val="00D44991"/>
    <w:rsid w:val="00D454EB"/>
    <w:rsid w:val="00D45A4E"/>
    <w:rsid w:val="00D46073"/>
    <w:rsid w:val="00D50A34"/>
    <w:rsid w:val="00D5240E"/>
    <w:rsid w:val="00D533A1"/>
    <w:rsid w:val="00D53CF3"/>
    <w:rsid w:val="00D53D50"/>
    <w:rsid w:val="00D53EFA"/>
    <w:rsid w:val="00D54206"/>
    <w:rsid w:val="00D5453B"/>
    <w:rsid w:val="00D56D74"/>
    <w:rsid w:val="00D571F0"/>
    <w:rsid w:val="00D57B4D"/>
    <w:rsid w:val="00D605FD"/>
    <w:rsid w:val="00D619ED"/>
    <w:rsid w:val="00D61BE9"/>
    <w:rsid w:val="00D62191"/>
    <w:rsid w:val="00D62719"/>
    <w:rsid w:val="00D62CA0"/>
    <w:rsid w:val="00D64D8C"/>
    <w:rsid w:val="00D71100"/>
    <w:rsid w:val="00D72576"/>
    <w:rsid w:val="00D72D12"/>
    <w:rsid w:val="00D76874"/>
    <w:rsid w:val="00D80477"/>
    <w:rsid w:val="00D80AAB"/>
    <w:rsid w:val="00D813CF"/>
    <w:rsid w:val="00D828BD"/>
    <w:rsid w:val="00D84352"/>
    <w:rsid w:val="00D857F4"/>
    <w:rsid w:val="00D85A01"/>
    <w:rsid w:val="00D85C2A"/>
    <w:rsid w:val="00D87A14"/>
    <w:rsid w:val="00D90B83"/>
    <w:rsid w:val="00D920E5"/>
    <w:rsid w:val="00D921E2"/>
    <w:rsid w:val="00D9252F"/>
    <w:rsid w:val="00D92567"/>
    <w:rsid w:val="00D931CF"/>
    <w:rsid w:val="00D9378D"/>
    <w:rsid w:val="00D940A5"/>
    <w:rsid w:val="00D94412"/>
    <w:rsid w:val="00D94A7C"/>
    <w:rsid w:val="00D953AC"/>
    <w:rsid w:val="00D95896"/>
    <w:rsid w:val="00D95FBA"/>
    <w:rsid w:val="00D96A93"/>
    <w:rsid w:val="00D9768F"/>
    <w:rsid w:val="00DA0D25"/>
    <w:rsid w:val="00DA15A0"/>
    <w:rsid w:val="00DA26AB"/>
    <w:rsid w:val="00DA2732"/>
    <w:rsid w:val="00DA2F99"/>
    <w:rsid w:val="00DA4B0E"/>
    <w:rsid w:val="00DA5151"/>
    <w:rsid w:val="00DA5D30"/>
    <w:rsid w:val="00DA61B8"/>
    <w:rsid w:val="00DA6588"/>
    <w:rsid w:val="00DB0612"/>
    <w:rsid w:val="00DB0B82"/>
    <w:rsid w:val="00DB2741"/>
    <w:rsid w:val="00DB2983"/>
    <w:rsid w:val="00DB2EC7"/>
    <w:rsid w:val="00DB3970"/>
    <w:rsid w:val="00DB3AB6"/>
    <w:rsid w:val="00DB3C6A"/>
    <w:rsid w:val="00DB5050"/>
    <w:rsid w:val="00DB5798"/>
    <w:rsid w:val="00DB586E"/>
    <w:rsid w:val="00DB620B"/>
    <w:rsid w:val="00DB7251"/>
    <w:rsid w:val="00DB7F69"/>
    <w:rsid w:val="00DC001A"/>
    <w:rsid w:val="00DC062E"/>
    <w:rsid w:val="00DC06C7"/>
    <w:rsid w:val="00DC1257"/>
    <w:rsid w:val="00DC16C8"/>
    <w:rsid w:val="00DC1785"/>
    <w:rsid w:val="00DC18DA"/>
    <w:rsid w:val="00DC1BF3"/>
    <w:rsid w:val="00DC1EE2"/>
    <w:rsid w:val="00DC30F8"/>
    <w:rsid w:val="00DC3DC0"/>
    <w:rsid w:val="00DC40B8"/>
    <w:rsid w:val="00DC4718"/>
    <w:rsid w:val="00DC5B2B"/>
    <w:rsid w:val="00DD24D3"/>
    <w:rsid w:val="00DD318D"/>
    <w:rsid w:val="00DD435B"/>
    <w:rsid w:val="00DD4BA8"/>
    <w:rsid w:val="00DD58EE"/>
    <w:rsid w:val="00DD61AB"/>
    <w:rsid w:val="00DD7E3E"/>
    <w:rsid w:val="00DE0186"/>
    <w:rsid w:val="00DE0224"/>
    <w:rsid w:val="00DE0C95"/>
    <w:rsid w:val="00DE1222"/>
    <w:rsid w:val="00DE2D93"/>
    <w:rsid w:val="00DE4D49"/>
    <w:rsid w:val="00DE6603"/>
    <w:rsid w:val="00DE6DFE"/>
    <w:rsid w:val="00DE7A1D"/>
    <w:rsid w:val="00DF1734"/>
    <w:rsid w:val="00DF1DD5"/>
    <w:rsid w:val="00DF20A8"/>
    <w:rsid w:val="00DF2468"/>
    <w:rsid w:val="00DF2E12"/>
    <w:rsid w:val="00DF328A"/>
    <w:rsid w:val="00DF514A"/>
    <w:rsid w:val="00DF53B6"/>
    <w:rsid w:val="00DF6690"/>
    <w:rsid w:val="00DF6804"/>
    <w:rsid w:val="00DF6A1F"/>
    <w:rsid w:val="00DF7EF1"/>
    <w:rsid w:val="00E01009"/>
    <w:rsid w:val="00E01155"/>
    <w:rsid w:val="00E0275F"/>
    <w:rsid w:val="00E02EB9"/>
    <w:rsid w:val="00E034A7"/>
    <w:rsid w:val="00E0358D"/>
    <w:rsid w:val="00E03AE0"/>
    <w:rsid w:val="00E03CF4"/>
    <w:rsid w:val="00E04323"/>
    <w:rsid w:val="00E0466B"/>
    <w:rsid w:val="00E060C0"/>
    <w:rsid w:val="00E065CC"/>
    <w:rsid w:val="00E069D7"/>
    <w:rsid w:val="00E070A2"/>
    <w:rsid w:val="00E07151"/>
    <w:rsid w:val="00E07EB1"/>
    <w:rsid w:val="00E10647"/>
    <w:rsid w:val="00E10782"/>
    <w:rsid w:val="00E10900"/>
    <w:rsid w:val="00E10950"/>
    <w:rsid w:val="00E11037"/>
    <w:rsid w:val="00E1129D"/>
    <w:rsid w:val="00E122F6"/>
    <w:rsid w:val="00E14B5E"/>
    <w:rsid w:val="00E1599D"/>
    <w:rsid w:val="00E16653"/>
    <w:rsid w:val="00E175ED"/>
    <w:rsid w:val="00E17626"/>
    <w:rsid w:val="00E177E2"/>
    <w:rsid w:val="00E17C95"/>
    <w:rsid w:val="00E207FF"/>
    <w:rsid w:val="00E20D6D"/>
    <w:rsid w:val="00E21B89"/>
    <w:rsid w:val="00E2233F"/>
    <w:rsid w:val="00E24162"/>
    <w:rsid w:val="00E246F6"/>
    <w:rsid w:val="00E249AD"/>
    <w:rsid w:val="00E24C00"/>
    <w:rsid w:val="00E2589F"/>
    <w:rsid w:val="00E25AC7"/>
    <w:rsid w:val="00E2656A"/>
    <w:rsid w:val="00E3199D"/>
    <w:rsid w:val="00E319B2"/>
    <w:rsid w:val="00E32F84"/>
    <w:rsid w:val="00E3316A"/>
    <w:rsid w:val="00E337E7"/>
    <w:rsid w:val="00E3382A"/>
    <w:rsid w:val="00E35559"/>
    <w:rsid w:val="00E35DC6"/>
    <w:rsid w:val="00E365BE"/>
    <w:rsid w:val="00E37769"/>
    <w:rsid w:val="00E406C0"/>
    <w:rsid w:val="00E412D0"/>
    <w:rsid w:val="00E418CB"/>
    <w:rsid w:val="00E41DAA"/>
    <w:rsid w:val="00E448C5"/>
    <w:rsid w:val="00E45457"/>
    <w:rsid w:val="00E45FC8"/>
    <w:rsid w:val="00E46275"/>
    <w:rsid w:val="00E46382"/>
    <w:rsid w:val="00E512CB"/>
    <w:rsid w:val="00E51EB7"/>
    <w:rsid w:val="00E52A35"/>
    <w:rsid w:val="00E53204"/>
    <w:rsid w:val="00E53F47"/>
    <w:rsid w:val="00E53FAC"/>
    <w:rsid w:val="00E54876"/>
    <w:rsid w:val="00E56175"/>
    <w:rsid w:val="00E56322"/>
    <w:rsid w:val="00E56510"/>
    <w:rsid w:val="00E56821"/>
    <w:rsid w:val="00E57DC7"/>
    <w:rsid w:val="00E60982"/>
    <w:rsid w:val="00E62434"/>
    <w:rsid w:val="00E624C0"/>
    <w:rsid w:val="00E62C62"/>
    <w:rsid w:val="00E6395D"/>
    <w:rsid w:val="00E63E74"/>
    <w:rsid w:val="00E64667"/>
    <w:rsid w:val="00E65164"/>
    <w:rsid w:val="00E654C1"/>
    <w:rsid w:val="00E65ABC"/>
    <w:rsid w:val="00E65CDF"/>
    <w:rsid w:val="00E65D97"/>
    <w:rsid w:val="00E65E9E"/>
    <w:rsid w:val="00E72662"/>
    <w:rsid w:val="00E72A5A"/>
    <w:rsid w:val="00E72AB5"/>
    <w:rsid w:val="00E72EE8"/>
    <w:rsid w:val="00E73354"/>
    <w:rsid w:val="00E734C0"/>
    <w:rsid w:val="00E738E3"/>
    <w:rsid w:val="00E743F4"/>
    <w:rsid w:val="00E74612"/>
    <w:rsid w:val="00E74765"/>
    <w:rsid w:val="00E748ED"/>
    <w:rsid w:val="00E75121"/>
    <w:rsid w:val="00E75D07"/>
    <w:rsid w:val="00E770A2"/>
    <w:rsid w:val="00E771F9"/>
    <w:rsid w:val="00E80DFA"/>
    <w:rsid w:val="00E811B2"/>
    <w:rsid w:val="00E826D3"/>
    <w:rsid w:val="00E839A0"/>
    <w:rsid w:val="00E85402"/>
    <w:rsid w:val="00E85FF3"/>
    <w:rsid w:val="00E867CB"/>
    <w:rsid w:val="00E91179"/>
    <w:rsid w:val="00E9242D"/>
    <w:rsid w:val="00E92582"/>
    <w:rsid w:val="00E92BA5"/>
    <w:rsid w:val="00E93043"/>
    <w:rsid w:val="00E95995"/>
    <w:rsid w:val="00E97FEC"/>
    <w:rsid w:val="00EA01C1"/>
    <w:rsid w:val="00EA39FA"/>
    <w:rsid w:val="00EA3B2F"/>
    <w:rsid w:val="00EA5255"/>
    <w:rsid w:val="00EA5AC2"/>
    <w:rsid w:val="00EA6325"/>
    <w:rsid w:val="00EA633E"/>
    <w:rsid w:val="00EA705F"/>
    <w:rsid w:val="00EB0A04"/>
    <w:rsid w:val="00EB1E51"/>
    <w:rsid w:val="00EB3E7E"/>
    <w:rsid w:val="00EB426F"/>
    <w:rsid w:val="00EB460F"/>
    <w:rsid w:val="00EB4908"/>
    <w:rsid w:val="00EB4B08"/>
    <w:rsid w:val="00EB4E5F"/>
    <w:rsid w:val="00EB5255"/>
    <w:rsid w:val="00EB5C47"/>
    <w:rsid w:val="00EB66D4"/>
    <w:rsid w:val="00EB6DA2"/>
    <w:rsid w:val="00EC0945"/>
    <w:rsid w:val="00EC1F53"/>
    <w:rsid w:val="00EC26D4"/>
    <w:rsid w:val="00EC2DCE"/>
    <w:rsid w:val="00EC2DED"/>
    <w:rsid w:val="00EC3503"/>
    <w:rsid w:val="00EC3555"/>
    <w:rsid w:val="00EC5327"/>
    <w:rsid w:val="00EC5BF8"/>
    <w:rsid w:val="00EC73CE"/>
    <w:rsid w:val="00EC7D15"/>
    <w:rsid w:val="00ED0639"/>
    <w:rsid w:val="00ED072B"/>
    <w:rsid w:val="00ED1309"/>
    <w:rsid w:val="00ED2624"/>
    <w:rsid w:val="00ED2BFD"/>
    <w:rsid w:val="00ED2E5F"/>
    <w:rsid w:val="00ED35C5"/>
    <w:rsid w:val="00ED3A00"/>
    <w:rsid w:val="00ED4D88"/>
    <w:rsid w:val="00ED516E"/>
    <w:rsid w:val="00ED5645"/>
    <w:rsid w:val="00ED718A"/>
    <w:rsid w:val="00ED7383"/>
    <w:rsid w:val="00ED79CA"/>
    <w:rsid w:val="00ED7BFB"/>
    <w:rsid w:val="00EE0523"/>
    <w:rsid w:val="00EE055E"/>
    <w:rsid w:val="00EE0EAE"/>
    <w:rsid w:val="00EE0FFC"/>
    <w:rsid w:val="00EE1294"/>
    <w:rsid w:val="00EE1A74"/>
    <w:rsid w:val="00EE2213"/>
    <w:rsid w:val="00EE25D6"/>
    <w:rsid w:val="00EE279A"/>
    <w:rsid w:val="00EE2ACF"/>
    <w:rsid w:val="00EE40DA"/>
    <w:rsid w:val="00EE43CE"/>
    <w:rsid w:val="00EE4A69"/>
    <w:rsid w:val="00EE4AD7"/>
    <w:rsid w:val="00EE6C29"/>
    <w:rsid w:val="00EE7830"/>
    <w:rsid w:val="00EF0185"/>
    <w:rsid w:val="00EF07B2"/>
    <w:rsid w:val="00EF12A8"/>
    <w:rsid w:val="00EF150E"/>
    <w:rsid w:val="00EF22C9"/>
    <w:rsid w:val="00EF30F0"/>
    <w:rsid w:val="00EF4163"/>
    <w:rsid w:val="00EF4667"/>
    <w:rsid w:val="00EF4755"/>
    <w:rsid w:val="00EF5329"/>
    <w:rsid w:val="00EF550B"/>
    <w:rsid w:val="00EF588A"/>
    <w:rsid w:val="00EF589A"/>
    <w:rsid w:val="00EF7135"/>
    <w:rsid w:val="00EF73FF"/>
    <w:rsid w:val="00EF785F"/>
    <w:rsid w:val="00F01051"/>
    <w:rsid w:val="00F01217"/>
    <w:rsid w:val="00F023B6"/>
    <w:rsid w:val="00F027DB"/>
    <w:rsid w:val="00F029AA"/>
    <w:rsid w:val="00F02EF1"/>
    <w:rsid w:val="00F037F7"/>
    <w:rsid w:val="00F03ED8"/>
    <w:rsid w:val="00F06B7D"/>
    <w:rsid w:val="00F0718D"/>
    <w:rsid w:val="00F07B4B"/>
    <w:rsid w:val="00F107C5"/>
    <w:rsid w:val="00F109EF"/>
    <w:rsid w:val="00F11B21"/>
    <w:rsid w:val="00F12238"/>
    <w:rsid w:val="00F13AE4"/>
    <w:rsid w:val="00F13C79"/>
    <w:rsid w:val="00F14A7A"/>
    <w:rsid w:val="00F16B8F"/>
    <w:rsid w:val="00F16E6B"/>
    <w:rsid w:val="00F17287"/>
    <w:rsid w:val="00F17A49"/>
    <w:rsid w:val="00F211DE"/>
    <w:rsid w:val="00F225F5"/>
    <w:rsid w:val="00F22985"/>
    <w:rsid w:val="00F22C0D"/>
    <w:rsid w:val="00F22C74"/>
    <w:rsid w:val="00F23418"/>
    <w:rsid w:val="00F2538D"/>
    <w:rsid w:val="00F25A70"/>
    <w:rsid w:val="00F2630F"/>
    <w:rsid w:val="00F27D3F"/>
    <w:rsid w:val="00F30181"/>
    <w:rsid w:val="00F30801"/>
    <w:rsid w:val="00F32540"/>
    <w:rsid w:val="00F3383E"/>
    <w:rsid w:val="00F40878"/>
    <w:rsid w:val="00F40BB2"/>
    <w:rsid w:val="00F426FA"/>
    <w:rsid w:val="00F428F7"/>
    <w:rsid w:val="00F42D5F"/>
    <w:rsid w:val="00F4316E"/>
    <w:rsid w:val="00F433BE"/>
    <w:rsid w:val="00F434AE"/>
    <w:rsid w:val="00F440AC"/>
    <w:rsid w:val="00F44D92"/>
    <w:rsid w:val="00F44DCE"/>
    <w:rsid w:val="00F458B8"/>
    <w:rsid w:val="00F465A7"/>
    <w:rsid w:val="00F473A3"/>
    <w:rsid w:val="00F474E0"/>
    <w:rsid w:val="00F50B7C"/>
    <w:rsid w:val="00F50D81"/>
    <w:rsid w:val="00F53257"/>
    <w:rsid w:val="00F53D30"/>
    <w:rsid w:val="00F54197"/>
    <w:rsid w:val="00F54BC7"/>
    <w:rsid w:val="00F550E6"/>
    <w:rsid w:val="00F552DA"/>
    <w:rsid w:val="00F5576E"/>
    <w:rsid w:val="00F55F16"/>
    <w:rsid w:val="00F56C95"/>
    <w:rsid w:val="00F57992"/>
    <w:rsid w:val="00F57F17"/>
    <w:rsid w:val="00F613B2"/>
    <w:rsid w:val="00F62097"/>
    <w:rsid w:val="00F67A6B"/>
    <w:rsid w:val="00F70529"/>
    <w:rsid w:val="00F70E01"/>
    <w:rsid w:val="00F7178A"/>
    <w:rsid w:val="00F72019"/>
    <w:rsid w:val="00F74345"/>
    <w:rsid w:val="00F765EA"/>
    <w:rsid w:val="00F77831"/>
    <w:rsid w:val="00F80A0A"/>
    <w:rsid w:val="00F80CAC"/>
    <w:rsid w:val="00F80E02"/>
    <w:rsid w:val="00F81810"/>
    <w:rsid w:val="00F82B19"/>
    <w:rsid w:val="00F8411D"/>
    <w:rsid w:val="00F850E9"/>
    <w:rsid w:val="00F854F5"/>
    <w:rsid w:val="00F85DCB"/>
    <w:rsid w:val="00F87FB2"/>
    <w:rsid w:val="00F9212D"/>
    <w:rsid w:val="00F92AD6"/>
    <w:rsid w:val="00F92BD7"/>
    <w:rsid w:val="00F932EB"/>
    <w:rsid w:val="00F93452"/>
    <w:rsid w:val="00F93972"/>
    <w:rsid w:val="00F93EC7"/>
    <w:rsid w:val="00F93FDC"/>
    <w:rsid w:val="00F94673"/>
    <w:rsid w:val="00F9504C"/>
    <w:rsid w:val="00F965DA"/>
    <w:rsid w:val="00F96674"/>
    <w:rsid w:val="00F97636"/>
    <w:rsid w:val="00FA0A71"/>
    <w:rsid w:val="00FA1954"/>
    <w:rsid w:val="00FA2C29"/>
    <w:rsid w:val="00FA3C67"/>
    <w:rsid w:val="00FA406A"/>
    <w:rsid w:val="00FA5010"/>
    <w:rsid w:val="00FA5D79"/>
    <w:rsid w:val="00FA75CC"/>
    <w:rsid w:val="00FA77D8"/>
    <w:rsid w:val="00FB1256"/>
    <w:rsid w:val="00FB2935"/>
    <w:rsid w:val="00FB3234"/>
    <w:rsid w:val="00FB503A"/>
    <w:rsid w:val="00FB516C"/>
    <w:rsid w:val="00FB52EE"/>
    <w:rsid w:val="00FB5C8A"/>
    <w:rsid w:val="00FB60C3"/>
    <w:rsid w:val="00FB6F15"/>
    <w:rsid w:val="00FC2477"/>
    <w:rsid w:val="00FC2D71"/>
    <w:rsid w:val="00FC4BAC"/>
    <w:rsid w:val="00FC59E1"/>
    <w:rsid w:val="00FC69AC"/>
    <w:rsid w:val="00FC710E"/>
    <w:rsid w:val="00FC7A7B"/>
    <w:rsid w:val="00FC7F7D"/>
    <w:rsid w:val="00FD0236"/>
    <w:rsid w:val="00FD16B2"/>
    <w:rsid w:val="00FD18F4"/>
    <w:rsid w:val="00FD214B"/>
    <w:rsid w:val="00FD30C1"/>
    <w:rsid w:val="00FD5395"/>
    <w:rsid w:val="00FD54DB"/>
    <w:rsid w:val="00FD619F"/>
    <w:rsid w:val="00FD6543"/>
    <w:rsid w:val="00FD7377"/>
    <w:rsid w:val="00FD7550"/>
    <w:rsid w:val="00FD77F0"/>
    <w:rsid w:val="00FD794B"/>
    <w:rsid w:val="00FE10A1"/>
    <w:rsid w:val="00FE4C9F"/>
    <w:rsid w:val="00FE66CE"/>
    <w:rsid w:val="00FE6A05"/>
    <w:rsid w:val="00FE75D2"/>
    <w:rsid w:val="00FF0A74"/>
    <w:rsid w:val="00FF2D43"/>
    <w:rsid w:val="00FF2D73"/>
    <w:rsid w:val="00FF3E02"/>
    <w:rsid w:val="00FF4A01"/>
    <w:rsid w:val="00FF658F"/>
    <w:rsid w:val="00FF745D"/>
    <w:rsid w:val="01290F7E"/>
    <w:rsid w:val="015D1E09"/>
    <w:rsid w:val="02697903"/>
    <w:rsid w:val="02F96569"/>
    <w:rsid w:val="03EA7B21"/>
    <w:rsid w:val="05F83EAE"/>
    <w:rsid w:val="062E02FB"/>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CF328D"/>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085722"/>
    <w:rsid w:val="38B302F9"/>
    <w:rsid w:val="38F12CD3"/>
    <w:rsid w:val="38F94775"/>
    <w:rsid w:val="392971ED"/>
    <w:rsid w:val="39325651"/>
    <w:rsid w:val="3A872856"/>
    <w:rsid w:val="3B3763D1"/>
    <w:rsid w:val="3C2F6E1E"/>
    <w:rsid w:val="3C4F64BA"/>
    <w:rsid w:val="3CDA245A"/>
    <w:rsid w:val="3D1E06B7"/>
    <w:rsid w:val="3EDA0523"/>
    <w:rsid w:val="3F2B77E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7E34BF9"/>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190"/>
        <o:r id="V:Rule2" type="connector" idref="#_x0000_s1191"/>
        <o:r id="V:Rule3" type="connector" idref="#_x0000_s1194"/>
        <o:r id="V:Rule4" type="connector" idref="#_x0000_s1195"/>
        <o:r id="V:Rule5" type="connector" idref="#_x0000_s1199"/>
        <o:r id="V:Rule6" type="connector" idref="#_x0000_s1200"/>
        <o:r id="V:Rule7" type="connector" idref="#_x0000_s1229"/>
        <o:r id="V:Rule8" type="connector" idref="#_x0000_s1230"/>
        <o:r id="V:Rule9" type="connector" idref="#_x0000_s1231"/>
        <o:r id="V:Rule10" type="connector" idref="#_x0000_s1264"/>
        <o:r id="V:Rule11" type="connector" idref="#_x0000_s1268"/>
        <o:r id="V:Rule12" type="connector" idref="#_x0000_s1269"/>
        <o:r id="V:Rule13" type="connector" idref="#_x0000_s1272"/>
        <o:r id="V:Rule14" type="connector" idref="#_x0000_s1274"/>
        <o:r id="V:Rule15" type="connector" idref="#_x0000_s1315"/>
        <o:r id="V:Rule16" type="connector" idref="#_x0000_s1318"/>
        <o:r id="V:Rule17" type="connector" idref="#_x0000_s1354"/>
        <o:r id="V:Rule18" type="connector" idref="#_x0000_s1357"/>
        <o:r id="V:Rule19" type="connector" idref="#_x0000_s1360"/>
        <o:r id="V:Rule20" type="connector" idref="#_x0000_s1362"/>
        <o:r id="V:Rule21" type="connector" idref="#_x0000_s1376"/>
        <o:r id="V:Rule22" type="connector" idref="#_x0000_s1377"/>
        <o:r id="V:Rule23" type="connector" idref="#_x0000_s1378"/>
        <o:r id="V:Rule24" type="connector" idref="#_x0000_s1379"/>
        <o:r id="V:Rule25" type="connector" idref="#_x0000_s1399"/>
        <o:r id="V:Rule26" type="connector" idref="#_x0000_s1400"/>
        <o:r id="V:Rule27" type="connector" idref="#_x0000_s1406"/>
        <o:r id="V:Rule28" type="connector" idref="#_x0000_s1421"/>
        <o:r id="V:Rule29" type="connector" idref="#_x0000_s1423"/>
        <o:r id="V:Rule30" type="connector" idref="#_x0000_s1424"/>
        <o:r id="V:Rule31" type="connector" idref="#_x0000_s1425"/>
        <o:r id="V:Rule32" type="connector" idref="#_x0000_s1426"/>
        <o:r id="V:Rule33" type="connector" idref="#_x0000_s1427"/>
        <o:r id="V:Rule34" type="connector" idref="#_x0000_s1433"/>
        <o:r id="V:Rule35" type="connector" idref="#_x0000_s1446"/>
        <o:r id="V:Rule36" type="connector" idref="#_x0000_s1447"/>
        <o:r id="V:Rule37" type="connector" idref="#_x0000_s1450"/>
        <o:r id="V:Rule38" type="connector" idref="#_x0000_s1453"/>
        <o:r id="V:Rule39" type="connector" idref="#_x0000_s1454"/>
        <o:r id="V:Rule40" type="connector" idref="#_x0000_s1456"/>
        <o:r id="V:Rule41" type="connector" idref="#_x0000_s1457"/>
        <o:r id="V:Rule42" type="connector" idref="#_x0000_s1461"/>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11"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126"/>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4"/>
    <w:qFormat/>
    <w:locked/>
    <w:uiPriority w:val="0"/>
    <w:pPr>
      <w:keepNext/>
      <w:jc w:val="center"/>
      <w:outlineLvl w:val="2"/>
    </w:pPr>
    <w:rPr>
      <w:rFonts w:ascii="宋体" w:hAnsi="宋体"/>
      <w:sz w:val="28"/>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locked/>
    <w:uiPriority w:val="0"/>
    <w:pPr>
      <w:ind w:firstLine="420" w:firstLineChars="200"/>
    </w:pPr>
  </w:style>
  <w:style w:type="paragraph" w:styleId="6">
    <w:name w:val="annotation text"/>
    <w:basedOn w:val="1"/>
    <w:link w:val="36"/>
    <w:qFormat/>
    <w:uiPriority w:val="99"/>
    <w:pPr>
      <w:jc w:val="left"/>
    </w:pPr>
    <w:rPr>
      <w:kern w:val="0"/>
      <w:sz w:val="24"/>
      <w:szCs w:val="20"/>
    </w:rPr>
  </w:style>
  <w:style w:type="paragraph" w:styleId="7">
    <w:name w:val="Body Text"/>
    <w:basedOn w:val="1"/>
    <w:link w:val="35"/>
    <w:qFormat/>
    <w:uiPriority w:val="0"/>
    <w:pPr>
      <w:widowControl/>
      <w:snapToGrid w:val="0"/>
      <w:spacing w:before="60" w:after="160" w:line="259" w:lineRule="auto"/>
      <w:ind w:right="113"/>
    </w:pPr>
    <w:rPr>
      <w:kern w:val="0"/>
      <w:sz w:val="18"/>
      <w:szCs w:val="20"/>
    </w:rPr>
  </w:style>
  <w:style w:type="paragraph" w:styleId="8">
    <w:name w:val="Body Text Indent"/>
    <w:basedOn w:val="1"/>
    <w:link w:val="44"/>
    <w:qFormat/>
    <w:uiPriority w:val="0"/>
    <w:pPr>
      <w:spacing w:after="120"/>
      <w:ind w:left="420" w:leftChars="200"/>
    </w:pPr>
    <w:rPr>
      <w:kern w:val="0"/>
      <w:sz w:val="24"/>
      <w:szCs w:val="20"/>
    </w:rPr>
  </w:style>
  <w:style w:type="paragraph" w:styleId="9">
    <w:name w:val="List 2"/>
    <w:basedOn w:val="1"/>
    <w:qFormat/>
    <w:locked/>
    <w:uiPriority w:val="0"/>
    <w:pPr>
      <w:widowControl/>
      <w:jc w:val="left"/>
    </w:pPr>
    <w:rPr>
      <w:rFonts w:ascii="楷体_GB2312" w:hAnsi="宋体" w:eastAsia="楷体_GB2312"/>
      <w:color w:val="000000"/>
      <w:szCs w:val="28"/>
    </w:rPr>
  </w:style>
  <w:style w:type="paragraph" w:styleId="10">
    <w:name w:val="Plain Text"/>
    <w:basedOn w:val="1"/>
    <w:link w:val="60"/>
    <w:qFormat/>
    <w:locked/>
    <w:uiPriority w:val="0"/>
    <w:rPr>
      <w:rFonts w:ascii="宋体" w:hAnsi="Courier New"/>
      <w:szCs w:val="21"/>
    </w:rPr>
  </w:style>
  <w:style w:type="paragraph" w:styleId="11">
    <w:name w:val="Date"/>
    <w:basedOn w:val="1"/>
    <w:next w:val="1"/>
    <w:link w:val="31"/>
    <w:qFormat/>
    <w:uiPriority w:val="0"/>
    <w:pPr>
      <w:ind w:left="100" w:leftChars="2500"/>
    </w:pPr>
    <w:rPr>
      <w:kern w:val="0"/>
      <w:sz w:val="24"/>
      <w:szCs w:val="20"/>
    </w:rPr>
  </w:style>
  <w:style w:type="paragraph" w:styleId="12">
    <w:name w:val="Body Text Indent 2"/>
    <w:basedOn w:val="1"/>
    <w:link w:val="59"/>
    <w:qFormat/>
    <w:locked/>
    <w:uiPriority w:val="0"/>
    <w:pPr>
      <w:spacing w:after="120" w:line="480" w:lineRule="auto"/>
      <w:ind w:left="420" w:leftChars="200"/>
    </w:pPr>
  </w:style>
  <w:style w:type="paragraph" w:styleId="13">
    <w:name w:val="Balloon Text"/>
    <w:basedOn w:val="1"/>
    <w:link w:val="40"/>
    <w:semiHidden/>
    <w:qFormat/>
    <w:uiPriority w:val="0"/>
    <w:rPr>
      <w:kern w:val="0"/>
      <w:sz w:val="18"/>
      <w:szCs w:val="20"/>
    </w:rPr>
  </w:style>
  <w:style w:type="paragraph" w:styleId="14">
    <w:name w:val="footer"/>
    <w:basedOn w:val="1"/>
    <w:link w:val="30"/>
    <w:qFormat/>
    <w:uiPriority w:val="99"/>
    <w:pPr>
      <w:tabs>
        <w:tab w:val="center" w:pos="4153"/>
        <w:tab w:val="right" w:pos="8306"/>
      </w:tabs>
      <w:snapToGrid w:val="0"/>
      <w:jc w:val="left"/>
    </w:pPr>
    <w:rPr>
      <w:kern w:val="0"/>
      <w:sz w:val="18"/>
      <w:szCs w:val="20"/>
    </w:rPr>
  </w:style>
  <w:style w:type="paragraph" w:styleId="15">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locked/>
    <w:uiPriority w:val="0"/>
    <w:pPr>
      <w:spacing w:line="100" w:lineRule="exact"/>
      <w:jc w:val="center"/>
    </w:pPr>
    <w:rPr>
      <w:sz w:val="24"/>
    </w:rPr>
  </w:style>
  <w:style w:type="paragraph" w:styleId="17">
    <w:name w:val="Subtitle"/>
    <w:basedOn w:val="1"/>
    <w:next w:val="1"/>
    <w:link w:val="70"/>
    <w:qFormat/>
    <w:locked/>
    <w:uiPriority w:val="11"/>
    <w:pPr>
      <w:spacing w:before="240" w:after="60" w:line="312" w:lineRule="auto"/>
      <w:jc w:val="center"/>
      <w:outlineLvl w:val="1"/>
    </w:pPr>
    <w:rPr>
      <w:rFonts w:ascii="Calibri Light" w:hAnsi="Calibri Light" w:eastAsia="仿宋_GB2312"/>
      <w:b/>
      <w:bCs/>
      <w:kern w:val="28"/>
      <w:sz w:val="32"/>
      <w:szCs w:val="32"/>
    </w:rPr>
  </w:style>
  <w:style w:type="paragraph" w:styleId="18">
    <w:name w:val="Body Text Indent 3"/>
    <w:basedOn w:val="1"/>
    <w:link w:val="86"/>
    <w:qFormat/>
    <w:locked/>
    <w:uiPriority w:val="0"/>
    <w:pPr>
      <w:spacing w:after="120"/>
      <w:ind w:left="420" w:leftChars="200"/>
    </w:pPr>
    <w:rPr>
      <w:sz w:val="16"/>
      <w:szCs w:val="16"/>
    </w:rPr>
  </w:style>
  <w:style w:type="paragraph" w:styleId="19">
    <w:name w:val="Body Text 2"/>
    <w:basedOn w:val="1"/>
    <w:link w:val="65"/>
    <w:qFormat/>
    <w:locked/>
    <w:uiPriority w:val="0"/>
    <w:pPr>
      <w:spacing w:after="120" w:line="480" w:lineRule="auto"/>
    </w:pPr>
  </w:style>
  <w:style w:type="paragraph" w:styleId="20">
    <w:name w:val="Normal (Web)"/>
    <w:basedOn w:val="1"/>
    <w:link w:val="33"/>
    <w:qFormat/>
    <w:uiPriority w:val="0"/>
    <w:pPr>
      <w:widowControl/>
      <w:spacing w:before="100" w:beforeAutospacing="1" w:after="100" w:afterAutospacing="1"/>
      <w:jc w:val="left"/>
    </w:pPr>
    <w:rPr>
      <w:rFonts w:ascii="宋体" w:hAnsi="宋体"/>
      <w:kern w:val="0"/>
      <w:sz w:val="24"/>
      <w:szCs w:val="20"/>
    </w:rPr>
  </w:style>
  <w:style w:type="paragraph" w:styleId="21">
    <w:name w:val="Title"/>
    <w:basedOn w:val="1"/>
    <w:link w:val="88"/>
    <w:qFormat/>
    <w:locked/>
    <w:uiPriority w:val="0"/>
    <w:pPr>
      <w:spacing w:before="240" w:after="60"/>
      <w:jc w:val="center"/>
      <w:outlineLvl w:val="0"/>
    </w:pPr>
    <w:rPr>
      <w:rFonts w:ascii="Arial" w:hAnsi="Arial"/>
      <w:b/>
      <w:bCs/>
      <w:kern w:val="0"/>
      <w:sz w:val="32"/>
      <w:szCs w:val="32"/>
    </w:rPr>
  </w:style>
  <w:style w:type="paragraph" w:styleId="22">
    <w:name w:val="annotation subject"/>
    <w:basedOn w:val="6"/>
    <w:next w:val="6"/>
    <w:link w:val="41"/>
    <w:semiHidden/>
    <w:qFormat/>
    <w:uiPriority w:val="0"/>
    <w:rPr>
      <w:b/>
      <w:kern w:val="2"/>
    </w:rPr>
  </w:style>
  <w:style w:type="paragraph" w:styleId="23">
    <w:name w:val="Body Text First Indent"/>
    <w:basedOn w:val="7"/>
    <w:link w:val="85"/>
    <w:qFormat/>
    <w:locked/>
    <w:uiPriority w:val="0"/>
    <w:pPr>
      <w:widowControl w:val="0"/>
      <w:snapToGrid/>
      <w:spacing w:before="0" w:after="120" w:line="240" w:lineRule="auto"/>
      <w:ind w:right="0" w:firstLine="420" w:firstLineChars="100"/>
    </w:pPr>
    <w:rPr>
      <w:kern w:val="2"/>
      <w:sz w:val="21"/>
      <w:szCs w:val="24"/>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locked/>
    <w:uiPriority w:val="0"/>
  </w:style>
  <w:style w:type="character" w:styleId="28">
    <w:name w:val="Emphasis"/>
    <w:qFormat/>
    <w:locked/>
    <w:uiPriority w:val="0"/>
    <w:rPr>
      <w:color w:val="CC0000"/>
    </w:rPr>
  </w:style>
  <w:style w:type="character" w:styleId="29">
    <w:name w:val="annotation reference"/>
    <w:semiHidden/>
    <w:qFormat/>
    <w:uiPriority w:val="0"/>
    <w:rPr>
      <w:sz w:val="21"/>
    </w:rPr>
  </w:style>
  <w:style w:type="character" w:customStyle="1" w:styleId="30">
    <w:name w:val="页脚 Char"/>
    <w:link w:val="14"/>
    <w:qFormat/>
    <w:locked/>
    <w:uiPriority w:val="99"/>
    <w:rPr>
      <w:sz w:val="18"/>
    </w:rPr>
  </w:style>
  <w:style w:type="character" w:customStyle="1" w:styleId="31">
    <w:name w:val="日期 Char"/>
    <w:link w:val="11"/>
    <w:qFormat/>
    <w:locked/>
    <w:uiPriority w:val="0"/>
    <w:rPr>
      <w:rFonts w:ascii="Times New Roman" w:hAnsi="Times New Roman" w:eastAsia="宋体"/>
      <w:sz w:val="24"/>
    </w:rPr>
  </w:style>
  <w:style w:type="character" w:customStyle="1" w:styleId="32">
    <w:name w:val="页脚 字符"/>
    <w:basedOn w:val="26"/>
    <w:qFormat/>
    <w:uiPriority w:val="99"/>
  </w:style>
  <w:style w:type="character" w:customStyle="1" w:styleId="33">
    <w:name w:val="普通(网站) Char"/>
    <w:link w:val="20"/>
    <w:qFormat/>
    <w:locked/>
    <w:uiPriority w:val="0"/>
    <w:rPr>
      <w:rFonts w:ascii="宋体" w:hAnsi="宋体" w:eastAsia="宋体"/>
      <w:sz w:val="24"/>
    </w:rPr>
  </w:style>
  <w:style w:type="character" w:customStyle="1" w:styleId="34">
    <w:name w:val="正文文本 字符1"/>
    <w:semiHidden/>
    <w:qFormat/>
    <w:uiPriority w:val="0"/>
    <w:rPr>
      <w:rFonts w:ascii="Times New Roman" w:hAnsi="Times New Roman" w:eastAsia="宋体"/>
      <w:sz w:val="24"/>
    </w:rPr>
  </w:style>
  <w:style w:type="character" w:customStyle="1" w:styleId="35">
    <w:name w:val="正文文本 Char"/>
    <w:link w:val="7"/>
    <w:qFormat/>
    <w:locked/>
    <w:uiPriority w:val="0"/>
    <w:rPr>
      <w:sz w:val="18"/>
    </w:rPr>
  </w:style>
  <w:style w:type="character" w:customStyle="1" w:styleId="36">
    <w:name w:val="批注文字 Char"/>
    <w:link w:val="6"/>
    <w:qFormat/>
    <w:locked/>
    <w:uiPriority w:val="99"/>
    <w:rPr>
      <w:rFonts w:ascii="Times New Roman" w:hAnsi="Times New Roman" w:eastAsia="宋体"/>
      <w:sz w:val="24"/>
    </w:rPr>
  </w:style>
  <w:style w:type="character" w:customStyle="1" w:styleId="37">
    <w:name w:val="表格 Char"/>
    <w:link w:val="38"/>
    <w:qFormat/>
    <w:locked/>
    <w:uiPriority w:val="0"/>
    <w:rPr>
      <w:rFonts w:ascii="宋体"/>
      <w:sz w:val="21"/>
    </w:rPr>
  </w:style>
  <w:style w:type="paragraph" w:customStyle="1" w:styleId="38">
    <w:name w:val="表格"/>
    <w:basedOn w:val="1"/>
    <w:next w:val="1"/>
    <w:link w:val="37"/>
    <w:qFormat/>
    <w:uiPriority w:val="0"/>
    <w:pPr>
      <w:adjustRightInd w:val="0"/>
      <w:snapToGrid w:val="0"/>
      <w:spacing w:beforeLines="10" w:afterLines="10" w:line="259" w:lineRule="auto"/>
      <w:jc w:val="center"/>
    </w:pPr>
    <w:rPr>
      <w:rFonts w:ascii="宋体"/>
      <w:kern w:val="0"/>
      <w:szCs w:val="20"/>
    </w:rPr>
  </w:style>
  <w:style w:type="character" w:customStyle="1" w:styleId="39">
    <w:name w:val="日期 字符"/>
    <w:semiHidden/>
    <w:qFormat/>
    <w:uiPriority w:val="0"/>
    <w:rPr>
      <w:rFonts w:ascii="Times New Roman" w:hAnsi="Times New Roman" w:eastAsia="宋体"/>
      <w:sz w:val="24"/>
    </w:rPr>
  </w:style>
  <w:style w:type="character" w:customStyle="1" w:styleId="40">
    <w:name w:val="批注框文本 Char"/>
    <w:link w:val="13"/>
    <w:semiHidden/>
    <w:qFormat/>
    <w:locked/>
    <w:uiPriority w:val="0"/>
    <w:rPr>
      <w:rFonts w:ascii="Times New Roman" w:hAnsi="Times New Roman" w:eastAsia="宋体"/>
      <w:sz w:val="18"/>
    </w:rPr>
  </w:style>
  <w:style w:type="character" w:customStyle="1" w:styleId="41">
    <w:name w:val="批注主题 Char"/>
    <w:link w:val="22"/>
    <w:semiHidden/>
    <w:qFormat/>
    <w:locked/>
    <w:uiPriority w:val="0"/>
    <w:rPr>
      <w:rFonts w:ascii="Times New Roman" w:hAnsi="Times New Roman" w:eastAsia="宋体"/>
      <w:b/>
      <w:kern w:val="2"/>
      <w:sz w:val="24"/>
    </w:rPr>
  </w:style>
  <w:style w:type="character" w:customStyle="1" w:styleId="42">
    <w:name w:val="页眉 Char"/>
    <w:link w:val="15"/>
    <w:qFormat/>
    <w:locked/>
    <w:uiPriority w:val="0"/>
    <w:rPr>
      <w:sz w:val="18"/>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正文文本缩进 Char"/>
    <w:link w:val="8"/>
    <w:semiHidden/>
    <w:qFormat/>
    <w:locked/>
    <w:uiPriority w:val="0"/>
    <w:rPr>
      <w:rFonts w:ascii="Times New Roman" w:hAnsi="Times New Roman" w:eastAsia="宋体"/>
      <w:sz w:val="24"/>
    </w:rPr>
  </w:style>
  <w:style w:type="paragraph" w:customStyle="1" w:styleId="4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7">
    <w:name w:val="表内字1 Char"/>
    <w:link w:val="48"/>
    <w:qFormat/>
    <w:uiPriority w:val="0"/>
    <w:rPr>
      <w:color w:val="000000"/>
      <w:kern w:val="2"/>
      <w:sz w:val="22"/>
      <w:szCs w:val="21"/>
    </w:rPr>
  </w:style>
  <w:style w:type="paragraph" w:customStyle="1" w:styleId="48">
    <w:name w:val="表内字1"/>
    <w:basedOn w:val="1"/>
    <w:link w:val="47"/>
    <w:qFormat/>
    <w:uiPriority w:val="0"/>
    <w:pPr>
      <w:adjustRightInd w:val="0"/>
      <w:snapToGrid w:val="0"/>
      <w:spacing w:line="300" w:lineRule="exact"/>
      <w:jc w:val="center"/>
    </w:pPr>
    <w:rPr>
      <w:color w:val="000000"/>
      <w:sz w:val="22"/>
      <w:szCs w:val="21"/>
    </w:rPr>
  </w:style>
  <w:style w:type="character" w:customStyle="1" w:styleId="49">
    <w:name w:val="样式6565656 Char"/>
    <w:link w:val="50"/>
    <w:qFormat/>
    <w:uiPriority w:val="0"/>
    <w:rPr>
      <w:rFonts w:hAnsi="宋体"/>
      <w:bCs/>
      <w:sz w:val="24"/>
      <w:szCs w:val="24"/>
    </w:rPr>
  </w:style>
  <w:style w:type="paragraph" w:customStyle="1" w:styleId="50">
    <w:name w:val="样式6565656"/>
    <w:basedOn w:val="1"/>
    <w:link w:val="49"/>
    <w:qFormat/>
    <w:uiPriority w:val="0"/>
    <w:pPr>
      <w:adjustRightInd w:val="0"/>
      <w:snapToGrid w:val="0"/>
      <w:spacing w:line="460" w:lineRule="atLeast"/>
      <w:ind w:firstLine="480" w:firstLineChars="200"/>
      <w:jc w:val="left"/>
    </w:pPr>
    <w:rPr>
      <w:rFonts w:hAnsi="宋体"/>
      <w:bCs/>
      <w:kern w:val="0"/>
      <w:sz w:val="24"/>
    </w:rPr>
  </w:style>
  <w:style w:type="character" w:customStyle="1" w:styleId="51">
    <w:name w:val="正文 首行缩进:  2 字符 Char"/>
    <w:link w:val="52"/>
    <w:qFormat/>
    <w:locked/>
    <w:uiPriority w:val="0"/>
    <w:rPr>
      <w:b/>
      <w:kern w:val="2"/>
      <w:sz w:val="24"/>
    </w:rPr>
  </w:style>
  <w:style w:type="paragraph" w:customStyle="1" w:styleId="52">
    <w:name w:val="正文 首行缩进:  2 字符"/>
    <w:basedOn w:val="1"/>
    <w:link w:val="51"/>
    <w:qFormat/>
    <w:uiPriority w:val="0"/>
    <w:pPr>
      <w:spacing w:line="460" w:lineRule="exact"/>
      <w:jc w:val="left"/>
    </w:pPr>
    <w:rPr>
      <w:b/>
      <w:sz w:val="24"/>
      <w:szCs w:val="20"/>
    </w:rPr>
  </w:style>
  <w:style w:type="paragraph" w:customStyle="1" w:styleId="53">
    <w:name w:val="样式 两端对齐 首行缩进:  0 字符"/>
    <w:basedOn w:val="1"/>
    <w:qFormat/>
    <w:uiPriority w:val="0"/>
    <w:pPr>
      <w:spacing w:line="360" w:lineRule="auto"/>
      <w:ind w:firstLine="482"/>
    </w:pPr>
    <w:rPr>
      <w:rFonts w:cs="宋体"/>
      <w:sz w:val="24"/>
      <w:szCs w:val="20"/>
    </w:rPr>
  </w:style>
  <w:style w:type="paragraph" w:customStyle="1" w:styleId="54">
    <w:name w:val="样式 小四 行距: 固定值 25 磅"/>
    <w:basedOn w:val="1"/>
    <w:qFormat/>
    <w:uiPriority w:val="0"/>
    <w:pPr>
      <w:spacing w:line="500" w:lineRule="exact"/>
      <w:ind w:firstLine="480" w:firstLineChars="200"/>
    </w:pPr>
    <w:rPr>
      <w:rFonts w:cs="宋体"/>
      <w:sz w:val="24"/>
      <w:szCs w:val="20"/>
    </w:rPr>
  </w:style>
  <w:style w:type="character" w:customStyle="1" w:styleId="55">
    <w:name w:val="表格内容 Char"/>
    <w:link w:val="56"/>
    <w:qFormat/>
    <w:locked/>
    <w:uiPriority w:val="0"/>
    <w:rPr>
      <w:rFonts w:ascii="宋体" w:hAnsi="宋体" w:eastAsia="仿宋"/>
      <w:szCs w:val="21"/>
      <w:lang w:val="en-US" w:eastAsia="zh-CN" w:bidi="ar-SA"/>
    </w:rPr>
  </w:style>
  <w:style w:type="paragraph" w:customStyle="1" w:styleId="56">
    <w:name w:val="表格内容"/>
    <w:link w:val="55"/>
    <w:qFormat/>
    <w:uiPriority w:val="0"/>
    <w:pPr>
      <w:widowControl w:val="0"/>
      <w:spacing w:line="0" w:lineRule="atLeast"/>
      <w:jc w:val="center"/>
    </w:pPr>
    <w:rPr>
      <w:rFonts w:ascii="宋体" w:hAnsi="宋体" w:eastAsia="仿宋" w:cs="Times New Roman"/>
      <w:szCs w:val="21"/>
      <w:lang w:val="en-US" w:eastAsia="zh-CN" w:bidi="ar-SA"/>
    </w:rPr>
  </w:style>
  <w:style w:type="character" w:customStyle="1" w:styleId="57">
    <w:name w:val="报告书正文 Char"/>
    <w:link w:val="58"/>
    <w:qFormat/>
    <w:locked/>
    <w:uiPriority w:val="0"/>
    <w:rPr>
      <w:bCs/>
      <w:snapToGrid w:val="0"/>
      <w:color w:val="0000FF"/>
      <w:sz w:val="24"/>
      <w:szCs w:val="24"/>
    </w:rPr>
  </w:style>
  <w:style w:type="paragraph" w:customStyle="1" w:styleId="58">
    <w:name w:val="报告书正文"/>
    <w:basedOn w:val="12"/>
    <w:link w:val="57"/>
    <w:qFormat/>
    <w:uiPriority w:val="0"/>
    <w:pPr>
      <w:tabs>
        <w:tab w:val="left" w:pos="6300"/>
      </w:tabs>
      <w:adjustRightInd w:val="0"/>
      <w:snapToGrid w:val="0"/>
      <w:spacing w:after="0" w:line="240" w:lineRule="auto"/>
      <w:ind w:left="0" w:leftChars="0" w:firstLine="480" w:firstLineChars="200"/>
    </w:pPr>
    <w:rPr>
      <w:bCs/>
      <w:snapToGrid w:val="0"/>
      <w:color w:val="0000FF"/>
      <w:kern w:val="0"/>
      <w:sz w:val="24"/>
    </w:rPr>
  </w:style>
  <w:style w:type="character" w:customStyle="1" w:styleId="59">
    <w:name w:val="正文文本缩进 2 Char"/>
    <w:link w:val="12"/>
    <w:qFormat/>
    <w:uiPriority w:val="0"/>
    <w:rPr>
      <w:kern w:val="2"/>
      <w:sz w:val="21"/>
      <w:szCs w:val="24"/>
    </w:rPr>
  </w:style>
  <w:style w:type="character" w:customStyle="1" w:styleId="60">
    <w:name w:val="纯文本 Char"/>
    <w:link w:val="10"/>
    <w:qFormat/>
    <w:uiPriority w:val="0"/>
    <w:rPr>
      <w:rFonts w:ascii="宋体" w:hAnsi="Courier New" w:cs="Courier New"/>
      <w:kern w:val="2"/>
      <w:sz w:val="21"/>
      <w:szCs w:val="21"/>
    </w:rPr>
  </w:style>
  <w:style w:type="character" w:customStyle="1" w:styleId="61">
    <w:name w:val="纯文本 Char1"/>
    <w:qFormat/>
    <w:uiPriority w:val="0"/>
    <w:rPr>
      <w:rFonts w:ascii="宋体" w:hAnsi="Courier New" w:cs="Courier New"/>
      <w:kern w:val="2"/>
      <w:sz w:val="21"/>
      <w:szCs w:val="21"/>
    </w:rPr>
  </w:style>
  <w:style w:type="paragraph" w:customStyle="1" w:styleId="62">
    <w:name w:val="正文首行缩进:  2 字符"/>
    <w:basedOn w:val="1"/>
    <w:qFormat/>
    <w:uiPriority w:val="0"/>
    <w:pPr>
      <w:spacing w:line="500" w:lineRule="exact"/>
      <w:ind w:firstLine="480" w:firstLineChars="200"/>
    </w:pPr>
    <w:rPr>
      <w:sz w:val="24"/>
      <w:szCs w:val="20"/>
    </w:rPr>
  </w:style>
  <w:style w:type="character" w:customStyle="1" w:styleId="63">
    <w:name w:val="样式1 Char1"/>
    <w:link w:val="64"/>
    <w:qFormat/>
    <w:uiPriority w:val="0"/>
    <w:rPr>
      <w:rFonts w:ascii="宋体" w:hAnsi="宋体"/>
      <w:sz w:val="28"/>
    </w:rPr>
  </w:style>
  <w:style w:type="paragraph" w:customStyle="1" w:styleId="64">
    <w:name w:val="样式1"/>
    <w:basedOn w:val="1"/>
    <w:link w:val="63"/>
    <w:qFormat/>
    <w:uiPriority w:val="0"/>
    <w:pPr>
      <w:adjustRightInd w:val="0"/>
      <w:spacing w:line="360" w:lineRule="auto"/>
      <w:ind w:left="50" w:leftChars="50" w:right="50" w:rightChars="50" w:firstLine="200" w:firstLineChars="200"/>
      <w:jc w:val="left"/>
      <w:textAlignment w:val="baseline"/>
    </w:pPr>
    <w:rPr>
      <w:rFonts w:ascii="宋体" w:hAnsi="宋体"/>
      <w:kern w:val="0"/>
      <w:sz w:val="28"/>
      <w:szCs w:val="20"/>
    </w:rPr>
  </w:style>
  <w:style w:type="character" w:customStyle="1" w:styleId="65">
    <w:name w:val="正文文本 2 Char"/>
    <w:link w:val="19"/>
    <w:qFormat/>
    <w:uiPriority w:val="0"/>
    <w:rPr>
      <w:kern w:val="2"/>
      <w:sz w:val="21"/>
      <w:szCs w:val="24"/>
    </w:rPr>
  </w:style>
  <w:style w:type="character" w:customStyle="1" w:styleId="66">
    <w:name w:val="样式 正文文本缩进 + (中文) 仿宋_GB2312 左侧:  0 厘米 行距: 1.5 倍行距 首行缩进:  2 字符 Char"/>
    <w:link w:val="67"/>
    <w:qFormat/>
    <w:uiPriority w:val="0"/>
    <w:rPr>
      <w:rFonts w:ascii="楷体_GB2312" w:hAnsi="宋体" w:eastAsia="楷体_GB2312" w:cs="宋体"/>
      <w:sz w:val="24"/>
      <w:szCs w:val="24"/>
    </w:rPr>
  </w:style>
  <w:style w:type="paragraph" w:customStyle="1" w:styleId="67">
    <w:name w:val="样式 正文文本缩进 + (中文) 仿宋_GB2312 左侧:  0 厘米 行距: 1.5 倍行距 首行缩进:  2 字符"/>
    <w:basedOn w:val="1"/>
    <w:next w:val="1"/>
    <w:link w:val="66"/>
    <w:qFormat/>
    <w:uiPriority w:val="0"/>
    <w:pPr>
      <w:widowControl/>
      <w:spacing w:line="360" w:lineRule="auto"/>
      <w:ind w:firstLine="600" w:firstLineChars="250"/>
      <w:jc w:val="left"/>
    </w:pPr>
    <w:rPr>
      <w:rFonts w:ascii="楷体_GB2312" w:hAnsi="宋体" w:eastAsia="楷体_GB2312"/>
      <w:kern w:val="0"/>
      <w:sz w:val="24"/>
    </w:rPr>
  </w:style>
  <w:style w:type="character" w:customStyle="1" w:styleId="68">
    <w:name w:val="表体 Char"/>
    <w:link w:val="69"/>
    <w:qFormat/>
    <w:locked/>
    <w:uiPriority w:val="0"/>
    <w:rPr>
      <w:color w:val="000080"/>
      <w:kern w:val="2"/>
      <w:sz w:val="21"/>
      <w:szCs w:val="24"/>
      <w:lang w:val="en-US" w:eastAsia="zh-CN" w:bidi="ar-SA"/>
    </w:rPr>
  </w:style>
  <w:style w:type="paragraph" w:customStyle="1" w:styleId="69">
    <w:name w:val="表体"/>
    <w:link w:val="68"/>
    <w:qFormat/>
    <w:uiPriority w:val="0"/>
    <w:pPr>
      <w:spacing w:line="240" w:lineRule="atLeast"/>
      <w:jc w:val="center"/>
    </w:pPr>
    <w:rPr>
      <w:rFonts w:ascii="Times New Roman" w:hAnsi="Times New Roman" w:eastAsia="宋体" w:cs="Times New Roman"/>
      <w:color w:val="000080"/>
      <w:kern w:val="2"/>
      <w:sz w:val="21"/>
      <w:szCs w:val="24"/>
      <w:lang w:val="en-US" w:eastAsia="zh-CN" w:bidi="ar-SA"/>
    </w:rPr>
  </w:style>
  <w:style w:type="character" w:customStyle="1" w:styleId="70">
    <w:name w:val="副标题 Char1"/>
    <w:link w:val="17"/>
    <w:qFormat/>
    <w:locked/>
    <w:uiPriority w:val="11"/>
    <w:rPr>
      <w:rFonts w:ascii="Calibri Light" w:hAnsi="Calibri Light" w:eastAsia="仿宋_GB2312"/>
      <w:b/>
      <w:bCs/>
      <w:kern w:val="28"/>
      <w:sz w:val="32"/>
      <w:szCs w:val="32"/>
    </w:rPr>
  </w:style>
  <w:style w:type="character" w:customStyle="1" w:styleId="71">
    <w:name w:val="副标题 Char"/>
    <w:qFormat/>
    <w:uiPriority w:val="11"/>
    <w:rPr>
      <w:rFonts w:ascii="Cambria" w:hAnsi="Cambria" w:cs="Times New Roman"/>
      <w:b/>
      <w:bCs/>
      <w:kern w:val="28"/>
      <w:sz w:val="32"/>
      <w:szCs w:val="32"/>
    </w:rPr>
  </w:style>
  <w:style w:type="character" w:customStyle="1" w:styleId="72">
    <w:name w:val="样式 首行缩进:  2 字符 Char"/>
    <w:link w:val="73"/>
    <w:qFormat/>
    <w:uiPriority w:val="0"/>
    <w:rPr>
      <w:rFonts w:ascii="宋体" w:hAnsi="宋体" w:cs="宋体"/>
      <w:color w:val="000000"/>
      <w:sz w:val="24"/>
      <w:lang w:eastAsia="en-US" w:bidi="en-US"/>
    </w:rPr>
  </w:style>
  <w:style w:type="paragraph" w:customStyle="1" w:styleId="73">
    <w:name w:val="样式 首行缩进:  2 字符"/>
    <w:basedOn w:val="1"/>
    <w:link w:val="72"/>
    <w:qFormat/>
    <w:uiPriority w:val="0"/>
    <w:pPr>
      <w:widowControl/>
      <w:spacing w:line="360" w:lineRule="auto"/>
      <w:ind w:firstLine="420" w:firstLineChars="200"/>
      <w:jc w:val="left"/>
    </w:pPr>
    <w:rPr>
      <w:rFonts w:ascii="宋体" w:hAnsi="宋体" w:cs="宋体"/>
      <w:color w:val="000000"/>
      <w:kern w:val="0"/>
      <w:sz w:val="24"/>
      <w:szCs w:val="20"/>
      <w:lang w:eastAsia="en-US" w:bidi="en-US"/>
    </w:rPr>
  </w:style>
  <w:style w:type="character" w:customStyle="1" w:styleId="74">
    <w:name w:val="标题 3 Char"/>
    <w:link w:val="4"/>
    <w:qFormat/>
    <w:uiPriority w:val="0"/>
    <w:rPr>
      <w:rFonts w:ascii="宋体" w:hAnsi="宋体"/>
      <w:kern w:val="2"/>
      <w:sz w:val="28"/>
    </w:rPr>
  </w:style>
  <w:style w:type="paragraph" w:customStyle="1" w:styleId="75">
    <w:name w:val="样式 小四 行距: 固定值 16 磅"/>
    <w:basedOn w:val="1"/>
    <w:qFormat/>
    <w:uiPriority w:val="0"/>
    <w:pPr>
      <w:widowControl/>
      <w:snapToGrid w:val="0"/>
      <w:spacing w:line="400" w:lineRule="exact"/>
      <w:ind w:firstLine="480" w:firstLineChars="200"/>
      <w:jc w:val="left"/>
    </w:pPr>
    <w:rPr>
      <w:rFonts w:ascii="宋体" w:hAnsi="宋体" w:cs="Dutch801 Rm BT"/>
      <w:kern w:val="0"/>
      <w:sz w:val="24"/>
    </w:rPr>
  </w:style>
  <w:style w:type="paragraph" w:customStyle="1" w:styleId="76">
    <w:name w:val="Table Paragraph"/>
    <w:basedOn w:val="1"/>
    <w:qFormat/>
    <w:uiPriority w:val="1"/>
    <w:pPr>
      <w:autoSpaceDE w:val="0"/>
      <w:autoSpaceDN w:val="0"/>
      <w:adjustRightInd w:val="0"/>
      <w:jc w:val="left"/>
    </w:pPr>
    <w:rPr>
      <w:rFonts w:eastAsia="等线"/>
      <w:kern w:val="0"/>
      <w:sz w:val="24"/>
    </w:rPr>
  </w:style>
  <w:style w:type="paragraph" w:customStyle="1" w:styleId="77">
    <w:name w:val="Default"/>
    <w:link w:val="129"/>
    <w:qFormat/>
    <w:uiPriority w:val="0"/>
    <w:pPr>
      <w:widowControl w:val="0"/>
      <w:autoSpaceDE w:val="0"/>
      <w:autoSpaceDN w:val="0"/>
      <w:adjustRightInd w:val="0"/>
    </w:pPr>
    <w:rPr>
      <w:rFonts w:ascii="宋体" w:hAnsi="宋体" w:eastAsia="宋体" w:cs="Times New Roman"/>
      <w:color w:val="000000"/>
      <w:sz w:val="24"/>
      <w:szCs w:val="24"/>
      <w:lang w:val="en-US" w:eastAsia="zh-CN" w:bidi="ar-SA"/>
    </w:rPr>
  </w:style>
  <w:style w:type="character" w:customStyle="1" w:styleId="78">
    <w:name w:val="3级标题 Char"/>
    <w:link w:val="79"/>
    <w:qFormat/>
    <w:uiPriority w:val="0"/>
    <w:rPr>
      <w:snapToGrid w:val="0"/>
      <w:sz w:val="24"/>
    </w:rPr>
  </w:style>
  <w:style w:type="paragraph" w:customStyle="1" w:styleId="79">
    <w:name w:val="3级标题"/>
    <w:basedOn w:val="1"/>
    <w:link w:val="78"/>
    <w:qFormat/>
    <w:uiPriority w:val="0"/>
    <w:pPr>
      <w:keepNext/>
      <w:keepLines/>
      <w:widowControl/>
      <w:adjustRightInd w:val="0"/>
      <w:snapToGrid w:val="0"/>
      <w:spacing w:beforeLines="50" w:line="300" w:lineRule="auto"/>
      <w:outlineLvl w:val="2"/>
    </w:pPr>
    <w:rPr>
      <w:snapToGrid w:val="0"/>
      <w:kern w:val="0"/>
      <w:sz w:val="24"/>
      <w:szCs w:val="20"/>
    </w:rPr>
  </w:style>
  <w:style w:type="character" w:customStyle="1" w:styleId="80">
    <w:name w:val="正文缩进 Char"/>
    <w:link w:val="5"/>
    <w:qFormat/>
    <w:uiPriority w:val="0"/>
    <w:rPr>
      <w:kern w:val="2"/>
      <w:sz w:val="21"/>
      <w:szCs w:val="24"/>
    </w:rPr>
  </w:style>
  <w:style w:type="paragraph" w:customStyle="1" w:styleId="81">
    <w:name w:val="xl31"/>
    <w:basedOn w:val="1"/>
    <w:qFormat/>
    <w:uiPriority w:val="0"/>
    <w:pPr>
      <w:widowControl/>
      <w:spacing w:before="100" w:beforeAutospacing="1" w:after="100" w:afterAutospacing="1"/>
      <w:jc w:val="center"/>
    </w:pPr>
    <w:rPr>
      <w:kern w:val="0"/>
      <w:sz w:val="24"/>
    </w:rPr>
  </w:style>
  <w:style w:type="paragraph" w:customStyle="1" w:styleId="82">
    <w:name w:val="Body Text 22"/>
    <w:basedOn w:val="1"/>
    <w:qFormat/>
    <w:uiPriority w:val="0"/>
    <w:pPr>
      <w:adjustRightInd w:val="0"/>
      <w:spacing w:line="440" w:lineRule="atLeast"/>
      <w:ind w:firstLine="480"/>
    </w:pPr>
    <w:rPr>
      <w:rFonts w:eastAsia="仿宋_GB2312" w:cs="Dutch801 Rm BT"/>
      <w:sz w:val="24"/>
      <w:szCs w:val="20"/>
    </w:rPr>
  </w:style>
  <w:style w:type="character" w:customStyle="1" w:styleId="83">
    <w:name w:val="表头 Char"/>
    <w:link w:val="84"/>
    <w:qFormat/>
    <w:uiPriority w:val="0"/>
    <w:rPr>
      <w:rFonts w:eastAsia="黑体"/>
      <w:sz w:val="28"/>
    </w:rPr>
  </w:style>
  <w:style w:type="paragraph" w:customStyle="1" w:styleId="84">
    <w:name w:val="表头"/>
    <w:basedOn w:val="1"/>
    <w:link w:val="83"/>
    <w:qFormat/>
    <w:uiPriority w:val="0"/>
    <w:pPr>
      <w:overflowPunct w:val="0"/>
      <w:autoSpaceDE w:val="0"/>
      <w:autoSpaceDN w:val="0"/>
      <w:adjustRightInd w:val="0"/>
      <w:spacing w:before="60" w:after="60" w:line="360" w:lineRule="auto"/>
      <w:ind w:firstLine="539"/>
      <w:jc w:val="center"/>
      <w:textAlignment w:val="baseline"/>
    </w:pPr>
    <w:rPr>
      <w:rFonts w:eastAsia="黑体"/>
      <w:kern w:val="0"/>
      <w:sz w:val="28"/>
      <w:szCs w:val="20"/>
    </w:rPr>
  </w:style>
  <w:style w:type="character" w:customStyle="1" w:styleId="85">
    <w:name w:val="正文首行缩进 Char"/>
    <w:link w:val="23"/>
    <w:qFormat/>
    <w:uiPriority w:val="0"/>
    <w:rPr>
      <w:kern w:val="2"/>
      <w:sz w:val="21"/>
      <w:szCs w:val="24"/>
    </w:rPr>
  </w:style>
  <w:style w:type="character" w:customStyle="1" w:styleId="86">
    <w:name w:val="正文文本缩进 3 Char"/>
    <w:basedOn w:val="26"/>
    <w:link w:val="18"/>
    <w:qFormat/>
    <w:uiPriority w:val="0"/>
    <w:rPr>
      <w:kern w:val="2"/>
      <w:sz w:val="16"/>
      <w:szCs w:val="16"/>
    </w:rPr>
  </w:style>
  <w:style w:type="character" w:customStyle="1" w:styleId="87">
    <w:name w:val="标题 Char"/>
    <w:link w:val="21"/>
    <w:qFormat/>
    <w:uiPriority w:val="0"/>
    <w:rPr>
      <w:rFonts w:ascii="Arial" w:hAnsi="Arial" w:cs="Arial"/>
      <w:b/>
      <w:bCs/>
      <w:sz w:val="32"/>
      <w:szCs w:val="32"/>
    </w:rPr>
  </w:style>
  <w:style w:type="character" w:customStyle="1" w:styleId="88">
    <w:name w:val="标题 Char1"/>
    <w:basedOn w:val="26"/>
    <w:link w:val="21"/>
    <w:qFormat/>
    <w:uiPriority w:val="0"/>
    <w:rPr>
      <w:rFonts w:ascii="Cambria" w:hAnsi="Cambria" w:cs="Times New Roman"/>
      <w:b/>
      <w:bCs/>
      <w:kern w:val="2"/>
      <w:sz w:val="32"/>
      <w:szCs w:val="32"/>
    </w:rPr>
  </w:style>
  <w:style w:type="character" w:customStyle="1" w:styleId="89">
    <w:name w:val="正文四号 Char Char"/>
    <w:link w:val="90"/>
    <w:qFormat/>
    <w:uiPriority w:val="0"/>
    <w:rPr>
      <w:rFonts w:cs="宋体"/>
      <w:sz w:val="28"/>
      <w:szCs w:val="28"/>
    </w:rPr>
  </w:style>
  <w:style w:type="paragraph" w:customStyle="1" w:styleId="90">
    <w:name w:val="正文四号"/>
    <w:basedOn w:val="1"/>
    <w:link w:val="89"/>
    <w:qFormat/>
    <w:uiPriority w:val="0"/>
    <w:pPr>
      <w:spacing w:afterLines="50" w:line="360" w:lineRule="auto"/>
      <w:ind w:firstLine="200" w:firstLineChars="200"/>
    </w:pPr>
    <w:rPr>
      <w:kern w:val="0"/>
      <w:sz w:val="28"/>
      <w:szCs w:val="28"/>
    </w:rPr>
  </w:style>
  <w:style w:type="character" w:customStyle="1" w:styleId="91">
    <w:name w:val="表 Char"/>
    <w:link w:val="92"/>
    <w:qFormat/>
    <w:uiPriority w:val="0"/>
    <w:rPr>
      <w:rFonts w:hAnsi="宋体"/>
      <w:snapToGrid w:val="0"/>
      <w:sz w:val="24"/>
      <w:szCs w:val="24"/>
    </w:rPr>
  </w:style>
  <w:style w:type="paragraph" w:customStyle="1" w:styleId="92">
    <w:name w:val="表"/>
    <w:basedOn w:val="7"/>
    <w:link w:val="91"/>
    <w:qFormat/>
    <w:uiPriority w:val="0"/>
    <w:pPr>
      <w:widowControl w:val="0"/>
      <w:tabs>
        <w:tab w:val="left" w:pos="1736"/>
        <w:tab w:val="left" w:pos="2476"/>
        <w:tab w:val="left" w:pos="5505"/>
        <w:tab w:val="left" w:pos="9692"/>
      </w:tabs>
      <w:snapToGrid/>
      <w:spacing w:before="0" w:after="0" w:line="360" w:lineRule="exact"/>
      <w:ind w:right="0"/>
      <w:jc w:val="center"/>
    </w:pPr>
    <w:rPr>
      <w:rFonts w:hAnsi="宋体"/>
      <w:snapToGrid w:val="0"/>
      <w:sz w:val="24"/>
      <w:szCs w:val="24"/>
    </w:rPr>
  </w:style>
  <w:style w:type="character" w:customStyle="1" w:styleId="93">
    <w:name w:val="无间隔 Char"/>
    <w:link w:val="94"/>
    <w:qFormat/>
    <w:uiPriority w:val="1"/>
    <w:rPr>
      <w:sz w:val="21"/>
    </w:rPr>
  </w:style>
  <w:style w:type="paragraph" w:customStyle="1" w:styleId="94">
    <w:name w:val="无间隔1"/>
    <w:basedOn w:val="1"/>
    <w:next w:val="1"/>
    <w:link w:val="93"/>
    <w:qFormat/>
    <w:uiPriority w:val="1"/>
    <w:pPr>
      <w:spacing w:line="320" w:lineRule="atLeast"/>
      <w:jc w:val="center"/>
    </w:pPr>
    <w:rPr>
      <w:kern w:val="0"/>
      <w:szCs w:val="20"/>
    </w:rPr>
  </w:style>
  <w:style w:type="character" w:customStyle="1" w:styleId="95">
    <w:name w:val="表格文字 Char"/>
    <w:link w:val="96"/>
    <w:qFormat/>
    <w:uiPriority w:val="99"/>
    <w:rPr>
      <w:color w:val="0000FF"/>
    </w:rPr>
  </w:style>
  <w:style w:type="paragraph" w:customStyle="1" w:styleId="96">
    <w:name w:val="表格文字"/>
    <w:basedOn w:val="1"/>
    <w:link w:val="95"/>
    <w:qFormat/>
    <w:uiPriority w:val="0"/>
    <w:pPr>
      <w:widowControl/>
      <w:overflowPunct w:val="0"/>
      <w:autoSpaceDE w:val="0"/>
      <w:autoSpaceDN w:val="0"/>
      <w:adjustRightInd w:val="0"/>
      <w:spacing w:before="100" w:beforeAutospacing="1" w:afterLines="50" w:afterAutospacing="1" w:line="240" w:lineRule="atLeast"/>
      <w:jc w:val="center"/>
      <w:textAlignment w:val="baseline"/>
    </w:pPr>
    <w:rPr>
      <w:color w:val="0000FF"/>
      <w:kern w:val="0"/>
      <w:sz w:val="20"/>
      <w:szCs w:val="20"/>
    </w:rPr>
  </w:style>
  <w:style w:type="paragraph" w:customStyle="1" w:styleId="97">
    <w:name w:val="3谢"/>
    <w:basedOn w:val="1"/>
    <w:qFormat/>
    <w:uiPriority w:val="0"/>
    <w:pPr>
      <w:spacing w:line="480" w:lineRule="exact"/>
      <w:outlineLvl w:val="2"/>
    </w:pPr>
    <w:rPr>
      <w:b/>
      <w:color w:val="FF0000"/>
      <w:sz w:val="24"/>
    </w:rPr>
  </w:style>
  <w:style w:type="paragraph" w:customStyle="1" w:styleId="98">
    <w:name w:val="谢谢谢谢谢谢谢"/>
    <w:basedOn w:val="1"/>
    <w:qFormat/>
    <w:uiPriority w:val="0"/>
    <w:pPr>
      <w:spacing w:line="440" w:lineRule="exact"/>
      <w:ind w:firstLine="420"/>
    </w:pPr>
    <w:rPr>
      <w:bCs/>
      <w:color w:val="FF0000"/>
      <w:kern w:val="0"/>
      <w:sz w:val="24"/>
    </w:rPr>
  </w:style>
  <w:style w:type="character" w:customStyle="1" w:styleId="99">
    <w:name w:val="表格文字 Char2"/>
    <w:qFormat/>
    <w:uiPriority w:val="0"/>
    <w:rPr>
      <w:rFonts w:ascii="宋体"/>
      <w:kern w:val="2"/>
      <w:sz w:val="21"/>
      <w:szCs w:val="21"/>
    </w:rPr>
  </w:style>
  <w:style w:type="paragraph" w:customStyle="1" w:styleId="100">
    <w:name w:val="谢"/>
    <w:basedOn w:val="1"/>
    <w:qFormat/>
    <w:uiPriority w:val="0"/>
    <w:pPr>
      <w:spacing w:line="440" w:lineRule="exact"/>
      <w:ind w:firstLine="200" w:firstLineChars="200"/>
    </w:pPr>
    <w:rPr>
      <w:rFonts w:cs="宋体"/>
      <w:color w:val="FF0000"/>
      <w:sz w:val="24"/>
    </w:rPr>
  </w:style>
  <w:style w:type="paragraph" w:customStyle="1" w:styleId="101">
    <w:name w:val="表格文本"/>
    <w:basedOn w:val="1"/>
    <w:link w:val="102"/>
    <w:qFormat/>
    <w:uiPriority w:val="0"/>
    <w:pPr>
      <w:snapToGrid w:val="0"/>
      <w:jc w:val="center"/>
    </w:pPr>
    <w:rPr>
      <w:rFonts w:ascii="宋体" w:hAnsi="宋体"/>
      <w:color w:val="000000"/>
      <w:szCs w:val="21"/>
    </w:rPr>
  </w:style>
  <w:style w:type="character" w:customStyle="1" w:styleId="102">
    <w:name w:val="表格文本 Char"/>
    <w:link w:val="101"/>
    <w:qFormat/>
    <w:uiPriority w:val="0"/>
    <w:rPr>
      <w:rFonts w:ascii="宋体" w:hAnsi="宋体"/>
      <w:color w:val="000000"/>
      <w:kern w:val="2"/>
      <w:sz w:val="21"/>
      <w:szCs w:val="21"/>
    </w:rPr>
  </w:style>
  <w:style w:type="paragraph" w:customStyle="1" w:styleId="103">
    <w:name w:val="表名"/>
    <w:basedOn w:val="1"/>
    <w:qFormat/>
    <w:uiPriority w:val="0"/>
    <w:pPr>
      <w:widowControl/>
      <w:wordWrap w:val="0"/>
      <w:adjustRightInd w:val="0"/>
      <w:snapToGrid w:val="0"/>
      <w:spacing w:line="360" w:lineRule="auto"/>
      <w:ind w:firstLine="480" w:firstLineChars="200"/>
      <w:jc w:val="center"/>
    </w:pPr>
    <w:rPr>
      <w:rFonts w:ascii="Calibri" w:hAnsi="Calibri"/>
      <w:bCs/>
      <w:kern w:val="0"/>
      <w:sz w:val="24"/>
      <w:szCs w:val="22"/>
      <w:lang w:eastAsia="en-US" w:bidi="en-US"/>
    </w:rPr>
  </w:style>
  <w:style w:type="paragraph" w:customStyle="1" w:styleId="104">
    <w:name w:val="图表标题"/>
    <w:basedOn w:val="1"/>
    <w:next w:val="1"/>
    <w:qFormat/>
    <w:uiPriority w:val="0"/>
    <w:pPr>
      <w:widowControl/>
      <w:adjustRightInd w:val="0"/>
      <w:snapToGrid w:val="0"/>
      <w:spacing w:line="240" w:lineRule="exact"/>
      <w:jc w:val="center"/>
      <w:textAlignment w:val="baseline"/>
    </w:pPr>
    <w:rPr>
      <w:rFonts w:ascii="Calibri" w:hAnsi="Calibri"/>
      <w:color w:val="FF0000"/>
      <w:szCs w:val="21"/>
    </w:rPr>
  </w:style>
  <w:style w:type="paragraph" w:customStyle="1" w:styleId="105">
    <w:name w:val="样式 左 首行缩进:  1.01 厘米"/>
    <w:basedOn w:val="1"/>
    <w:qFormat/>
    <w:uiPriority w:val="0"/>
    <w:pPr>
      <w:adjustRightInd w:val="0"/>
      <w:snapToGrid w:val="0"/>
      <w:spacing w:line="460" w:lineRule="exact"/>
      <w:ind w:firstLine="200" w:firstLineChars="200"/>
    </w:pPr>
    <w:rPr>
      <w:rFonts w:cs="宋体"/>
      <w:sz w:val="26"/>
      <w:szCs w:val="26"/>
    </w:rPr>
  </w:style>
  <w:style w:type="paragraph" w:customStyle="1" w:styleId="106">
    <w:name w:val="表格内居中文字"/>
    <w:qFormat/>
    <w:uiPriority w:val="0"/>
    <w:pPr>
      <w:jc w:val="center"/>
    </w:pPr>
    <w:rPr>
      <w:rFonts w:ascii="Times New Roman" w:hAnsi="Times New Roman" w:eastAsia="宋体" w:cs="Times New Roman"/>
      <w:kern w:val="2"/>
      <w:sz w:val="21"/>
      <w:szCs w:val="24"/>
      <w:lang w:val="en-US" w:eastAsia="zh-CN" w:bidi="ar-SA"/>
    </w:rPr>
  </w:style>
  <w:style w:type="character" w:customStyle="1" w:styleId="107">
    <w:name w:val="fontstyle01"/>
    <w:qFormat/>
    <w:uiPriority w:val="0"/>
    <w:rPr>
      <w:rFonts w:hint="eastAsia" w:ascii="宋体" w:hAnsi="宋体" w:eastAsia="宋体"/>
      <w:color w:val="000000"/>
      <w:sz w:val="24"/>
      <w:szCs w:val="24"/>
    </w:rPr>
  </w:style>
  <w:style w:type="character" w:customStyle="1" w:styleId="108">
    <w:name w:val="fontstyle11"/>
    <w:qFormat/>
    <w:uiPriority w:val="0"/>
    <w:rPr>
      <w:rFonts w:hint="default" w:ascii="TimesNewRomanPSMT" w:hAnsi="TimesNewRomanPSMT"/>
      <w:color w:val="000000"/>
      <w:sz w:val="22"/>
      <w:szCs w:val="22"/>
    </w:rPr>
  </w:style>
  <w:style w:type="paragraph" w:customStyle="1" w:styleId="109">
    <w:name w:val="表内字"/>
    <w:link w:val="110"/>
    <w:qFormat/>
    <w:uiPriority w:val="0"/>
    <w:pPr>
      <w:spacing w:line="300" w:lineRule="exact"/>
      <w:jc w:val="center"/>
    </w:pPr>
    <w:rPr>
      <w:rFonts w:ascii="Times New Roman" w:hAnsi="Times New Roman" w:eastAsia="宋体" w:cs="Times New Roman"/>
      <w:sz w:val="21"/>
      <w:szCs w:val="24"/>
      <w:lang w:val="en-US" w:eastAsia="zh-CN" w:bidi="ar-SA"/>
    </w:rPr>
  </w:style>
  <w:style w:type="character" w:customStyle="1" w:styleId="110">
    <w:name w:val="表内字 Char"/>
    <w:link w:val="109"/>
    <w:qFormat/>
    <w:uiPriority w:val="0"/>
    <w:rPr>
      <w:sz w:val="21"/>
      <w:szCs w:val="24"/>
      <w:lang w:bidi="ar-SA"/>
    </w:rPr>
  </w:style>
  <w:style w:type="paragraph" w:customStyle="1" w:styleId="111">
    <w:name w:val="表内容"/>
    <w:qFormat/>
    <w:uiPriority w:val="0"/>
    <w:pPr>
      <w:framePr w:hSpace="180" w:wrap="around" w:vAnchor="text" w:hAnchor="text" w:y="1"/>
      <w:widowControl w:val="0"/>
      <w:adjustRightInd w:val="0"/>
      <w:snapToGrid w:val="0"/>
      <w:spacing w:after="100" w:afterAutospacing="1"/>
      <w:jc w:val="center"/>
    </w:pPr>
    <w:rPr>
      <w:rFonts w:ascii="Times New Roman" w:hAnsi="Times New Roman" w:eastAsia="宋体" w:cs="Times New Roman"/>
      <w:kern w:val="2"/>
      <w:sz w:val="21"/>
      <w:szCs w:val="22"/>
      <w:lang w:val="en-US" w:eastAsia="zh-CN" w:bidi="ar-SA"/>
    </w:rPr>
  </w:style>
  <w:style w:type="paragraph" w:styleId="112">
    <w:name w:val="List Paragraph"/>
    <w:basedOn w:val="1"/>
    <w:qFormat/>
    <w:uiPriority w:val="34"/>
    <w:pPr>
      <w:spacing w:line="400" w:lineRule="exact"/>
      <w:ind w:left="200" w:hanging="200" w:hangingChars="200"/>
    </w:pPr>
    <w:rPr>
      <w:sz w:val="24"/>
      <w:szCs w:val="22"/>
    </w:rPr>
  </w:style>
  <w:style w:type="paragraph" w:customStyle="1" w:styleId="113">
    <w:name w:val="表中文字"/>
    <w:basedOn w:val="1"/>
    <w:link w:val="114"/>
    <w:qFormat/>
    <w:uiPriority w:val="0"/>
    <w:pPr>
      <w:adjustRightInd w:val="0"/>
      <w:snapToGrid w:val="0"/>
      <w:jc w:val="center"/>
    </w:pPr>
  </w:style>
  <w:style w:type="character" w:customStyle="1" w:styleId="114">
    <w:name w:val="表中文字 Char1"/>
    <w:link w:val="113"/>
    <w:qFormat/>
    <w:uiPriority w:val="0"/>
    <w:rPr>
      <w:kern w:val="2"/>
      <w:sz w:val="21"/>
      <w:szCs w:val="24"/>
    </w:rPr>
  </w:style>
  <w:style w:type="paragraph" w:customStyle="1" w:styleId="115">
    <w:name w:val="表内小字"/>
    <w:basedOn w:val="1"/>
    <w:qFormat/>
    <w:uiPriority w:val="0"/>
    <w:pPr>
      <w:adjustRightInd w:val="0"/>
      <w:snapToGrid w:val="0"/>
      <w:spacing w:line="360" w:lineRule="exact"/>
      <w:jc w:val="center"/>
    </w:pPr>
    <w:rPr>
      <w:color w:val="000000"/>
      <w:szCs w:val="21"/>
    </w:rPr>
  </w:style>
  <w:style w:type="paragraph" w:customStyle="1" w:styleId="116">
    <w:name w:val="4表格标题"/>
    <w:basedOn w:val="1"/>
    <w:next w:val="1"/>
    <w:qFormat/>
    <w:uiPriority w:val="0"/>
    <w:pPr>
      <w:spacing w:line="460" w:lineRule="exact"/>
      <w:jc w:val="center"/>
      <w:outlineLvl w:val="4"/>
    </w:pPr>
    <w:rPr>
      <w:b/>
      <w:color w:val="000000"/>
      <w:sz w:val="24"/>
    </w:rPr>
  </w:style>
  <w:style w:type="paragraph" w:customStyle="1" w:styleId="117">
    <w:name w:val="【正文】"/>
    <w:basedOn w:val="1"/>
    <w:link w:val="118"/>
    <w:qFormat/>
    <w:uiPriority w:val="0"/>
    <w:pPr>
      <w:snapToGrid w:val="0"/>
      <w:spacing w:line="440" w:lineRule="exact"/>
      <w:ind w:firstLine="200" w:firstLineChars="200"/>
    </w:pPr>
    <w:rPr>
      <w:sz w:val="24"/>
      <w:szCs w:val="20"/>
    </w:rPr>
  </w:style>
  <w:style w:type="character" w:customStyle="1" w:styleId="118">
    <w:name w:val="【正文】 Char"/>
    <w:link w:val="117"/>
    <w:qFormat/>
    <w:uiPriority w:val="0"/>
    <w:rPr>
      <w:kern w:val="2"/>
      <w:sz w:val="24"/>
    </w:rPr>
  </w:style>
  <w:style w:type="character" w:customStyle="1" w:styleId="119">
    <w:name w:val="纯文本 字符"/>
    <w:qFormat/>
    <w:uiPriority w:val="0"/>
    <w:rPr>
      <w:rFonts w:ascii="宋体" w:hAnsi="Courier New"/>
      <w:kern w:val="2"/>
      <w:sz w:val="21"/>
    </w:rPr>
  </w:style>
  <w:style w:type="character" w:customStyle="1" w:styleId="120">
    <w:name w:val="我的正文 Char Char"/>
    <w:link w:val="121"/>
    <w:qFormat/>
    <w:uiPriority w:val="0"/>
    <w:rPr>
      <w:rFonts w:cs="宋体"/>
      <w:kern w:val="2"/>
      <w:sz w:val="24"/>
    </w:rPr>
  </w:style>
  <w:style w:type="paragraph" w:customStyle="1" w:styleId="121">
    <w:name w:val="我的正文"/>
    <w:basedOn w:val="1"/>
    <w:link w:val="120"/>
    <w:qFormat/>
    <w:uiPriority w:val="0"/>
    <w:pPr>
      <w:wordWrap w:val="0"/>
      <w:topLinePunct/>
      <w:spacing w:line="360" w:lineRule="auto"/>
      <w:ind w:firstLine="420" w:firstLineChars="200"/>
      <w:jc w:val="left"/>
    </w:pPr>
    <w:rPr>
      <w:sz w:val="24"/>
      <w:szCs w:val="20"/>
    </w:rPr>
  </w:style>
  <w:style w:type="character" w:customStyle="1" w:styleId="122">
    <w:name w:val="正文文本 字符"/>
    <w:qFormat/>
    <w:locked/>
    <w:uiPriority w:val="0"/>
    <w:rPr>
      <w:sz w:val="18"/>
    </w:rPr>
  </w:style>
  <w:style w:type="character" w:customStyle="1" w:styleId="123">
    <w:name w:val="标题 字符"/>
    <w:qFormat/>
    <w:uiPriority w:val="0"/>
    <w:rPr>
      <w:rFonts w:ascii="Cambria" w:hAnsi="Cambria" w:cs="Times New Roman"/>
      <w:b/>
      <w:bCs/>
      <w:kern w:val="2"/>
      <w:sz w:val="32"/>
      <w:szCs w:val="32"/>
    </w:rPr>
  </w:style>
  <w:style w:type="paragraph" w:customStyle="1" w:styleId="124">
    <w:name w:val="4小表"/>
    <w:basedOn w:val="1"/>
    <w:qFormat/>
    <w:uiPriority w:val="0"/>
    <w:pPr>
      <w:adjustRightInd w:val="0"/>
      <w:snapToGrid w:val="0"/>
      <w:jc w:val="center"/>
    </w:pPr>
    <w:rPr>
      <w:kern w:val="0"/>
      <w:szCs w:val="21"/>
    </w:rPr>
  </w:style>
  <w:style w:type="character" w:customStyle="1" w:styleId="125">
    <w:name w:val="批注文字 字符"/>
    <w:qFormat/>
    <w:locked/>
    <w:uiPriority w:val="0"/>
    <w:rPr>
      <w:rFonts w:ascii="Times New Roman" w:hAnsi="Times New Roman" w:eastAsia="宋体"/>
      <w:sz w:val="24"/>
    </w:rPr>
  </w:style>
  <w:style w:type="character" w:customStyle="1" w:styleId="126">
    <w:name w:val="标题 2 Char"/>
    <w:basedOn w:val="26"/>
    <w:link w:val="3"/>
    <w:semiHidden/>
    <w:qFormat/>
    <w:uiPriority w:val="0"/>
    <w:rPr>
      <w:rFonts w:ascii="Cambria" w:hAnsi="Cambria" w:eastAsia="宋体" w:cs="Times New Roman"/>
      <w:b/>
      <w:bCs/>
      <w:kern w:val="2"/>
      <w:sz w:val="32"/>
      <w:szCs w:val="32"/>
    </w:rPr>
  </w:style>
  <w:style w:type="character" w:customStyle="1" w:styleId="127">
    <w:name w:val="普通(网站) 字符"/>
    <w:qFormat/>
    <w:locked/>
    <w:uiPriority w:val="99"/>
    <w:rPr>
      <w:rFonts w:ascii="宋体" w:hAnsi="宋体" w:eastAsia="宋体"/>
      <w:sz w:val="24"/>
    </w:rPr>
  </w:style>
  <w:style w:type="paragraph" w:customStyle="1" w:styleId="128">
    <w:name w:val="表格格式1-2"/>
    <w:basedOn w:val="1"/>
    <w:qFormat/>
    <w:uiPriority w:val="0"/>
    <w:pPr>
      <w:spacing w:line="360" w:lineRule="auto"/>
      <w:jc w:val="center"/>
    </w:pPr>
    <w:rPr>
      <w:rFonts w:ascii="Calibri" w:hAnsi="Calibri"/>
      <w:szCs w:val="21"/>
    </w:rPr>
  </w:style>
  <w:style w:type="character" w:customStyle="1" w:styleId="129">
    <w:name w:val="Default Char"/>
    <w:link w:val="77"/>
    <w:qFormat/>
    <w:locked/>
    <w:uiPriority w:val="0"/>
    <w:rPr>
      <w:rFonts w:ascii="宋体" w:hAnsi="宋体"/>
      <w:color w:val="000000"/>
      <w:sz w:val="24"/>
      <w:szCs w:val="24"/>
      <w:lang w:bidi="ar-SA"/>
    </w:rPr>
  </w:style>
  <w:style w:type="character" w:customStyle="1" w:styleId="130">
    <w:name w:val="副标题 字符"/>
    <w:qFormat/>
    <w:locked/>
    <w:uiPriority w:val="11"/>
    <w:rPr>
      <w:rFonts w:ascii="Calibri Light" w:hAnsi="Calibri Light" w:eastAsia="仿宋_GB2312"/>
      <w:b/>
      <w:bCs/>
      <w:kern w:val="28"/>
      <w:sz w:val="32"/>
      <w:szCs w:val="32"/>
    </w:rPr>
  </w:style>
  <w:style w:type="character" w:styleId="131">
    <w:name w:val="Placeholder Text"/>
    <w:basedOn w:val="26"/>
    <w:semiHidden/>
    <w:qFormat/>
    <w:uiPriority w:val="99"/>
    <w:rPr>
      <w:color w:val="808080"/>
    </w:rPr>
  </w:style>
  <w:style w:type="paragraph" w:customStyle="1" w:styleId="132">
    <w:name w:val="表内文本"/>
    <w:basedOn w:val="1"/>
    <w:link w:val="133"/>
    <w:qFormat/>
    <w:uiPriority w:val="0"/>
    <w:pPr>
      <w:adjustRightInd w:val="0"/>
      <w:snapToGrid w:val="0"/>
      <w:spacing w:line="460" w:lineRule="atLeast"/>
      <w:ind w:firstLine="200" w:firstLineChars="200"/>
    </w:pPr>
    <w:rPr>
      <w:bCs/>
      <w:sz w:val="26"/>
      <w:szCs w:val="72"/>
    </w:rPr>
  </w:style>
  <w:style w:type="character" w:customStyle="1" w:styleId="133">
    <w:name w:val="表内文本 Char"/>
    <w:link w:val="132"/>
    <w:qFormat/>
    <w:uiPriority w:val="0"/>
    <w:rPr>
      <w:bCs/>
      <w:kern w:val="2"/>
      <w:sz w:val="26"/>
      <w:szCs w:val="72"/>
    </w:rPr>
  </w:style>
  <w:style w:type="character" w:customStyle="1" w:styleId="134">
    <w:name w:val="批注文字 Char1"/>
    <w:qFormat/>
    <w:locked/>
    <w:uiPriority w:val="99"/>
    <w:rPr>
      <w:rFonts w:ascii="Times New Roman" w:hAnsi="Times New Roman" w:eastAsia="宋体"/>
      <w:sz w:val="24"/>
    </w:rPr>
  </w:style>
  <w:style w:type="character" w:customStyle="1" w:styleId="135">
    <w:name w:val="表格格式 Char"/>
    <w:link w:val="136"/>
    <w:qFormat/>
    <w:locked/>
    <w:uiPriority w:val="0"/>
    <w:rPr>
      <w:rFonts w:asciiTheme="minorHAnsi" w:hAnsiTheme="minorHAnsi" w:eastAsiaTheme="minorEastAsia" w:cstheme="minorBidi"/>
      <w:kern w:val="2"/>
      <w:sz w:val="21"/>
      <w:szCs w:val="22"/>
    </w:rPr>
  </w:style>
  <w:style w:type="paragraph" w:customStyle="1" w:styleId="136">
    <w:name w:val="表格格式"/>
    <w:basedOn w:val="1"/>
    <w:next w:val="1"/>
    <w:link w:val="135"/>
    <w:qFormat/>
    <w:uiPriority w:val="0"/>
    <w:pPr>
      <w:adjustRightInd w:val="0"/>
      <w:snapToGrid w:val="0"/>
      <w:jc w:val="center"/>
    </w:pPr>
    <w:rPr>
      <w:rFonts w:asciiTheme="minorHAnsi" w:hAnsiTheme="minorHAnsi" w:eastAsiaTheme="minorEastAsia" w:cstheme="minorBidi"/>
      <w:szCs w:val="22"/>
    </w:rPr>
  </w:style>
  <w:style w:type="paragraph" w:customStyle="1" w:styleId="137">
    <w:name w:val="V表格文本"/>
    <w:basedOn w:val="1"/>
    <w:next w:val="1"/>
    <w:qFormat/>
    <w:uiPriority w:val="1"/>
    <w:pPr>
      <w:adjustRightInd w:val="0"/>
      <w:snapToGrid w:val="0"/>
      <w:jc w:val="center"/>
    </w:pPr>
    <w:rPr>
      <w:kern w:val="0"/>
      <w:szCs w:val="20"/>
    </w:rPr>
  </w:style>
  <w:style w:type="paragraph" w:customStyle="1" w:styleId="138">
    <w:name w:val="T表内多行"/>
    <w:basedOn w:val="1"/>
    <w:qFormat/>
    <w:uiPriority w:val="0"/>
    <w:pPr>
      <w:widowControl/>
      <w:ind w:firstLine="100" w:firstLineChars="100"/>
    </w:pPr>
    <w:rPr>
      <w:bCs/>
      <w:kern w:val="0"/>
    </w:rPr>
  </w:style>
  <w:style w:type="character" w:customStyle="1" w:styleId="139">
    <w:name w:val="报告表 正文 Char"/>
    <w:link w:val="140"/>
    <w:qFormat/>
    <w:uiPriority w:val="0"/>
    <w:rPr>
      <w:rFonts w:eastAsia="Times New Roman"/>
      <w:sz w:val="24"/>
    </w:rPr>
  </w:style>
  <w:style w:type="paragraph" w:customStyle="1" w:styleId="140">
    <w:name w:val="报告表 正文"/>
    <w:basedOn w:val="1"/>
    <w:link w:val="139"/>
    <w:qFormat/>
    <w:uiPriority w:val="0"/>
    <w:pPr>
      <w:adjustRightInd w:val="0"/>
      <w:snapToGrid w:val="0"/>
      <w:spacing w:line="480" w:lineRule="exact"/>
      <w:ind w:firstLine="200" w:firstLineChars="200"/>
    </w:pPr>
    <w:rPr>
      <w:rFonts w:eastAsia="Times New Roman"/>
      <w:kern w:val="0"/>
      <w:sz w:val="24"/>
      <w:szCs w:val="20"/>
    </w:rPr>
  </w:style>
  <w:style w:type="character" w:customStyle="1" w:styleId="141">
    <w:name w:val="表格文字 字符"/>
    <w:qFormat/>
    <w:uiPriority w:val="0"/>
    <w:rPr>
      <w:kern w:val="2"/>
      <w:sz w:val="21"/>
      <w:szCs w:val="21"/>
    </w:rPr>
  </w:style>
  <w:style w:type="paragraph" w:customStyle="1" w:styleId="142">
    <w:name w:val="表格文字长"/>
    <w:basedOn w:val="96"/>
    <w:link w:val="143"/>
    <w:qFormat/>
    <w:uiPriority w:val="0"/>
    <w:pPr>
      <w:widowControl w:val="0"/>
      <w:overflowPunct/>
      <w:autoSpaceDE/>
      <w:autoSpaceDN/>
      <w:snapToGrid w:val="0"/>
      <w:spacing w:before="0" w:beforeAutospacing="0" w:afterLines="0" w:afterAutospacing="0" w:line="240" w:lineRule="auto"/>
      <w:jc w:val="both"/>
      <w:textAlignment w:val="auto"/>
    </w:pPr>
    <w:rPr>
      <w:color w:val="auto"/>
      <w:kern w:val="2"/>
      <w:sz w:val="21"/>
      <w:szCs w:val="21"/>
    </w:rPr>
  </w:style>
  <w:style w:type="character" w:customStyle="1" w:styleId="143">
    <w:name w:val="表格文字长 字符"/>
    <w:basedOn w:val="141"/>
    <w:link w:val="142"/>
    <w:qFormat/>
    <w:uiPriority w:val="0"/>
  </w:style>
  <w:style w:type="character" w:customStyle="1" w:styleId="144">
    <w:name w:val="0表格标题 Char"/>
    <w:link w:val="145"/>
    <w:qFormat/>
    <w:uiPriority w:val="0"/>
    <w:rPr>
      <w:rFonts w:eastAsia="黑体"/>
      <w:kern w:val="2"/>
      <w:sz w:val="21"/>
      <w:szCs w:val="21"/>
    </w:rPr>
  </w:style>
  <w:style w:type="paragraph" w:customStyle="1" w:styleId="145">
    <w:name w:val="0表格标题"/>
    <w:basedOn w:val="1"/>
    <w:link w:val="144"/>
    <w:qFormat/>
    <w:uiPriority w:val="0"/>
    <w:pPr>
      <w:jc w:val="center"/>
    </w:pPr>
    <w:rPr>
      <w:rFonts w:eastAsia="黑体"/>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193"/>
    <customShpInfo spid="_x0000_s1190"/>
    <customShpInfo spid="_x0000_s1240"/>
    <customShpInfo spid="_x0000_s1192"/>
    <customShpInfo spid="_x0000_s1179"/>
    <customShpInfo spid="_x0000_s1264"/>
    <customShpInfo spid="_x0000_s1268"/>
    <customShpInfo spid="_x0000_s1229"/>
    <customShpInfo spid="_x0000_s1191"/>
    <customShpInfo spid="_x0000_s1198"/>
    <customShpInfo spid="_x0000_s1194"/>
    <customShpInfo spid="_x0000_s1241"/>
    <customShpInfo spid="_x0000_s1317"/>
    <customShpInfo spid="_x0000_s1314"/>
    <customShpInfo spid="_x0000_s1181"/>
    <customShpInfo spid="_x0000_s1197"/>
    <customShpInfo spid="_x0000_s1270"/>
    <customShpInfo spid="_x0000_s1315"/>
    <customShpInfo spid="_x0000_s1230"/>
    <customShpInfo spid="_x0000_s1195"/>
    <customShpInfo spid="_x0000_s1276"/>
    <customShpInfo spid="_x0000_s1242"/>
    <customShpInfo spid="_x0000_s1275"/>
    <customShpInfo spid="_x0000_s1274"/>
    <customShpInfo spid="_x0000_s1318"/>
    <customShpInfo spid="_x0000_s1273"/>
    <customShpInfo spid="_x0000_s1201"/>
    <customShpInfo spid="_x0000_s1269"/>
    <customShpInfo spid="_x0000_s1202"/>
    <customShpInfo spid="_x0000_s1200"/>
    <customShpInfo spid="_x0000_s1272"/>
    <customShpInfo spid="_x0000_s1231"/>
    <customShpInfo spid="_x0000_s1182"/>
    <customShpInfo spid="_x0000_s1199"/>
    <customShpInfo spid="_x0000_s1431"/>
    <customShpInfo spid="_x0000_s1428"/>
    <customShpInfo spid="_x0000_s1430"/>
    <customShpInfo spid="_x0000_s1429"/>
    <customShpInfo spid="_x0000_s1427"/>
    <customShpInfo spid="_x0000_s1426"/>
    <customShpInfo spid="_x0000_s1424"/>
    <customShpInfo spid="_x0000_s1425"/>
    <customShpInfo spid="_x0000_s1423"/>
    <customShpInfo spid="_x0000_s1422"/>
    <customShpInfo spid="_x0000_s1421"/>
    <customShpInfo spid="_x0000_s1319"/>
    <customShpInfo spid="_x0000_s1455"/>
    <customShpInfo spid="_x0000_s1447"/>
    <customShpInfo spid="_x0000_s1446"/>
    <customShpInfo spid="_x0000_s1458"/>
    <customShpInfo spid="_x0000_s1456"/>
    <customShpInfo spid="_x0000_s1449"/>
    <customShpInfo spid="_x0000_s1460"/>
    <customShpInfo spid="_x0000_s1457"/>
    <customShpInfo spid="_x0000_s1450"/>
    <customShpInfo spid="_x0000_s1463"/>
    <customShpInfo spid="_x0000_s1461"/>
    <customShpInfo spid="_x0000_s1452"/>
    <customShpInfo spid="_x0000_s1454"/>
    <customShpInfo spid="_x0000_s1453"/>
    <customShpInfo spid="_x0000_s1355"/>
    <customShpInfo spid="_x0000_s1379"/>
    <customShpInfo spid="_x0000_s1376"/>
    <customShpInfo spid="_x0000_s1358"/>
    <customShpInfo spid="_x0000_s1356"/>
    <customShpInfo spid="_x0000_s1362"/>
    <customShpInfo spid="_x0000_s1363"/>
    <customShpInfo spid="_x0000_s1361"/>
    <customShpInfo spid="_x0000_s1353"/>
    <customShpInfo spid="_x0000_s1377"/>
    <customShpInfo spid="_x0000_s1357"/>
    <customShpInfo spid="_x0000_s1360"/>
    <customShpInfo spid="_x0000_s1354"/>
    <customShpInfo spid="_x0000_s1378"/>
    <customShpInfo spid="_x0000_s1375"/>
    <customShpInfo spid="_x0000_s1432"/>
    <customShpInfo spid="_x0000_s1433"/>
    <customShpInfo spid="_x0000_s1409"/>
    <customShpInfo spid="_x0000_s1402"/>
    <customShpInfo spid="_x0000_s1401"/>
    <customShpInfo spid="_x0000_s1400"/>
    <customShpInfo spid="_x0000_s1398"/>
    <customShpInfo spid="_x0000_s1403"/>
    <customShpInfo spid="_x0000_s1399"/>
    <customShpInfo spid="_x0000_s1404"/>
    <customShpInfo spid="_x0000_s1405"/>
    <customShpInfo spid="_x0000_s1408"/>
    <customShpInfo spid="_x0000_s1406"/>
    <customShpInfo spid="_x0000_s1407"/>
    <customShpInfo spid="_x0000_s14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89</Pages>
  <Words>22708</Words>
  <Characters>23918</Characters>
  <Lines>509</Lines>
  <Paragraphs>143</Paragraphs>
  <TotalTime>0</TotalTime>
  <ScaleCrop>false</ScaleCrop>
  <LinksUpToDate>false</LinksUpToDate>
  <CharactersWithSpaces>24151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2022-08-01T18:16:00Z</dcterms:created>
  <dc:creator>lhj</dc:creator>
  <cp:lastModifiedBy>彬</cp:lastModifiedBy>
  <cp:lastPrinted>2020-12-29T10:43:00Z</cp:lastPrinted>
  <dcterms:modified xsi:type="dcterms:W3CDTF">2025-04-22T04:36:40Z</dcterms:modified>
  <dc:title>附件2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eyJoZGlkIjoiMTMyM2VhMjBmM2YyZDY4MGZiMGE2NTg2M2Y4ZjQzMTMiLCJ1c2VySWQiOiIzMDg0ODQ5NDgifQ==</vt:lpwstr>
  </property>
  <property fmtid="{D5CDD505-2E9C-101B-9397-08002B2CF9AE}" pid="4" name="ICV">
    <vt:lpwstr>3C8609D06D9A41E2925EB7B276213CE6_12</vt:lpwstr>
  </property>
</Properties>
</file>